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_rels/footer2.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media/image1.wmf" ContentType="image/x-wmf"/>
  <Override PartName="/word/media/image2.wmf" ContentType="image/x-wmf"/>
  <Override PartName="/word/media/image3.wmf" ContentType="image/x-wmf"/>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SBHidden"/>
        <w:rPr/>
      </w:pPr>
      <w:r>
        <w:rPr/>
        <w:t>SALOMON SMITH BARNEY</w:t>
        <w:tab/>
        <w:t>Industry Note</w:t>
      </w:r>
    </w:p>
    <w:tbl>
      <w:tblPr>
        <w:tblW w:w="9864" w:type="dxa"/>
        <w:jc w:val="start"/>
        <w:tblInd w:w="-2007" w:type="dxa"/>
        <w:tblLayout w:type="fixed"/>
        <w:tblCellMar>
          <w:top w:w="0" w:type="dxa"/>
          <w:start w:w="0" w:type="dxa"/>
          <w:bottom w:w="0" w:type="dxa"/>
          <w:end w:w="0" w:type="dxa"/>
        </w:tblCellMar>
      </w:tblPr>
      <w:tblGrid>
        <w:gridCol w:w="2907"/>
        <w:gridCol w:w="2"/>
        <w:gridCol w:w="6955"/>
      </w:tblGrid>
      <w:tr>
        <w:trPr>
          <w:trHeight w:val="369" w:hRule="atLeast"/>
        </w:trPr>
        <w:tc>
          <w:tcPr>
            <w:tcW w:w="9864" w:type="dxa"/>
            <w:gridSpan w:val="3"/>
            <w:tcBorders/>
          </w:tcPr>
          <w:p>
            <w:pPr>
              <w:pStyle w:val="SSBReleaseDate"/>
              <w:rPr/>
            </w:pPr>
            <w:r>
              <w:fldChar w:fldCharType="begin">
                <w:ffData>
                  <w:name w:val="TRC_INDUSTRY"/>
                  <w:enabled/>
                  <w:calcOnExit w:val="0"/>
                  <w:textInput/>
                </w:ffData>
              </w:fldChar>
            </w:r>
            <w:r>
              <w:rPr/>
              <w:instrText xml:space="preserve"> FORMTEXT </w:instrText>
            </w:r>
            <w:r>
              <w:rPr/>
            </w:r>
            <w:r>
              <w:rPr/>
              <w:fldChar w:fldCharType="separate"/>
            </w:r>
            <w:r>
              <w:rPr/>
              <w:t>Power &amp; Natural Gas</w:t>
            </w:r>
            <w:r/>
            <w:r>
              <w:rPr/>
              <w:fldChar w:fldCharType="end"/>
            </w:r>
            <w:r>
              <w:rPr/>
            </w:r>
          </w:p>
          <w:p>
            <w:pPr>
              <w:pStyle w:val="SSBHeadline"/>
              <w:rPr/>
            </w:pPr>
            <w:r>
              <w:fldChar w:fldCharType="begin">
                <w:ffData>
                  <w:name w:val="TRC_HEADLINE"/>
                  <w:enabled/>
                  <w:calcOnExit w:val="0"/>
                  <w:textInput/>
                </w:ffData>
              </w:fldChar>
            </w:r>
            <w:r>
              <w:rPr/>
              <w:instrText xml:space="preserve"> FORMTEXT </w:instrText>
            </w:r>
            <w:r>
              <w:rPr/>
            </w:r>
            <w:r>
              <w:rPr/>
              <w:fldChar w:fldCharType="separate"/>
            </w:r>
            <w:r>
              <w:rPr/>
              <w:t>Bankruptcy in California; Implications for our Growth Energy Names</w:t>
            </w:r>
            <w:r/>
            <w:r>
              <w:rPr/>
              <w:fldChar w:fldCharType="end"/>
            </w:r>
            <w:r>
              <w:rPr/>
            </w:r>
          </w:p>
        </w:tc>
      </w:tr>
      <w:tr>
        <w:trPr>
          <w:trHeight w:val="120" w:hRule="exact"/>
        </w:trPr>
        <w:tc>
          <w:tcPr>
            <w:tcW w:w="2909" w:type="dxa"/>
            <w:gridSpan w:val="2"/>
            <w:tcBorders/>
          </w:tcPr>
          <w:p>
            <w:pPr>
              <w:pStyle w:val="Normal"/>
              <w:snapToGrid w:val="false"/>
              <w:rPr/>
            </w:pPr>
            <w:r>
              <w:rPr/>
            </w:r>
          </w:p>
        </w:tc>
        <w:tc>
          <w:tcPr>
            <w:tcW w:w="6955" w:type="dxa"/>
            <w:tcBorders/>
          </w:tcPr>
          <w:p>
            <w:pPr>
              <w:pStyle w:val="Normal"/>
              <w:snapToGrid w:val="false"/>
              <w:rPr/>
            </w:pPr>
            <w:r>
              <w:rPr/>
            </w:r>
          </w:p>
        </w:tc>
      </w:tr>
      <w:tr>
        <w:trPr>
          <w:trHeight w:val="120" w:hRule="exact"/>
        </w:trPr>
        <w:tc>
          <w:tcPr>
            <w:tcW w:w="2909" w:type="dxa"/>
            <w:gridSpan w:val="2"/>
            <w:tcBorders>
              <w:top w:val="single" w:sz="12" w:space="0" w:color="808080"/>
            </w:tcBorders>
          </w:tcPr>
          <w:p>
            <w:pPr>
              <w:pStyle w:val="Normal"/>
              <w:snapToGrid w:val="false"/>
              <w:rPr/>
            </w:pPr>
            <w:r>
              <w:rPr/>
            </w:r>
          </w:p>
        </w:tc>
        <w:tc>
          <w:tcPr>
            <w:tcW w:w="6955" w:type="dxa"/>
            <w:tcBorders>
              <w:top w:val="single" w:sz="12" w:space="0" w:color="808080"/>
            </w:tcBorders>
          </w:tcPr>
          <w:p>
            <w:pPr>
              <w:pStyle w:val="Normal"/>
              <w:snapToGrid w:val="false"/>
              <w:rPr/>
            </w:pPr>
            <w:r>
              <w:rPr/>
            </w:r>
          </w:p>
        </w:tc>
      </w:tr>
      <w:tr>
        <w:trPr>
          <w:trHeight w:val="3840" w:hRule="exact"/>
        </w:trPr>
        <w:tc>
          <w:tcPr>
            <w:tcW w:w="2907" w:type="dxa"/>
            <w:tcBorders/>
          </w:tcPr>
          <w:p>
            <w:pPr>
              <w:pStyle w:val="SSBReleaseDate"/>
              <w:rPr/>
            </w:pPr>
            <w:r>
              <w:fldChar w:fldCharType="begin">
                <w:ffData>
                  <w:name w:val="TRC_RELEASEDATE"/>
                  <w:enabled/>
                  <w:calcOnExit w:val="0"/>
                  <w:textInput/>
                </w:ffData>
              </w:fldChar>
            </w:r>
            <w:r>
              <w:rPr/>
              <w:instrText xml:space="preserve"> FORMTEXT </w:instrText>
            </w:r>
            <w:r>
              <w:rPr/>
            </w:r>
            <w:r>
              <w:rPr/>
              <w:fldChar w:fldCharType="separate"/>
            </w:r>
            <w:r>
              <w:rPr/>
              <w:t>April 9, 2001</w:t>
            </w:r>
            <w:r/>
            <w:r>
              <w:rPr/>
              <w:fldChar w:fldCharType="end"/>
            </w:r>
            <w:r>
              <w:rPr/>
            </w:r>
          </w:p>
          <w:p>
            <w:pPr>
              <w:pStyle w:val="SSBBlackLine"/>
              <w:ind w:end="1890"/>
              <w:rPr/>
            </w:pPr>
            <w:r>
              <w:rPr/>
            </w:r>
          </w:p>
          <w:p>
            <w:pPr>
              <w:pStyle w:val="SSBAnalystName"/>
              <w:rPr>
                <w:b w:val="false"/>
              </w:rPr>
            </w:pPr>
            <w:r>
              <w:fldChar w:fldCharType="begin">
                <w:ffData>
                  <w:name w:val="TRC_ANALYSTNAME1"/>
                  <w:enabled/>
                  <w:calcOnExit w:val="0"/>
                  <w:textInput/>
                </w:ffData>
              </w:fldChar>
            </w:r>
            <w:r>
              <w:rPr/>
              <w:instrText xml:space="preserve"> FORMTEXT </w:instrText>
            </w:r>
            <w:r>
              <w:rPr/>
            </w:r>
            <w:r>
              <w:rPr/>
              <w:fldChar w:fldCharType="separate"/>
            </w:r>
            <w:r>
              <w:rPr/>
              <w:t>Raymond Niles</w:t>
            </w:r>
            <w:r/>
            <w:r>
              <w:rPr/>
              <w:fldChar w:fldCharType="end"/>
            </w:r>
            <w:r>
              <w:rPr/>
            </w:r>
          </w:p>
          <w:p>
            <w:pPr>
              <w:pStyle w:val="SSBAnalystPhone"/>
              <w:rPr/>
            </w:pPr>
            <w:r>
              <w:fldChar w:fldCharType="begin">
                <w:ffData>
                  <w:name w:val="TRC_ANALYSTPHONE1"/>
                  <w:enabled/>
                  <w:calcOnExit w:val="0"/>
                  <w:textInput/>
                </w:ffData>
              </w:fldChar>
            </w:r>
            <w:r>
              <w:rPr/>
              <w:instrText xml:space="preserve"> FORMTEXT </w:instrText>
            </w:r>
            <w:r>
              <w:rPr/>
            </w:r>
            <w:r>
              <w:rPr/>
              <w:fldChar w:fldCharType="separate"/>
            </w:r>
            <w:r>
              <w:rPr/>
              <w:t>212-816-2807</w:t>
            </w:r>
            <w:r/>
            <w:r>
              <w:rPr/>
              <w:fldChar w:fldCharType="end"/>
            </w:r>
            <w:r>
              <w:rPr/>
            </w:r>
          </w:p>
          <w:p>
            <w:pPr>
              <w:pStyle w:val="SSBAnalystEmail"/>
              <w:rPr/>
            </w:pPr>
            <w:r>
              <w:fldChar w:fldCharType="begin">
                <w:ffData>
                  <w:name w:val="TRC_ANALYSTEMAIL1"/>
                  <w:enabled/>
                  <w:calcOnExit w:val="0"/>
                  <w:textInput/>
                </w:ffData>
              </w:fldChar>
            </w:r>
            <w:r>
              <w:rPr/>
              <w:instrText xml:space="preserve"> FORMTEXT </w:instrText>
            </w:r>
            <w:r>
              <w:rPr/>
            </w:r>
            <w:r>
              <w:rPr/>
              <w:fldChar w:fldCharType="separate"/>
            </w:r>
            <w:r>
              <w:rPr/>
              <w:t>ray.niles@ssmb.com</w:t>
            </w:r>
            <w:r/>
            <w:r>
              <w:rPr/>
              <w:fldChar w:fldCharType="end"/>
            </w:r>
            <w:r>
              <w:rPr/>
            </w:r>
          </w:p>
          <w:p>
            <w:pPr>
              <w:pStyle w:val="SSBAnalystName"/>
              <w:rPr>
                <w:b w:val="false"/>
              </w:rPr>
            </w:pPr>
            <w:r>
              <w:fldChar w:fldCharType="begin">
                <w:ffData>
                  <w:name w:val="TRC_ANALYSTNAME2"/>
                  <w:enabled/>
                  <w:calcOnExit w:val="0"/>
                  <w:textInput/>
                </w:ffData>
              </w:fldChar>
            </w:r>
            <w:r>
              <w:rPr>
                <w:b w:val="false"/>
              </w:rPr>
              <w:instrText xml:space="preserve"> FORMTEXT </w:instrText>
            </w:r>
            <w:r>
              <w:rPr>
                <w:b w:val="false"/>
              </w:rPr>
            </w:r>
            <w:r>
              <w:rPr>
                <w:b w:val="false"/>
              </w:rPr>
              <w:fldChar w:fldCharType="separate"/>
            </w:r>
            <w:r>
              <w:rPr>
                <w:b w:val="false"/>
              </w:rPr>
              <w:t>Benjamin Morton</w:t>
            </w:r>
            <w:r/>
            <w:r>
              <w:rPr>
                <w:b w:val="false"/>
              </w:rPr>
              <w:fldChar w:fldCharType="end"/>
            </w:r>
            <w:r>
              <w:rPr>
                <w:b w:val="false"/>
              </w:rPr>
            </w:r>
          </w:p>
          <w:p>
            <w:pPr>
              <w:pStyle w:val="SSBAnalystPhone"/>
              <w:rPr/>
            </w:pPr>
            <w:r>
              <w:fldChar w:fldCharType="begin">
                <w:ffData>
                  <w:name w:val="TRC_ANALYSTPHONE2"/>
                  <w:enabled/>
                  <w:calcOnExit w:val="0"/>
                  <w:textInput/>
                </w:ffData>
              </w:fldChar>
            </w:r>
            <w:r>
              <w:rPr/>
              <w:instrText xml:space="preserve"> FORMTEXT </w:instrText>
            </w:r>
            <w:r>
              <w:rPr/>
            </w:r>
            <w:r>
              <w:rPr/>
              <w:fldChar w:fldCharType="separate"/>
            </w:r>
            <w:r>
              <w:rPr/>
              <w:t>212-816-2086</w:t>
            </w:r>
            <w:r/>
            <w:r>
              <w:rPr/>
              <w:fldChar w:fldCharType="end"/>
            </w:r>
            <w:r>
              <w:rPr/>
            </w:r>
          </w:p>
          <w:p>
            <w:pPr>
              <w:pStyle w:val="SSBAnalystEmail"/>
              <w:rPr>
                <w:vanish/>
              </w:rPr>
            </w:pPr>
            <w:r>
              <w:fldChar w:fldCharType="begin">
                <w:ffData>
                  <w:name w:val="TRC_ANALYSTEMAIL2"/>
                  <w:enabled/>
                  <w:calcOnExit w:val="0"/>
                  <w:textInput/>
                </w:ffData>
              </w:fldChar>
            </w:r>
            <w:r>
              <w:rPr>
                <w:vanish/>
              </w:rPr>
              <w:instrText xml:space="preserve"> FORMTEXT </w:instrText>
            </w:r>
            <w:r>
              <w:rPr>
                <w:vanish/>
              </w:rPr>
            </w:r>
            <w:r>
              <w:rPr>
                <w:vanish/>
              </w:rPr>
              <w:fldChar w:fldCharType="separate"/>
            </w:r>
            <w:r>
              <w:rPr>
                <w:vanish/>
              </w:rPr>
              <w:t>     </w:t>
            </w:r>
            <w:r/>
            <w:r>
              <w:rPr>
                <w:vanish/>
              </w:rPr>
              <w:fldChar w:fldCharType="end"/>
            </w:r>
            <w:r>
              <w:rPr>
                <w:vanish/>
              </w:rPr>
            </w:r>
          </w:p>
          <w:p>
            <w:pPr>
              <w:pStyle w:val="SSBAnalystName"/>
              <w:rPr>
                <w:b w:val="false"/>
              </w:rPr>
            </w:pPr>
            <w:r>
              <w:fldChar w:fldCharType="begin">
                <w:ffData>
                  <w:name w:val="TRC_ANALYSTNAME3"/>
                  <w:enabled/>
                  <w:calcOnExit w:val="0"/>
                  <w:textInput/>
                </w:ffData>
              </w:fldChar>
            </w:r>
            <w:r>
              <w:rPr>
                <w:b w:val="false"/>
              </w:rPr>
              <w:instrText xml:space="preserve"> FORMTEXT </w:instrText>
            </w:r>
            <w:r>
              <w:rPr>
                <w:b w:val="false"/>
              </w:rPr>
            </w:r>
            <w:r>
              <w:rPr>
                <w:b w:val="false"/>
              </w:rPr>
              <w:fldChar w:fldCharType="separate"/>
            </w:r>
            <w:r>
              <w:rPr>
                <w:b w:val="false"/>
              </w:rPr>
              <w:t>     </w:t>
            </w:r>
            <w:r/>
            <w:r>
              <w:rPr>
                <w:b w:val="false"/>
              </w:rPr>
              <w:fldChar w:fldCharType="end"/>
            </w:r>
            <w:r>
              <w:rPr>
                <w:b w:val="false"/>
              </w:rPr>
            </w:r>
          </w:p>
          <w:p>
            <w:pPr>
              <w:pStyle w:val="SSBAnalystPhone"/>
              <w:rPr/>
            </w:pPr>
            <w:r>
              <w:fldChar w:fldCharType="begin">
                <w:ffData>
                  <w:name w:val="TRC_ANALYSTPHONE3"/>
                  <w:enabled/>
                  <w:calcOnExit w:val="0"/>
                  <w:textInput/>
                </w:ffData>
              </w:fldChar>
            </w:r>
            <w:r>
              <w:rPr/>
              <w:instrText xml:space="preserve"> FORMTEXT </w:instrText>
            </w:r>
            <w:r>
              <w:rPr/>
            </w:r>
            <w:r>
              <w:rPr/>
              <w:fldChar w:fldCharType="separate"/>
            </w:r>
            <w:r>
              <w:rPr/>
              <w:t>     </w:t>
            </w:r>
            <w:r/>
            <w:r>
              <w:rPr/>
              <w:fldChar w:fldCharType="end"/>
            </w:r>
            <w:r>
              <w:rPr/>
            </w:r>
          </w:p>
          <w:p>
            <w:pPr>
              <w:pStyle w:val="SSBAnalystEmail"/>
              <w:rPr>
                <w:vanish/>
              </w:rPr>
            </w:pPr>
            <w:r>
              <w:fldChar w:fldCharType="begin">
                <w:ffData>
                  <w:name w:val="TRC_ANALYSTEMAIL3"/>
                  <w:enabled/>
                  <w:calcOnExit w:val="0"/>
                  <w:textInput/>
                </w:ffData>
              </w:fldChar>
            </w:r>
            <w:r>
              <w:rPr>
                <w:vanish/>
              </w:rPr>
              <w:instrText xml:space="preserve"> FORMTEXT </w:instrText>
            </w:r>
            <w:r>
              <w:rPr>
                <w:vanish/>
              </w:rPr>
            </w:r>
            <w:r>
              <w:rPr>
                <w:vanish/>
              </w:rPr>
              <w:fldChar w:fldCharType="separate"/>
            </w:r>
            <w:r>
              <w:rPr>
                <w:vanish/>
              </w:rPr>
              <w:t>     </w:t>
            </w:r>
            <w:r/>
            <w:r>
              <w:rPr>
                <w:vanish/>
              </w:rPr>
              <w:fldChar w:fldCharType="end"/>
            </w:r>
            <w:r>
              <w:rPr>
                <w:vanish/>
              </w:rPr>
            </w:r>
          </w:p>
        </w:tc>
        <w:tc>
          <w:tcPr>
            <w:tcW w:w="6957" w:type="dxa"/>
            <w:gridSpan w:val="2"/>
            <w:tcBorders/>
          </w:tcPr>
          <w:p>
            <w:pPr>
              <w:pStyle w:val="SSBSummaryHeading"/>
              <w:rPr/>
            </w:pPr>
            <w:r>
              <w:rPr/>
              <w:t>SUMMARY</w:t>
            </w:r>
          </w:p>
          <w:p>
            <w:pPr>
              <w:pStyle w:val="SSBSummary"/>
              <w:numPr>
                <w:ilvl w:val="0"/>
                <w:numId w:val="2"/>
              </w:numPr>
              <w:ind w:hanging="0" w:start="0"/>
              <w:rPr>
                <w:lang w:val="en-CA"/>
              </w:rPr>
            </w:pPr>
            <w:r>
              <w:fldChar w:fldCharType="begin">
                <w:ffData>
                  <w:name w:val="Summary"/>
                  <w:enabled/>
                  <w:calcOnExit w:val="0"/>
                  <w:textInput/>
                </w:ffData>
              </w:fldChar>
            </w:r>
            <w:r>
              <w:rPr>
                <w:lang w:val="en-CA"/>
              </w:rPr>
              <w:instrText xml:space="preserve"> FORMTEXT </w:instrText>
            </w:r>
            <w:r>
              <w:rPr>
                <w:lang w:val="en-CA"/>
              </w:rPr>
            </w:r>
            <w:r>
              <w:rPr>
                <w:lang w:val="en-CA"/>
              </w:rPr>
              <w:fldChar w:fldCharType="separate"/>
            </w:r>
            <w:r>
              <w:t xml:space="preserve">We would not sell Energy Merchants/Power Producers on news that PCG has declared Chapter 11 bankruptcy. </w:t>
            </w:r>
            <w:r>
              <w:rPr>
                <w:lang w:val="en-CA"/>
              </w:rPr>
            </w:r>
          </w:p>
          <w:p>
            <w:pPr>
              <w:pStyle w:val="SSBSummary"/>
              <w:numPr>
                <w:ilvl w:val="0"/>
                <w:numId w:val="2"/>
              </w:numPr>
              <w:ind w:hanging="0" w:start="0"/>
              <w:rPr>
                <w:lang w:val="en-CA"/>
              </w:rPr>
            </w:pPr>
            <w:r>
              <w:rPr>
                <w:lang w:val="en-CA"/>
              </w:rPr>
              <w:t xml:space="preserve">Ongoing payments in California are being made by the state; therefore do not anticipate material exposure for ongoing earnings. </w:t>
            </w:r>
          </w:p>
          <w:p>
            <w:pPr>
              <w:pStyle w:val="SSBSummary"/>
              <w:numPr>
                <w:ilvl w:val="0"/>
                <w:numId w:val="2"/>
              </w:numPr>
              <w:ind w:hanging="0" w:start="0"/>
              <w:rPr>
                <w:lang w:val="en-CA"/>
              </w:rPr>
            </w:pPr>
            <w:r>
              <w:rPr>
                <w:lang w:val="en-CA"/>
              </w:rPr>
              <w:t xml:space="preserve">Primary exposure is current receivables: (1) these one-time amounts are limited (roughly estimate max. of 50% of 2001 earnings); and (2) we expect that, as trade creditors, they will get high priority in a bankruptcy proceeding. We think most of these amounts are likely to be recoverable, although a significant (perhaps several year) delay is possible as these claimants work their way through the bankruptcy process. </w:t>
            </w:r>
          </w:p>
          <w:p>
            <w:pPr>
              <w:pStyle w:val="SSBSummary"/>
              <w:numPr>
                <w:ilvl w:val="0"/>
                <w:numId w:val="2"/>
              </w:numPr>
              <w:spacing w:before="0" w:after="60"/>
              <w:ind w:hanging="0" w:start="0"/>
              <w:rPr/>
            </w:pPr>
            <w:r>
              <w:rPr>
                <w:lang w:val="en-CA"/>
              </w:rPr>
              <w:t>By our rough estimation, companies with fairly significant one-time earnings exposure include:  NRG, MIR, DYN, CPN.  Companies with fairly small exposure include:  ENE, AES, WMB, EPG and DUK.</w:t>
            </w:r>
            <w:r/>
            <w:r>
              <w:rPr>
                <w:lang w:val="en-CA"/>
              </w:rPr>
              <w:fldChar w:fldCharType="end"/>
            </w:r>
            <w:r>
              <w:rPr>
                <w:lang w:val="en-CA"/>
              </w:rPr>
            </w:r>
          </w:p>
        </w:tc>
      </w:tr>
    </w:tbl>
    <w:p>
      <w:pPr>
        <w:sectPr>
          <w:headerReference w:type="default" r:id="rId2"/>
          <w:headerReference w:type="first" r:id="rId3"/>
          <w:footerReference w:type="default" r:id="rId4"/>
          <w:footerReference w:type="first" r:id="rId5"/>
          <w:type w:val="continuous"/>
          <w:pgSz w:w="12240" w:h="15840"/>
          <w:pgMar w:left="3096" w:right="1310" w:gutter="0" w:header="504" w:top="1008" w:footer="576" w:bottom="965"/>
          <w:formProt w:val="true"/>
          <w:titlePg/>
          <w:textDirection w:val="lrTb"/>
          <w:docGrid w:type="default" w:linePitch="360" w:charSpace="0"/>
        </w:sectPr>
      </w:pPr>
    </w:p>
    <w:p>
      <w:pPr>
        <w:pStyle w:val="SSBBodyHeading"/>
        <w:rPr/>
      </w:pPr>
      <w:bookmarkStart w:id="0" w:name="SSB_Data"/>
      <w:bookmarkEnd w:id="0"/>
      <w:r>
        <w:rPr/>
        <w:t>Continue to recommend purchase of merchants/power producers in the face of pCg bankruptcy announcement</w:t>
      </w:r>
    </w:p>
    <w:p>
      <w:pPr>
        <w:pStyle w:val="SSBBodyText"/>
        <w:rPr/>
      </w:pPr>
      <w:r>
        <w:rPr/>
        <w:t>In this report, we provide a two-part analysis.  The first part is a company-specific examination of California exposure.  The second part is a first look at the larger implications of the PCG announcement, or the “big picture”.  In either case, while acknowledging the significant step-up of risk and share price volatility, we remain bullish on the Energy Merchants and Power Producers.</w:t>
      </w:r>
    </w:p>
    <w:p>
      <w:pPr>
        <w:pStyle w:val="SSBBodyText"/>
        <w:rPr/>
      </w:pPr>
      <w:r>
        <w:rPr/>
        <w:t>In short, we see the main exposure is collection of already-incurred receivables.  Because the state of California is paying current power bills, we do not see material exposure on an ongoing basis, either from operating in California or selling power to PCG.</w:t>
      </w:r>
    </w:p>
    <w:p>
      <w:pPr>
        <w:pStyle w:val="SSBBodyText"/>
        <w:rPr/>
      </w:pPr>
      <w:r>
        <w:rPr/>
        <w:t>We do think political risk and ongoing “headline risk” will only be accelerated near-term by the PCG bankruptcy announcement.  This is likely to increase stock price volatility as we move into the summer period.  We explore this in some detail in the “big picture” analysis.</w:t>
      </w:r>
    </w:p>
    <w:p>
      <w:pPr>
        <w:pStyle w:val="SSBBodyHeading"/>
        <w:rPr/>
      </w:pPr>
      <w:r>
        <w:rPr/>
        <w:t>COMPANY-SPECIFIC ANALYSIS</w:t>
      </w:r>
    </w:p>
    <w:p>
      <w:pPr>
        <w:pStyle w:val="SSBBodyText"/>
        <w:rPr>
          <w:b/>
        </w:rPr>
      </w:pPr>
      <w:r>
        <w:rPr>
          <w:b/>
        </w:rPr>
        <w:t>I.  WHAT ARE THE RECEIVABLES?</w:t>
      </w:r>
    </w:p>
    <w:p>
      <w:pPr>
        <w:pStyle w:val="SSBBodyText"/>
        <w:rPr/>
      </w:pPr>
      <w:r>
        <w:rPr/>
        <w:t xml:space="preserve">We would recommend buying the Energy Merchants and Power Producers in the face of the news of PG&amp;E Energy (PCG)’s filing for Chapter 11 bankruptcy.  The largest questionmark is the amount of exposure that these names have to the ailing California utilities. </w:t>
      </w:r>
    </w:p>
    <w:tbl>
      <w:tblPr>
        <w:tblW w:w="8209" w:type="dxa"/>
        <w:jc w:val="start"/>
        <w:tblInd w:w="108" w:type="dxa"/>
        <w:tblLayout w:type="fixed"/>
        <w:tblCellMar>
          <w:top w:w="0" w:type="dxa"/>
          <w:start w:w="108" w:type="dxa"/>
          <w:bottom w:w="0" w:type="dxa"/>
          <w:end w:w="108" w:type="dxa"/>
        </w:tblCellMar>
      </w:tblPr>
      <w:tblGrid>
        <w:gridCol w:w="951"/>
        <w:gridCol w:w="1355"/>
        <w:gridCol w:w="1072"/>
        <w:gridCol w:w="1411"/>
        <w:gridCol w:w="1440"/>
        <w:gridCol w:w="900"/>
        <w:gridCol w:w="1080"/>
      </w:tblGrid>
      <w:tr>
        <w:trPr>
          <w:trHeight w:val="240" w:hRule="exact"/>
        </w:trPr>
        <w:tc>
          <w:tcPr>
            <w:tcW w:w="951"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lang w:eastAsia="en-US"/>
              </w:rPr>
            </w:pPr>
            <w:r>
              <w:rPr>
                <w:lang w:eastAsia="en-US"/>
              </w:rPr>
            </w:r>
          </w:p>
        </w:tc>
        <w:tc>
          <w:tcPr>
            <w:tcW w:w="1355"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b/>
                <w:sz w:val="20"/>
                <w:lang w:eastAsia="en-US"/>
              </w:rPr>
            </w:pPr>
            <w:r>
              <w:rPr>
                <w:b/>
                <w:sz w:val="20"/>
                <w:lang w:eastAsia="en-US"/>
              </w:rPr>
              <w:t>Receivable</w:t>
            </w:r>
          </w:p>
        </w:tc>
        <w:tc>
          <w:tcPr>
            <w:tcW w:w="1072"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b/>
                <w:sz w:val="20"/>
                <w:lang w:eastAsia="en-US"/>
              </w:rPr>
            </w:pPr>
            <w:r>
              <w:rPr>
                <w:b/>
                <w:sz w:val="20"/>
                <w:lang w:eastAsia="en-US"/>
              </w:rPr>
              <w:t>Est.</w:t>
            </w:r>
          </w:p>
        </w:tc>
        <w:tc>
          <w:tcPr>
            <w:tcW w:w="1411"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b/>
                <w:sz w:val="20"/>
                <w:lang w:eastAsia="en-US"/>
              </w:rPr>
            </w:pPr>
            <w:r>
              <w:rPr>
                <w:b/>
                <w:sz w:val="20"/>
                <w:lang w:eastAsia="en-US"/>
              </w:rPr>
              <w:t>Est. Unreser.</w:t>
            </w:r>
          </w:p>
        </w:tc>
        <w:tc>
          <w:tcPr>
            <w:tcW w:w="144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b/>
                <w:sz w:val="20"/>
                <w:lang w:eastAsia="en-US"/>
              </w:rPr>
            </w:pPr>
            <w:r>
              <w:rPr>
                <w:b/>
                <w:sz w:val="20"/>
                <w:lang w:eastAsia="en-US"/>
              </w:rPr>
              <w:t>Potential EPS</w:t>
            </w:r>
          </w:p>
        </w:tc>
        <w:tc>
          <w:tcPr>
            <w:tcW w:w="90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b/>
                <w:sz w:val="20"/>
                <w:lang w:eastAsia="en-US"/>
              </w:rPr>
            </w:pPr>
            <w:r>
              <w:rPr>
                <w:b/>
                <w:sz w:val="20"/>
                <w:lang w:eastAsia="en-US"/>
              </w:rPr>
              <w:t xml:space="preserve">2001E </w:t>
            </w:r>
          </w:p>
        </w:tc>
        <w:tc>
          <w:tcPr>
            <w:tcW w:w="108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b/>
                <w:sz w:val="20"/>
                <w:lang w:eastAsia="en-US"/>
              </w:rPr>
            </w:pPr>
            <w:r>
              <w:rPr>
                <w:b/>
                <w:sz w:val="20"/>
                <w:lang w:eastAsia="en-US"/>
              </w:rPr>
              <w:t>% EPS</w:t>
            </w:r>
          </w:p>
        </w:tc>
      </w:tr>
      <w:tr>
        <w:trPr>
          <w:trHeight w:val="240" w:hRule="exact"/>
        </w:trPr>
        <w:tc>
          <w:tcPr>
            <w:tcW w:w="951"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b/>
                <w:sz w:val="20"/>
                <w:lang w:eastAsia="en-US"/>
              </w:rPr>
            </w:pPr>
            <w:r>
              <w:rPr>
                <w:b/>
                <w:sz w:val="20"/>
                <w:lang w:eastAsia="en-US"/>
              </w:rPr>
            </w:r>
          </w:p>
        </w:tc>
        <w:tc>
          <w:tcPr>
            <w:tcW w:w="1355"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b/>
                <w:sz w:val="20"/>
                <w:lang w:eastAsia="en-US"/>
              </w:rPr>
            </w:pPr>
            <w:r>
              <w:rPr>
                <w:b/>
                <w:sz w:val="20"/>
                <w:lang w:eastAsia="en-US"/>
              </w:rPr>
              <w:t>Exposure</w:t>
            </w:r>
          </w:p>
        </w:tc>
        <w:tc>
          <w:tcPr>
            <w:tcW w:w="1072"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b/>
                <w:sz w:val="20"/>
                <w:lang w:eastAsia="en-US"/>
              </w:rPr>
            </w:pPr>
            <w:r>
              <w:rPr>
                <w:b/>
                <w:sz w:val="20"/>
                <w:lang w:eastAsia="en-US"/>
              </w:rPr>
              <w:t>Reserves</w:t>
            </w:r>
          </w:p>
        </w:tc>
        <w:tc>
          <w:tcPr>
            <w:tcW w:w="1411"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b/>
                <w:sz w:val="20"/>
                <w:lang w:eastAsia="en-US"/>
              </w:rPr>
            </w:pPr>
            <w:r>
              <w:rPr>
                <w:b/>
                <w:sz w:val="20"/>
                <w:lang w:eastAsia="en-US"/>
              </w:rPr>
              <w:t>Receivables</w:t>
            </w:r>
          </w:p>
        </w:tc>
        <w:tc>
          <w:tcPr>
            <w:tcW w:w="144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b/>
                <w:sz w:val="20"/>
                <w:lang w:eastAsia="en-US"/>
              </w:rPr>
            </w:pPr>
            <w:r>
              <w:rPr>
                <w:b/>
                <w:sz w:val="20"/>
                <w:lang w:eastAsia="en-US"/>
              </w:rPr>
              <w:t>Exposure</w:t>
            </w:r>
          </w:p>
        </w:tc>
        <w:tc>
          <w:tcPr>
            <w:tcW w:w="90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b/>
                <w:sz w:val="20"/>
                <w:lang w:eastAsia="en-US"/>
              </w:rPr>
            </w:pPr>
            <w:r>
              <w:rPr>
                <w:b/>
                <w:sz w:val="20"/>
                <w:lang w:eastAsia="en-US"/>
              </w:rPr>
              <w:t>EPS</w:t>
            </w:r>
          </w:p>
        </w:tc>
        <w:tc>
          <w:tcPr>
            <w:tcW w:w="108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b/>
                <w:sz w:val="20"/>
                <w:lang w:eastAsia="en-US"/>
              </w:rPr>
            </w:pPr>
            <w:r>
              <w:rPr>
                <w:b/>
                <w:sz w:val="20"/>
                <w:lang w:eastAsia="en-US"/>
              </w:rPr>
              <w:t>Exposure</w:t>
            </w:r>
          </w:p>
        </w:tc>
      </w:tr>
      <w:tr>
        <w:trPr>
          <w:trHeight w:val="240" w:hRule="exact"/>
        </w:trPr>
        <w:tc>
          <w:tcPr>
            <w:tcW w:w="951"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b/>
                <w:sz w:val="20"/>
                <w:lang w:eastAsia="en-US"/>
              </w:rPr>
            </w:pPr>
            <w:r>
              <w:rPr>
                <w:b/>
                <w:sz w:val="20"/>
                <w:lang w:eastAsia="en-US"/>
              </w:rPr>
            </w:r>
          </w:p>
        </w:tc>
        <w:tc>
          <w:tcPr>
            <w:tcW w:w="1355"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lang w:eastAsia="en-US"/>
              </w:rPr>
            </w:pPr>
            <w:r>
              <w:rPr>
                <w:b/>
                <w:sz w:val="20"/>
                <w:lang w:eastAsia="en-US"/>
              </w:rPr>
              <w:t>($ mil)</w:t>
            </w:r>
          </w:p>
        </w:tc>
        <w:tc>
          <w:tcPr>
            <w:tcW w:w="1072"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lang w:eastAsia="en-US"/>
              </w:rPr>
            </w:pPr>
            <w:r>
              <w:rPr>
                <w:b/>
                <w:sz w:val="20"/>
                <w:lang w:eastAsia="en-US"/>
              </w:rPr>
              <w:t>($ mil)</w:t>
            </w:r>
          </w:p>
        </w:tc>
        <w:tc>
          <w:tcPr>
            <w:tcW w:w="1411"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b/>
                <w:sz w:val="20"/>
                <w:lang w:eastAsia="en-US"/>
              </w:rPr>
            </w:pPr>
            <w:r>
              <w:rPr>
                <w:b/>
                <w:sz w:val="20"/>
                <w:lang w:eastAsia="en-US"/>
              </w:rPr>
              <w:t>($ mil)</w:t>
            </w:r>
          </w:p>
        </w:tc>
        <w:tc>
          <w:tcPr>
            <w:tcW w:w="1440"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b/>
                <w:sz w:val="20"/>
                <w:lang w:eastAsia="en-US"/>
              </w:rPr>
            </w:pPr>
            <w:r>
              <w:rPr>
                <w:b/>
                <w:sz w:val="20"/>
                <w:lang w:eastAsia="en-US"/>
              </w:rPr>
            </w:r>
          </w:p>
        </w:tc>
        <w:tc>
          <w:tcPr>
            <w:tcW w:w="900"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lang w:eastAsia="en-US"/>
              </w:rPr>
            </w:pPr>
            <w:r>
              <w:rPr>
                <w:lang w:eastAsia="en-US"/>
              </w:rPr>
            </w:r>
          </w:p>
        </w:tc>
        <w:tc>
          <w:tcPr>
            <w:tcW w:w="1080"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lang w:eastAsia="en-US"/>
              </w:rPr>
            </w:pPr>
            <w:r>
              <w:rPr>
                <w:lang w:eastAsia="en-US"/>
              </w:rPr>
            </w:r>
          </w:p>
        </w:tc>
      </w:tr>
      <w:tr>
        <w:trPr>
          <w:trHeight w:val="240" w:hRule="exact"/>
        </w:trPr>
        <w:tc>
          <w:tcPr>
            <w:tcW w:w="951" w:type="dxa"/>
            <w:tcBorders>
              <w:top w:val="single" w:sz="4" w:space="0" w:color="000000"/>
              <w:start w:val="single" w:sz="4" w:space="0" w:color="000000"/>
              <w:bottom w:val="single" w:sz="4" w:space="0" w:color="000000"/>
              <w:end w:val="single" w:sz="4" w:space="0" w:color="000000"/>
            </w:tcBorders>
          </w:tcPr>
          <w:p>
            <w:pPr>
              <w:pStyle w:val="SSBBodyText"/>
              <w:spacing w:lineRule="atLeast" w:line="250" w:before="0" w:after="180"/>
              <w:rPr/>
            </w:pPr>
            <w:r>
              <w:rPr>
                <w:lang w:eastAsia="en-US"/>
              </w:rPr>
              <w:t>AES</w:t>
            </w:r>
            <w:r>
              <w:rPr>
                <w:vertAlign w:val="superscript"/>
                <w:lang w:eastAsia="en-US"/>
              </w:rPr>
              <w:t>1</w:t>
            </w:r>
          </w:p>
        </w:tc>
        <w:tc>
          <w:tcPr>
            <w:tcW w:w="1355"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sz w:val="20"/>
                <w:lang w:eastAsia="en-US"/>
              </w:rPr>
            </w:pPr>
            <w:r>
              <w:rPr>
                <w:sz w:val="20"/>
                <w:lang w:eastAsia="en-US"/>
              </w:rPr>
              <w:t xml:space="preserve">est. minimal </w:t>
            </w:r>
          </w:p>
        </w:tc>
        <w:tc>
          <w:tcPr>
            <w:tcW w:w="1072"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sz w:val="20"/>
                <w:lang w:eastAsia="en-US"/>
              </w:rPr>
            </w:pPr>
            <w:r>
              <w:rPr>
                <w:sz w:val="20"/>
                <w:lang w:eastAsia="en-US"/>
              </w:rPr>
            </w:r>
          </w:p>
        </w:tc>
        <w:tc>
          <w:tcPr>
            <w:tcW w:w="1411"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lang w:eastAsia="en-US"/>
              </w:rPr>
            </w:pPr>
            <w:r>
              <w:rPr>
                <w:lang w:eastAsia="en-US"/>
              </w:rPr>
            </w:r>
          </w:p>
        </w:tc>
        <w:tc>
          <w:tcPr>
            <w:tcW w:w="1440"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lang w:eastAsia="en-US"/>
              </w:rPr>
            </w:pPr>
            <w:r>
              <w:rPr>
                <w:lang w:eastAsia="en-US"/>
              </w:rPr>
            </w:r>
          </w:p>
        </w:tc>
        <w:tc>
          <w:tcPr>
            <w:tcW w:w="90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lang w:eastAsia="en-US"/>
              </w:rPr>
            </w:pPr>
            <w:r>
              <w:rPr>
                <w:lang w:eastAsia="en-US"/>
              </w:rPr>
              <w:t>$1.90</w:t>
            </w:r>
          </w:p>
        </w:tc>
        <w:tc>
          <w:tcPr>
            <w:tcW w:w="1080"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lang w:eastAsia="en-US"/>
              </w:rPr>
            </w:pPr>
            <w:r>
              <w:rPr>
                <w:lang w:eastAsia="en-US"/>
              </w:rPr>
            </w:r>
          </w:p>
        </w:tc>
      </w:tr>
      <w:tr>
        <w:trPr>
          <w:trHeight w:val="240" w:hRule="exact"/>
        </w:trPr>
        <w:tc>
          <w:tcPr>
            <w:tcW w:w="951" w:type="dxa"/>
            <w:tcBorders>
              <w:top w:val="single" w:sz="4" w:space="0" w:color="000000"/>
              <w:start w:val="single" w:sz="4" w:space="0" w:color="000000"/>
              <w:bottom w:val="single" w:sz="4" w:space="0" w:color="000000"/>
              <w:end w:val="single" w:sz="4" w:space="0" w:color="000000"/>
            </w:tcBorders>
          </w:tcPr>
          <w:p>
            <w:pPr>
              <w:pStyle w:val="SSBBodyText"/>
              <w:spacing w:lineRule="atLeast" w:line="250" w:before="0" w:after="180"/>
              <w:rPr/>
            </w:pPr>
            <w:r>
              <w:rPr>
                <w:lang w:eastAsia="en-US"/>
              </w:rPr>
              <w:t>CPN</w:t>
            </w:r>
            <w:r>
              <w:rPr>
                <w:vertAlign w:val="superscript"/>
                <w:lang w:eastAsia="en-US"/>
              </w:rPr>
              <w:t>2</w:t>
            </w:r>
          </w:p>
        </w:tc>
        <w:tc>
          <w:tcPr>
            <w:tcW w:w="1355"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lang w:eastAsia="en-US"/>
              </w:rPr>
            </w:pPr>
            <w:r>
              <w:rPr>
                <w:lang w:eastAsia="en-US"/>
              </w:rPr>
              <w:t>$239</w:t>
            </w:r>
          </w:p>
        </w:tc>
        <w:tc>
          <w:tcPr>
            <w:tcW w:w="1072"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lang w:eastAsia="en-US"/>
              </w:rPr>
            </w:pPr>
            <w:r>
              <w:rPr>
                <w:lang w:eastAsia="en-US"/>
              </w:rPr>
              <w:t>$0</w:t>
            </w:r>
          </w:p>
        </w:tc>
        <w:tc>
          <w:tcPr>
            <w:tcW w:w="1411"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lang w:eastAsia="en-US"/>
              </w:rPr>
            </w:pPr>
            <w:r>
              <w:rPr>
                <w:lang w:eastAsia="en-US"/>
              </w:rPr>
              <w:t>$221</w:t>
            </w:r>
          </w:p>
        </w:tc>
        <w:tc>
          <w:tcPr>
            <w:tcW w:w="144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lang w:eastAsia="en-US"/>
              </w:rPr>
            </w:pPr>
            <w:r>
              <w:rPr>
                <w:lang w:eastAsia="en-US"/>
              </w:rPr>
              <w:t>$0.47</w:t>
            </w:r>
          </w:p>
        </w:tc>
        <w:tc>
          <w:tcPr>
            <w:tcW w:w="90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lang w:eastAsia="en-US"/>
              </w:rPr>
            </w:pPr>
            <w:r>
              <w:rPr>
                <w:lang w:eastAsia="en-US"/>
              </w:rPr>
              <w:t>$1.90</w:t>
            </w:r>
          </w:p>
        </w:tc>
        <w:tc>
          <w:tcPr>
            <w:tcW w:w="108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lang w:eastAsia="en-US"/>
              </w:rPr>
            </w:pPr>
            <w:r>
              <w:rPr>
                <w:lang w:eastAsia="en-US"/>
              </w:rPr>
              <w:t>24.8%</w:t>
            </w:r>
          </w:p>
        </w:tc>
      </w:tr>
      <w:tr>
        <w:trPr>
          <w:trHeight w:val="240" w:hRule="exact"/>
        </w:trPr>
        <w:tc>
          <w:tcPr>
            <w:tcW w:w="951" w:type="dxa"/>
            <w:tcBorders>
              <w:top w:val="single" w:sz="4" w:space="0" w:color="000000"/>
              <w:start w:val="single" w:sz="4" w:space="0" w:color="000000"/>
              <w:bottom w:val="single" w:sz="4" w:space="0" w:color="000000"/>
              <w:end w:val="single" w:sz="4" w:space="0" w:color="000000"/>
            </w:tcBorders>
          </w:tcPr>
          <w:p>
            <w:pPr>
              <w:pStyle w:val="SSBBodyText"/>
              <w:spacing w:lineRule="atLeast" w:line="250" w:before="0" w:after="180"/>
              <w:rPr/>
            </w:pPr>
            <w:r>
              <w:rPr>
                <w:lang w:eastAsia="en-US"/>
              </w:rPr>
              <w:t>DUK</w:t>
            </w:r>
            <w:r>
              <w:rPr>
                <w:vertAlign w:val="superscript"/>
                <w:lang w:eastAsia="en-US"/>
              </w:rPr>
              <w:t>3</w:t>
            </w:r>
          </w:p>
        </w:tc>
        <w:tc>
          <w:tcPr>
            <w:tcW w:w="1355"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lang w:eastAsia="en-US"/>
              </w:rPr>
            </w:pPr>
            <w:r>
              <w:rPr>
                <w:lang w:eastAsia="en-US"/>
              </w:rPr>
              <w:t>$400</w:t>
            </w:r>
          </w:p>
        </w:tc>
        <w:tc>
          <w:tcPr>
            <w:tcW w:w="1072"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lang w:eastAsia="en-US"/>
              </w:rPr>
            </w:pPr>
            <w:r>
              <w:rPr>
                <w:lang w:eastAsia="en-US"/>
              </w:rPr>
              <w:t>$110</w:t>
            </w:r>
          </w:p>
        </w:tc>
        <w:tc>
          <w:tcPr>
            <w:tcW w:w="1411"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lang w:eastAsia="en-US"/>
              </w:rPr>
            </w:pPr>
            <w:r>
              <w:rPr>
                <w:lang w:eastAsia="en-US"/>
              </w:rPr>
              <w:t>$290</w:t>
            </w:r>
          </w:p>
        </w:tc>
        <w:tc>
          <w:tcPr>
            <w:tcW w:w="144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lang w:eastAsia="en-US"/>
              </w:rPr>
            </w:pPr>
            <w:r>
              <w:rPr>
                <w:lang w:eastAsia="en-US"/>
              </w:rPr>
              <w:t>$0.24</w:t>
            </w:r>
          </w:p>
        </w:tc>
        <w:tc>
          <w:tcPr>
            <w:tcW w:w="90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lang w:eastAsia="en-US"/>
              </w:rPr>
            </w:pPr>
            <w:r>
              <w:rPr>
                <w:lang w:eastAsia="en-US"/>
              </w:rPr>
              <w:t>$2.28</w:t>
            </w:r>
          </w:p>
        </w:tc>
        <w:tc>
          <w:tcPr>
            <w:tcW w:w="108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lang w:eastAsia="en-US"/>
              </w:rPr>
            </w:pPr>
            <w:r>
              <w:rPr>
                <w:lang w:eastAsia="en-US"/>
              </w:rPr>
              <w:t>10.4%</w:t>
            </w:r>
          </w:p>
        </w:tc>
      </w:tr>
      <w:tr>
        <w:trPr>
          <w:trHeight w:val="240" w:hRule="exact"/>
        </w:trPr>
        <w:tc>
          <w:tcPr>
            <w:tcW w:w="951" w:type="dxa"/>
            <w:tcBorders>
              <w:top w:val="single" w:sz="4" w:space="0" w:color="000000"/>
              <w:start w:val="single" w:sz="4" w:space="0" w:color="000000"/>
              <w:bottom w:val="single" w:sz="4" w:space="0" w:color="000000"/>
              <w:end w:val="single" w:sz="4" w:space="0" w:color="000000"/>
            </w:tcBorders>
          </w:tcPr>
          <w:p>
            <w:pPr>
              <w:pStyle w:val="SSBBodyText"/>
              <w:spacing w:lineRule="atLeast" w:line="250" w:before="0" w:after="180"/>
              <w:rPr/>
            </w:pPr>
            <w:r>
              <w:rPr>
                <w:lang w:eastAsia="en-US"/>
              </w:rPr>
              <w:t>DYN</w:t>
            </w:r>
            <w:r>
              <w:rPr>
                <w:vertAlign w:val="superscript"/>
                <w:lang w:eastAsia="en-US"/>
              </w:rPr>
              <w:t>4</w:t>
            </w:r>
          </w:p>
        </w:tc>
        <w:tc>
          <w:tcPr>
            <w:tcW w:w="1355"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lang w:eastAsia="en-US"/>
              </w:rPr>
            </w:pPr>
            <w:r>
              <w:rPr>
                <w:lang w:eastAsia="en-US"/>
              </w:rPr>
              <w:t>$265</w:t>
            </w:r>
          </w:p>
        </w:tc>
        <w:tc>
          <w:tcPr>
            <w:tcW w:w="1072"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lang w:eastAsia="en-US"/>
              </w:rPr>
            </w:pPr>
            <w:r>
              <w:rPr>
                <w:lang w:eastAsia="en-US"/>
              </w:rPr>
              <w:t>NA</w:t>
            </w:r>
          </w:p>
        </w:tc>
        <w:tc>
          <w:tcPr>
            <w:tcW w:w="1411"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lang w:eastAsia="en-US"/>
              </w:rPr>
            </w:pPr>
            <w:r>
              <w:rPr>
                <w:lang w:eastAsia="en-US"/>
              </w:rPr>
              <w:t>$265</w:t>
            </w:r>
          </w:p>
        </w:tc>
        <w:tc>
          <w:tcPr>
            <w:tcW w:w="144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lang w:eastAsia="en-US"/>
              </w:rPr>
            </w:pPr>
            <w:r>
              <w:rPr>
                <w:lang w:eastAsia="en-US"/>
              </w:rPr>
              <w:t>$0.51</w:t>
            </w:r>
          </w:p>
        </w:tc>
        <w:tc>
          <w:tcPr>
            <w:tcW w:w="90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lang w:eastAsia="en-US"/>
              </w:rPr>
            </w:pPr>
            <w:r>
              <w:rPr>
                <w:lang w:eastAsia="en-US"/>
              </w:rPr>
              <w:t>$2.00</w:t>
            </w:r>
          </w:p>
        </w:tc>
        <w:tc>
          <w:tcPr>
            <w:tcW w:w="108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lang w:eastAsia="en-US"/>
              </w:rPr>
            </w:pPr>
            <w:r>
              <w:rPr>
                <w:lang w:eastAsia="en-US"/>
              </w:rPr>
              <w:t>25.7%</w:t>
            </w:r>
          </w:p>
        </w:tc>
      </w:tr>
      <w:tr>
        <w:trPr>
          <w:trHeight w:val="240" w:hRule="exact"/>
        </w:trPr>
        <w:tc>
          <w:tcPr>
            <w:tcW w:w="951" w:type="dxa"/>
            <w:tcBorders>
              <w:top w:val="single" w:sz="4" w:space="0" w:color="000000"/>
              <w:start w:val="single" w:sz="4" w:space="0" w:color="000000"/>
              <w:bottom w:val="single" w:sz="4" w:space="0" w:color="000000"/>
              <w:end w:val="single" w:sz="4" w:space="0" w:color="000000"/>
            </w:tcBorders>
          </w:tcPr>
          <w:p>
            <w:pPr>
              <w:pStyle w:val="SSBBodyText"/>
              <w:spacing w:lineRule="atLeast" w:line="250" w:before="0" w:after="180"/>
              <w:rPr/>
            </w:pPr>
            <w:r>
              <w:rPr>
                <w:lang w:eastAsia="en-US"/>
              </w:rPr>
              <w:t>ENE</w:t>
            </w:r>
            <w:r>
              <w:rPr>
                <w:vertAlign w:val="superscript"/>
                <w:lang w:eastAsia="en-US"/>
              </w:rPr>
              <w:t>5</w:t>
            </w:r>
          </w:p>
        </w:tc>
        <w:tc>
          <w:tcPr>
            <w:tcW w:w="1355" w:type="dxa"/>
            <w:tcBorders>
              <w:top w:val="single" w:sz="4" w:space="0" w:color="000000"/>
              <w:start w:val="single" w:sz="4" w:space="0" w:color="000000"/>
              <w:bottom w:val="single" w:sz="4" w:space="0" w:color="000000"/>
              <w:end w:val="single" w:sz="4" w:space="0" w:color="000000"/>
            </w:tcBorders>
          </w:tcPr>
          <w:p>
            <w:pPr>
              <w:pStyle w:val="SSBBodyText"/>
              <w:jc w:val="center"/>
              <w:rPr>
                <w:sz w:val="20"/>
                <w:lang w:eastAsia="en-US"/>
              </w:rPr>
            </w:pPr>
            <w:r>
              <w:rPr>
                <w:sz w:val="20"/>
                <w:lang w:eastAsia="en-US"/>
              </w:rPr>
              <w:t xml:space="preserve">est. minimal </w:t>
            </w:r>
          </w:p>
          <w:p>
            <w:pPr>
              <w:pStyle w:val="SSBBodyText"/>
              <w:spacing w:before="0" w:after="180"/>
              <w:jc w:val="center"/>
              <w:rPr>
                <w:lang w:eastAsia="en-US"/>
              </w:rPr>
            </w:pPr>
            <w:r>
              <w:rPr>
                <w:lang w:eastAsia="en-US"/>
              </w:rPr>
              <w:t>\</w:t>
            </w:r>
          </w:p>
        </w:tc>
        <w:tc>
          <w:tcPr>
            <w:tcW w:w="1072"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jc w:val="center"/>
              <w:rPr>
                <w:lang w:eastAsia="en-US"/>
              </w:rPr>
            </w:pPr>
            <w:r>
              <w:rPr>
                <w:lang w:eastAsia="en-US"/>
              </w:rPr>
            </w:r>
          </w:p>
        </w:tc>
        <w:tc>
          <w:tcPr>
            <w:tcW w:w="1411"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jc w:val="center"/>
              <w:rPr>
                <w:lang w:eastAsia="en-US"/>
              </w:rPr>
            </w:pPr>
            <w:r>
              <w:rPr>
                <w:lang w:eastAsia="en-US"/>
              </w:rPr>
            </w:r>
          </w:p>
        </w:tc>
        <w:tc>
          <w:tcPr>
            <w:tcW w:w="1440"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jc w:val="center"/>
              <w:rPr>
                <w:lang w:eastAsia="en-US"/>
              </w:rPr>
            </w:pPr>
            <w:r>
              <w:rPr>
                <w:lang w:eastAsia="en-US"/>
              </w:rPr>
            </w:r>
          </w:p>
        </w:tc>
        <w:tc>
          <w:tcPr>
            <w:tcW w:w="90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lang w:eastAsia="en-US"/>
              </w:rPr>
            </w:pPr>
            <w:r>
              <w:rPr>
                <w:lang w:eastAsia="en-US"/>
              </w:rPr>
              <w:t>$1.73</w:t>
            </w:r>
          </w:p>
        </w:tc>
        <w:tc>
          <w:tcPr>
            <w:tcW w:w="1080"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jc w:val="center"/>
              <w:rPr>
                <w:lang w:eastAsia="en-US"/>
              </w:rPr>
            </w:pPr>
            <w:r>
              <w:rPr>
                <w:lang w:eastAsia="en-US"/>
              </w:rPr>
            </w:r>
          </w:p>
        </w:tc>
      </w:tr>
      <w:tr>
        <w:trPr>
          <w:trHeight w:val="240" w:hRule="exact"/>
        </w:trPr>
        <w:tc>
          <w:tcPr>
            <w:tcW w:w="951" w:type="dxa"/>
            <w:tcBorders>
              <w:top w:val="single" w:sz="4" w:space="0" w:color="000000"/>
              <w:start w:val="single" w:sz="4" w:space="0" w:color="000000"/>
              <w:bottom w:val="single" w:sz="4" w:space="0" w:color="000000"/>
              <w:end w:val="single" w:sz="4" w:space="0" w:color="000000"/>
            </w:tcBorders>
          </w:tcPr>
          <w:p>
            <w:pPr>
              <w:pStyle w:val="SSBBodyText"/>
              <w:spacing w:lineRule="atLeast" w:line="250" w:before="0" w:after="180"/>
              <w:rPr/>
            </w:pPr>
            <w:r>
              <w:rPr>
                <w:lang w:eastAsia="en-US"/>
              </w:rPr>
              <w:t>EPG</w:t>
            </w:r>
            <w:r>
              <w:rPr>
                <w:vertAlign w:val="superscript"/>
                <w:lang w:eastAsia="en-US"/>
              </w:rPr>
              <w:t>6</w:t>
            </w:r>
          </w:p>
        </w:tc>
        <w:tc>
          <w:tcPr>
            <w:tcW w:w="1355"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lang w:eastAsia="en-US"/>
              </w:rPr>
            </w:pPr>
            <w:r>
              <w:rPr>
                <w:lang w:eastAsia="en-US"/>
              </w:rPr>
              <w:t>$60</w:t>
            </w:r>
          </w:p>
        </w:tc>
        <w:tc>
          <w:tcPr>
            <w:tcW w:w="1072"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lang w:eastAsia="en-US"/>
              </w:rPr>
            </w:pPr>
            <w:r>
              <w:rPr>
                <w:lang w:eastAsia="en-US"/>
              </w:rPr>
              <w:t>NA</w:t>
            </w:r>
          </w:p>
        </w:tc>
        <w:tc>
          <w:tcPr>
            <w:tcW w:w="1411"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lang w:eastAsia="en-US"/>
              </w:rPr>
            </w:pPr>
            <w:r>
              <w:rPr>
                <w:lang w:eastAsia="en-US"/>
              </w:rPr>
              <w:t>$60</w:t>
            </w:r>
          </w:p>
        </w:tc>
        <w:tc>
          <w:tcPr>
            <w:tcW w:w="144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lang w:eastAsia="en-US"/>
              </w:rPr>
            </w:pPr>
            <w:r>
              <w:rPr>
                <w:lang w:eastAsia="en-US"/>
              </w:rPr>
              <w:t>$0.07</w:t>
            </w:r>
          </w:p>
        </w:tc>
        <w:tc>
          <w:tcPr>
            <w:tcW w:w="90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lang w:eastAsia="en-US"/>
              </w:rPr>
            </w:pPr>
            <w:r>
              <w:rPr>
                <w:lang w:eastAsia="en-US"/>
              </w:rPr>
              <w:t>$3.20</w:t>
            </w:r>
          </w:p>
        </w:tc>
        <w:tc>
          <w:tcPr>
            <w:tcW w:w="108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lang w:eastAsia="en-US"/>
              </w:rPr>
            </w:pPr>
            <w:r>
              <w:rPr>
                <w:lang w:eastAsia="en-US"/>
              </w:rPr>
              <w:t>2.3%</w:t>
            </w:r>
          </w:p>
        </w:tc>
      </w:tr>
      <w:tr>
        <w:trPr>
          <w:trHeight w:val="240" w:hRule="exact"/>
        </w:trPr>
        <w:tc>
          <w:tcPr>
            <w:tcW w:w="951" w:type="dxa"/>
            <w:tcBorders>
              <w:top w:val="single" w:sz="4" w:space="0" w:color="000000"/>
              <w:start w:val="single" w:sz="4" w:space="0" w:color="000000"/>
              <w:bottom w:val="single" w:sz="4" w:space="0" w:color="000000"/>
              <w:end w:val="single" w:sz="4" w:space="0" w:color="000000"/>
            </w:tcBorders>
          </w:tcPr>
          <w:p>
            <w:pPr>
              <w:pStyle w:val="SSBBodyText"/>
              <w:spacing w:lineRule="atLeast" w:line="250" w:before="0" w:after="180"/>
              <w:rPr/>
            </w:pPr>
            <w:r>
              <w:rPr>
                <w:lang w:eastAsia="en-US"/>
              </w:rPr>
              <w:t>MIR</w:t>
            </w:r>
            <w:r>
              <w:rPr>
                <w:vertAlign w:val="superscript"/>
                <w:lang w:eastAsia="en-US"/>
              </w:rPr>
              <w:t>7</w:t>
            </w:r>
          </w:p>
        </w:tc>
        <w:tc>
          <w:tcPr>
            <w:tcW w:w="1355"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lang w:eastAsia="en-US"/>
              </w:rPr>
            </w:pPr>
            <w:r>
              <w:rPr>
                <w:lang w:eastAsia="en-US"/>
              </w:rPr>
              <w:t>$385</w:t>
            </w:r>
          </w:p>
        </w:tc>
        <w:tc>
          <w:tcPr>
            <w:tcW w:w="1072"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lang w:eastAsia="en-US"/>
              </w:rPr>
            </w:pPr>
            <w:r>
              <w:rPr>
                <w:lang w:eastAsia="en-US"/>
              </w:rPr>
              <w:t>$50</w:t>
            </w:r>
          </w:p>
        </w:tc>
        <w:tc>
          <w:tcPr>
            <w:tcW w:w="1411"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lang w:eastAsia="en-US"/>
              </w:rPr>
            </w:pPr>
            <w:r>
              <w:rPr>
                <w:lang w:eastAsia="en-US"/>
              </w:rPr>
              <w:t>$335</w:t>
            </w:r>
          </w:p>
        </w:tc>
        <w:tc>
          <w:tcPr>
            <w:tcW w:w="144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lang w:eastAsia="en-US"/>
              </w:rPr>
            </w:pPr>
            <w:r>
              <w:rPr>
                <w:lang w:eastAsia="en-US"/>
              </w:rPr>
              <w:t>$0.61</w:t>
            </w:r>
          </w:p>
        </w:tc>
        <w:tc>
          <w:tcPr>
            <w:tcW w:w="90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lang w:eastAsia="en-US"/>
              </w:rPr>
            </w:pPr>
            <w:r>
              <w:rPr>
                <w:lang w:eastAsia="en-US"/>
              </w:rPr>
              <w:t>$1.50</w:t>
            </w:r>
          </w:p>
        </w:tc>
        <w:tc>
          <w:tcPr>
            <w:tcW w:w="108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lang w:eastAsia="en-US"/>
              </w:rPr>
            </w:pPr>
            <w:r>
              <w:rPr>
                <w:lang w:eastAsia="en-US"/>
              </w:rPr>
              <w:t>40.6%</w:t>
            </w:r>
          </w:p>
        </w:tc>
      </w:tr>
      <w:tr>
        <w:trPr>
          <w:trHeight w:val="240" w:hRule="exact"/>
        </w:trPr>
        <w:tc>
          <w:tcPr>
            <w:tcW w:w="951" w:type="dxa"/>
            <w:tcBorders>
              <w:top w:val="single" w:sz="4" w:space="0" w:color="000000"/>
              <w:start w:val="single" w:sz="4" w:space="0" w:color="000000"/>
              <w:bottom w:val="single" w:sz="4" w:space="0" w:color="000000"/>
              <w:end w:val="single" w:sz="4" w:space="0" w:color="000000"/>
            </w:tcBorders>
          </w:tcPr>
          <w:p>
            <w:pPr>
              <w:pStyle w:val="SSBBodyText"/>
              <w:spacing w:lineRule="atLeast" w:line="250" w:before="0" w:after="180"/>
              <w:rPr/>
            </w:pPr>
            <w:r>
              <w:rPr>
                <w:lang w:eastAsia="en-US"/>
              </w:rPr>
              <w:t>NRG</w:t>
            </w:r>
            <w:r>
              <w:rPr>
                <w:vertAlign w:val="superscript"/>
                <w:lang w:eastAsia="en-US"/>
              </w:rPr>
              <w:t>8</w:t>
            </w:r>
          </w:p>
        </w:tc>
        <w:tc>
          <w:tcPr>
            <w:tcW w:w="1355"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lang w:eastAsia="en-US"/>
              </w:rPr>
            </w:pPr>
            <w:r>
              <w:rPr>
                <w:lang w:eastAsia="en-US"/>
              </w:rPr>
              <w:t>$303</w:t>
            </w:r>
          </w:p>
        </w:tc>
        <w:tc>
          <w:tcPr>
            <w:tcW w:w="1072"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lang w:eastAsia="en-US"/>
              </w:rPr>
            </w:pPr>
            <w:r>
              <w:rPr>
                <w:lang w:eastAsia="en-US"/>
              </w:rPr>
              <w:t>$90</w:t>
            </w:r>
          </w:p>
        </w:tc>
        <w:tc>
          <w:tcPr>
            <w:tcW w:w="1411"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lang w:eastAsia="en-US"/>
              </w:rPr>
            </w:pPr>
            <w:r>
              <w:rPr>
                <w:lang w:eastAsia="en-US"/>
              </w:rPr>
              <w:t>$213</w:t>
            </w:r>
          </w:p>
        </w:tc>
        <w:tc>
          <w:tcPr>
            <w:tcW w:w="144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lang w:eastAsia="en-US"/>
              </w:rPr>
            </w:pPr>
            <w:r>
              <w:rPr>
                <w:lang w:eastAsia="en-US"/>
              </w:rPr>
              <w:t>$0.70</w:t>
            </w:r>
          </w:p>
        </w:tc>
        <w:tc>
          <w:tcPr>
            <w:tcW w:w="90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lang w:eastAsia="en-US"/>
              </w:rPr>
            </w:pPr>
            <w:r>
              <w:rPr>
                <w:lang w:eastAsia="en-US"/>
              </w:rPr>
              <w:t>$1.37</w:t>
            </w:r>
          </w:p>
        </w:tc>
        <w:tc>
          <w:tcPr>
            <w:tcW w:w="108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lang w:eastAsia="en-US"/>
              </w:rPr>
            </w:pPr>
            <w:r>
              <w:rPr>
                <w:lang w:eastAsia="en-US"/>
              </w:rPr>
              <w:t>51.1%</w:t>
            </w:r>
          </w:p>
        </w:tc>
      </w:tr>
      <w:tr>
        <w:trPr>
          <w:trHeight w:val="240" w:hRule="exact"/>
        </w:trPr>
        <w:tc>
          <w:tcPr>
            <w:tcW w:w="951" w:type="dxa"/>
            <w:tcBorders>
              <w:top w:val="single" w:sz="4" w:space="0" w:color="000000"/>
              <w:start w:val="single" w:sz="4" w:space="0" w:color="000000"/>
              <w:bottom w:val="single" w:sz="4" w:space="0" w:color="000000"/>
              <w:end w:val="single" w:sz="4" w:space="0" w:color="000000"/>
            </w:tcBorders>
          </w:tcPr>
          <w:p>
            <w:pPr>
              <w:pStyle w:val="SSBBodyText"/>
              <w:spacing w:lineRule="atLeast" w:line="250" w:before="0" w:after="180"/>
              <w:rPr/>
            </w:pPr>
            <w:r>
              <w:rPr>
                <w:lang w:eastAsia="en-US"/>
              </w:rPr>
              <w:t>REI</w:t>
            </w:r>
            <w:r>
              <w:rPr>
                <w:vertAlign w:val="superscript"/>
                <w:lang w:eastAsia="en-US"/>
              </w:rPr>
              <w:t>9</w:t>
            </w:r>
          </w:p>
        </w:tc>
        <w:tc>
          <w:tcPr>
            <w:tcW w:w="1355"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lang w:eastAsia="en-US"/>
              </w:rPr>
            </w:pPr>
            <w:r>
              <w:rPr>
                <w:lang w:eastAsia="en-US"/>
              </w:rPr>
              <w:t>$350</w:t>
            </w:r>
          </w:p>
        </w:tc>
        <w:tc>
          <w:tcPr>
            <w:tcW w:w="1072"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lang w:eastAsia="en-US"/>
              </w:rPr>
            </w:pPr>
            <w:r>
              <w:rPr>
                <w:lang w:eastAsia="en-US"/>
              </w:rPr>
              <w:t>$39</w:t>
            </w:r>
          </w:p>
        </w:tc>
        <w:tc>
          <w:tcPr>
            <w:tcW w:w="1411"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lang w:eastAsia="en-US"/>
              </w:rPr>
            </w:pPr>
            <w:r>
              <w:rPr>
                <w:lang w:eastAsia="en-US"/>
              </w:rPr>
              <w:t>$311</w:t>
            </w:r>
          </w:p>
        </w:tc>
        <w:tc>
          <w:tcPr>
            <w:tcW w:w="144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lang w:eastAsia="en-US"/>
              </w:rPr>
            </w:pPr>
            <w:r>
              <w:rPr>
                <w:lang w:eastAsia="en-US"/>
              </w:rPr>
              <w:t>$0.63</w:t>
            </w:r>
          </w:p>
        </w:tc>
        <w:tc>
          <w:tcPr>
            <w:tcW w:w="90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lang w:eastAsia="en-US"/>
              </w:rPr>
            </w:pPr>
            <w:r>
              <w:rPr>
                <w:lang w:eastAsia="en-US"/>
              </w:rPr>
              <w:t>$3.95</w:t>
            </w:r>
          </w:p>
        </w:tc>
        <w:tc>
          <w:tcPr>
            <w:tcW w:w="108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lang w:eastAsia="en-US"/>
              </w:rPr>
            </w:pPr>
            <w:r>
              <w:rPr>
                <w:lang w:eastAsia="en-US"/>
              </w:rPr>
              <w:t>21.5%</w:t>
            </w:r>
          </w:p>
        </w:tc>
      </w:tr>
      <w:tr>
        <w:trPr>
          <w:trHeight w:val="240" w:hRule="exact"/>
        </w:trPr>
        <w:tc>
          <w:tcPr>
            <w:tcW w:w="951" w:type="dxa"/>
            <w:tcBorders>
              <w:top w:val="single" w:sz="4" w:space="0" w:color="000000"/>
              <w:start w:val="single" w:sz="4" w:space="0" w:color="000000"/>
              <w:bottom w:val="single" w:sz="4" w:space="0" w:color="000000"/>
              <w:end w:val="single" w:sz="4" w:space="0" w:color="000000"/>
            </w:tcBorders>
          </w:tcPr>
          <w:p>
            <w:pPr>
              <w:pStyle w:val="SSBBodyText"/>
              <w:spacing w:lineRule="atLeast" w:line="250" w:before="0" w:after="180"/>
              <w:rPr/>
            </w:pPr>
            <w:r>
              <w:rPr>
                <w:lang w:eastAsia="en-US"/>
              </w:rPr>
              <w:t>WMB</w:t>
            </w:r>
            <w:r>
              <w:rPr>
                <w:vertAlign w:val="superscript"/>
                <w:lang w:eastAsia="en-US"/>
              </w:rPr>
              <w:t>10</w:t>
            </w:r>
          </w:p>
        </w:tc>
        <w:tc>
          <w:tcPr>
            <w:tcW w:w="1355"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lang w:eastAsia="en-US"/>
              </w:rPr>
            </w:pPr>
            <w:r>
              <w:rPr>
                <w:lang w:eastAsia="en-US"/>
              </w:rPr>
              <w:t>$115</w:t>
            </w:r>
          </w:p>
        </w:tc>
        <w:tc>
          <w:tcPr>
            <w:tcW w:w="1072"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lang w:eastAsia="en-US"/>
              </w:rPr>
            </w:pPr>
            <w:r>
              <w:rPr>
                <w:lang w:eastAsia="en-US"/>
              </w:rPr>
              <w:t>NA</w:t>
            </w:r>
          </w:p>
        </w:tc>
        <w:tc>
          <w:tcPr>
            <w:tcW w:w="1411"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lang w:eastAsia="en-US"/>
              </w:rPr>
            </w:pPr>
            <w:r>
              <w:rPr>
                <w:lang w:eastAsia="en-US"/>
              </w:rPr>
              <w:t>$115</w:t>
            </w:r>
          </w:p>
        </w:tc>
        <w:tc>
          <w:tcPr>
            <w:tcW w:w="144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lang w:eastAsia="en-US"/>
              </w:rPr>
            </w:pPr>
            <w:r>
              <w:rPr>
                <w:lang w:eastAsia="en-US"/>
              </w:rPr>
              <w:t>$0.14</w:t>
            </w:r>
          </w:p>
        </w:tc>
        <w:tc>
          <w:tcPr>
            <w:tcW w:w="90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lang w:eastAsia="en-US"/>
              </w:rPr>
            </w:pPr>
            <w:r>
              <w:rPr>
                <w:lang w:eastAsia="en-US"/>
              </w:rPr>
              <w:t>$2.00</w:t>
            </w:r>
          </w:p>
        </w:tc>
        <w:tc>
          <w:tcPr>
            <w:tcW w:w="1080" w:type="dxa"/>
            <w:tcBorders>
              <w:top w:val="single" w:sz="4" w:space="0" w:color="000000"/>
              <w:start w:val="single" w:sz="4" w:space="0" w:color="000000"/>
              <w:bottom w:val="single" w:sz="4" w:space="0" w:color="000000"/>
              <w:end w:val="single" w:sz="4" w:space="0" w:color="000000"/>
            </w:tcBorders>
          </w:tcPr>
          <w:p>
            <w:pPr>
              <w:pStyle w:val="SSBBodyText"/>
              <w:spacing w:before="0" w:after="180"/>
              <w:jc w:val="center"/>
              <w:rPr>
                <w:lang w:eastAsia="en-US"/>
              </w:rPr>
            </w:pPr>
            <w:r>
              <w:rPr>
                <w:lang w:eastAsia="en-US"/>
              </w:rPr>
              <w:t>7.0%</w:t>
            </w:r>
          </w:p>
        </w:tc>
      </w:tr>
      <w:tr>
        <w:trPr>
          <w:trHeight w:val="240" w:hRule="exact"/>
        </w:trPr>
        <w:tc>
          <w:tcPr>
            <w:tcW w:w="951" w:type="dxa"/>
            <w:tcBorders>
              <w:top w:val="single" w:sz="4" w:space="0" w:color="000000"/>
              <w:start w:val="single" w:sz="4" w:space="0" w:color="000000"/>
              <w:bottom w:val="single" w:sz="4" w:space="0" w:color="000000"/>
              <w:end w:val="single" w:sz="4" w:space="0" w:color="000000"/>
            </w:tcBorders>
          </w:tcPr>
          <w:p>
            <w:pPr>
              <w:pStyle w:val="SSBBodyText"/>
              <w:spacing w:lineRule="auto" w:line="240" w:before="0" w:after="180"/>
              <w:rPr>
                <w:lang w:eastAsia="en-US"/>
              </w:rPr>
            </w:pPr>
            <w:r>
              <w:rPr>
                <w:lang w:eastAsia="en-US"/>
              </w:rPr>
              <w:t>Total</w:t>
            </w:r>
          </w:p>
        </w:tc>
        <w:tc>
          <w:tcPr>
            <w:tcW w:w="1355" w:type="dxa"/>
            <w:tcBorders>
              <w:top w:val="single" w:sz="4" w:space="0" w:color="000000"/>
              <w:start w:val="single" w:sz="4" w:space="0" w:color="000000"/>
              <w:bottom w:val="single" w:sz="4" w:space="0" w:color="000000"/>
              <w:end w:val="single" w:sz="4" w:space="0" w:color="000000"/>
            </w:tcBorders>
          </w:tcPr>
          <w:p>
            <w:pPr>
              <w:pStyle w:val="SSBBodyText"/>
              <w:spacing w:lineRule="auto" w:line="240" w:before="0" w:after="180"/>
              <w:jc w:val="center"/>
              <w:rPr>
                <w:lang w:eastAsia="en-US"/>
              </w:rPr>
            </w:pPr>
            <w:r>
              <w:rPr>
                <w:lang w:eastAsia="en-US"/>
              </w:rPr>
              <w:t>$2,109</w:t>
            </w:r>
          </w:p>
        </w:tc>
        <w:tc>
          <w:tcPr>
            <w:tcW w:w="1072" w:type="dxa"/>
            <w:tcBorders>
              <w:top w:val="single" w:sz="4" w:space="0" w:color="000000"/>
              <w:start w:val="single" w:sz="4" w:space="0" w:color="000000"/>
              <w:bottom w:val="single" w:sz="4" w:space="0" w:color="000000"/>
              <w:end w:val="single" w:sz="4" w:space="0" w:color="000000"/>
            </w:tcBorders>
          </w:tcPr>
          <w:p>
            <w:pPr>
              <w:pStyle w:val="SSBBodyText"/>
              <w:spacing w:lineRule="auto" w:line="240" w:before="0" w:after="180"/>
              <w:jc w:val="center"/>
              <w:rPr>
                <w:lang w:eastAsia="en-US"/>
              </w:rPr>
            </w:pPr>
            <w:r>
              <w:rPr>
                <w:lang w:eastAsia="en-US"/>
              </w:rPr>
              <w:t>$289</w:t>
            </w:r>
          </w:p>
        </w:tc>
        <w:tc>
          <w:tcPr>
            <w:tcW w:w="1411" w:type="dxa"/>
            <w:tcBorders>
              <w:top w:val="single" w:sz="4" w:space="0" w:color="000000"/>
              <w:start w:val="single" w:sz="4" w:space="0" w:color="000000"/>
              <w:bottom w:val="single" w:sz="4" w:space="0" w:color="000000"/>
              <w:end w:val="single" w:sz="4" w:space="0" w:color="000000"/>
            </w:tcBorders>
          </w:tcPr>
          <w:p>
            <w:pPr>
              <w:pStyle w:val="SSBBodyText"/>
              <w:spacing w:lineRule="auto" w:line="240" w:before="0" w:after="180"/>
              <w:jc w:val="center"/>
              <w:rPr>
                <w:lang w:eastAsia="en-US"/>
              </w:rPr>
            </w:pPr>
            <w:r>
              <w:rPr>
                <w:lang w:eastAsia="en-US"/>
              </w:rPr>
              <w:t>$1,810</w:t>
            </w:r>
          </w:p>
        </w:tc>
        <w:tc>
          <w:tcPr>
            <w:tcW w:w="1440" w:type="dxa"/>
            <w:tcBorders>
              <w:top w:val="single" w:sz="4" w:space="0" w:color="000000"/>
              <w:start w:val="single" w:sz="4" w:space="0" w:color="000000"/>
              <w:bottom w:val="single" w:sz="4" w:space="0" w:color="000000"/>
              <w:end w:val="single" w:sz="4" w:space="0" w:color="000000"/>
            </w:tcBorders>
          </w:tcPr>
          <w:p>
            <w:pPr>
              <w:pStyle w:val="SSBBodyText"/>
              <w:snapToGrid w:val="false"/>
              <w:spacing w:lineRule="auto" w:line="240" w:before="0" w:after="180"/>
              <w:jc w:val="center"/>
              <w:rPr>
                <w:lang w:eastAsia="en-US"/>
              </w:rPr>
            </w:pPr>
            <w:r>
              <w:rPr>
                <w:lang w:eastAsia="en-US"/>
              </w:rPr>
            </w:r>
          </w:p>
        </w:tc>
        <w:tc>
          <w:tcPr>
            <w:tcW w:w="900" w:type="dxa"/>
            <w:tcBorders>
              <w:top w:val="single" w:sz="4" w:space="0" w:color="000000"/>
              <w:start w:val="single" w:sz="4" w:space="0" w:color="000000"/>
              <w:bottom w:val="single" w:sz="4" w:space="0" w:color="000000"/>
              <w:end w:val="single" w:sz="4" w:space="0" w:color="000000"/>
            </w:tcBorders>
          </w:tcPr>
          <w:p>
            <w:pPr>
              <w:pStyle w:val="SSBBodyText"/>
              <w:snapToGrid w:val="false"/>
              <w:spacing w:lineRule="auto" w:line="240" w:before="0" w:after="180"/>
              <w:jc w:val="center"/>
              <w:rPr>
                <w:lang w:eastAsia="en-US"/>
              </w:rPr>
            </w:pPr>
            <w:r>
              <w:rPr>
                <w:lang w:eastAsia="en-US"/>
              </w:rPr>
            </w:r>
          </w:p>
        </w:tc>
        <w:tc>
          <w:tcPr>
            <w:tcW w:w="1080" w:type="dxa"/>
            <w:tcBorders>
              <w:top w:val="single" w:sz="4" w:space="0" w:color="000000"/>
              <w:start w:val="single" w:sz="4" w:space="0" w:color="000000"/>
              <w:bottom w:val="single" w:sz="4" w:space="0" w:color="000000"/>
              <w:end w:val="single" w:sz="4" w:space="0" w:color="000000"/>
            </w:tcBorders>
          </w:tcPr>
          <w:p>
            <w:pPr>
              <w:pStyle w:val="SSBBodyText"/>
              <w:snapToGrid w:val="false"/>
              <w:spacing w:lineRule="auto" w:line="240" w:before="0" w:after="180"/>
              <w:jc w:val="center"/>
              <w:rPr>
                <w:lang w:eastAsia="en-US"/>
              </w:rPr>
            </w:pPr>
            <w:r>
              <w:rPr>
                <w:lang w:eastAsia="en-US"/>
              </w:rPr>
            </w:r>
          </w:p>
        </w:tc>
      </w:tr>
    </w:tbl>
    <w:p>
      <w:pPr>
        <w:pStyle w:val="SSBBodyText"/>
        <w:spacing w:lineRule="auto" w:line="240" w:before="0" w:after="0"/>
        <w:rPr>
          <w:sz w:val="18"/>
        </w:rPr>
      </w:pPr>
      <w:r>
        <w:rPr>
          <w:sz w:val="18"/>
        </w:rPr>
      </w:r>
    </w:p>
    <w:p>
      <w:pPr>
        <w:pStyle w:val="SSBBodyText"/>
        <w:spacing w:lineRule="auto" w:line="240" w:before="0" w:after="0"/>
        <w:rPr/>
      </w:pPr>
      <w:r>
        <w:rPr>
          <w:sz w:val="18"/>
          <w:vertAlign w:val="superscript"/>
        </w:rPr>
        <w:t xml:space="preserve">1 </w:t>
      </w:r>
      <w:r>
        <w:rPr>
          <w:sz w:val="18"/>
        </w:rPr>
        <w:t>WMB tolls capacity owned by AES in California, therefore limiting AES’ exposure</w:t>
      </w:r>
    </w:p>
    <w:p>
      <w:pPr>
        <w:pStyle w:val="SSBBodyText"/>
        <w:spacing w:lineRule="auto" w:line="240" w:before="0" w:after="0"/>
        <w:rPr/>
      </w:pPr>
      <w:r>
        <w:rPr>
          <w:sz w:val="18"/>
          <w:vertAlign w:val="superscript"/>
        </w:rPr>
        <w:t>2</w:t>
      </w:r>
      <w:r>
        <w:rPr>
          <w:sz w:val="18"/>
        </w:rPr>
        <w:t xml:space="preserve"> Receivables and reserves as of 3/9/01</w:t>
      </w:r>
    </w:p>
    <w:p>
      <w:pPr>
        <w:pStyle w:val="SSBBodyText"/>
        <w:spacing w:lineRule="auto" w:line="240" w:before="0" w:after="0"/>
        <w:rPr/>
      </w:pPr>
      <w:r>
        <w:rPr>
          <w:sz w:val="18"/>
          <w:vertAlign w:val="superscript"/>
        </w:rPr>
        <w:t>3</w:t>
      </w:r>
      <w:r>
        <w:rPr>
          <w:sz w:val="18"/>
        </w:rPr>
        <w:t xml:space="preserve"> Receivables and reserves as of 12/31/00</w:t>
      </w:r>
    </w:p>
    <w:p>
      <w:pPr>
        <w:pStyle w:val="SSBBodyText"/>
        <w:spacing w:lineRule="auto" w:line="240" w:before="0" w:after="0"/>
        <w:rPr/>
      </w:pPr>
      <w:r>
        <w:rPr>
          <w:sz w:val="18"/>
          <w:vertAlign w:val="superscript"/>
        </w:rPr>
        <w:t>4</w:t>
      </w:r>
      <w:r>
        <w:rPr>
          <w:sz w:val="18"/>
        </w:rPr>
        <w:t xml:space="preserve"> Receivables as of 2/28/00; state that they have taken “adequate” reserves</w:t>
      </w:r>
    </w:p>
    <w:p>
      <w:pPr>
        <w:pStyle w:val="SSBBodyText"/>
        <w:spacing w:lineRule="auto" w:line="240" w:before="0" w:after="0"/>
        <w:rPr/>
      </w:pPr>
      <w:r>
        <w:rPr>
          <w:sz w:val="18"/>
          <w:vertAlign w:val="superscript"/>
        </w:rPr>
        <w:t>5</w:t>
      </w:r>
      <w:r>
        <w:rPr>
          <w:sz w:val="18"/>
        </w:rPr>
        <w:t xml:space="preserve"> We estimate that ENE has minimal exposure to California</w:t>
      </w:r>
    </w:p>
    <w:p>
      <w:pPr>
        <w:pStyle w:val="SSBBodyText"/>
        <w:spacing w:lineRule="auto" w:line="240" w:before="0" w:after="0"/>
        <w:rPr/>
      </w:pPr>
      <w:r>
        <w:rPr>
          <w:sz w:val="18"/>
          <w:vertAlign w:val="superscript"/>
        </w:rPr>
        <w:t>6</w:t>
      </w:r>
      <w:r>
        <w:rPr>
          <w:sz w:val="18"/>
        </w:rPr>
        <w:t xml:space="preserve"> Receivables as of 12/31/00; state that they have taken “adequate” reserves</w:t>
      </w:r>
    </w:p>
    <w:p>
      <w:pPr>
        <w:pStyle w:val="SSBBodyText"/>
        <w:spacing w:lineRule="auto" w:line="240" w:before="0" w:after="0"/>
        <w:rPr/>
      </w:pPr>
      <w:r>
        <w:rPr>
          <w:sz w:val="18"/>
          <w:vertAlign w:val="superscript"/>
        </w:rPr>
        <w:t>7</w:t>
      </w:r>
      <w:r>
        <w:rPr>
          <w:sz w:val="18"/>
        </w:rPr>
        <w:t xml:space="preserve"> Receivables as of 2/28/01 and reserve estimate as of 12/31/00.</w:t>
      </w:r>
    </w:p>
    <w:p>
      <w:pPr>
        <w:pStyle w:val="SSBBodyText"/>
        <w:spacing w:lineRule="auto" w:line="240" w:before="0" w:after="0"/>
        <w:rPr/>
      </w:pPr>
      <w:r>
        <w:rPr>
          <w:sz w:val="18"/>
          <w:vertAlign w:val="superscript"/>
        </w:rPr>
        <w:t>8</w:t>
      </w:r>
      <w:r>
        <w:rPr>
          <w:sz w:val="18"/>
        </w:rPr>
        <w:t xml:space="preserve"> Receivables and reserves as of 2/28/01</w:t>
      </w:r>
    </w:p>
    <w:p>
      <w:pPr>
        <w:pStyle w:val="SSBBodyText"/>
        <w:spacing w:lineRule="auto" w:line="240" w:before="0" w:after="0"/>
        <w:rPr/>
      </w:pPr>
      <w:r>
        <w:rPr>
          <w:sz w:val="18"/>
          <w:vertAlign w:val="superscript"/>
        </w:rPr>
        <w:t>9</w:t>
      </w:r>
      <w:r>
        <w:rPr>
          <w:sz w:val="18"/>
        </w:rPr>
        <w:t xml:space="preserve"> Receivables as of 3/1/01; reserves as of 12/31/00</w:t>
      </w:r>
    </w:p>
    <w:p>
      <w:pPr>
        <w:pStyle w:val="SSBBodyText"/>
        <w:rPr/>
      </w:pPr>
      <w:r>
        <w:rPr>
          <w:sz w:val="18"/>
          <w:vertAlign w:val="superscript"/>
        </w:rPr>
        <w:t>10</w:t>
      </w:r>
      <w:r>
        <w:rPr>
          <w:sz w:val="18"/>
        </w:rPr>
        <w:t xml:space="preserve"> Receivables as of 12/31/00; state that they have taken “adequate” reserves</w:t>
      </w:r>
      <w:r>
        <w:rPr/>
        <w:t xml:space="preserve"> </w:t>
      </w:r>
    </w:p>
    <w:p>
      <w:pPr>
        <w:pStyle w:val="SSBBodyText"/>
        <w:rPr/>
      </w:pPr>
      <w:r>
        <w:rPr/>
        <w:t>In the table above, we have compiled estimates of total receivables exposure to California utilities.  Sources include 10-K filings and company releases.  In most cases these amounts include exposure to all California utilities, not just PCG.  We have converted these dollar amounts into EPS estimates.  To facilitate comparison across companies, we have calculated this amount as a percentage of 2001E EPS.  Our calculations are as company-specific as possible, but each company situation is unique and actual exposures may be more or less than the amounts indicated.</w:t>
      </w:r>
    </w:p>
    <w:p>
      <w:pPr>
        <w:pStyle w:val="SSBBodyText"/>
        <w:rPr/>
      </w:pPr>
      <w:r>
        <w:rPr/>
        <w:t>Recovery of the receivables is likely to take a long time in a bankruptcy proceeding, as long as 2-3 years according to some.  However, as trade creditors, we think each of the companies below should receive relatively high standing in the process, and may recover a significant portion of these amounts.  From an investment perspective, these amounts have to be considered “one-time” in nature.  Even if the full amounts were lost, they do not reflect a loss of ongoing earnings power.  In our view, the loss of these amounts or loss of the time value of money has already been more than fully discounted in share prices.  While the total receivables exposure we have identified is $2 billion, the companies listed below lost a combined $4.5 billion in equity market capitalization on Friday following the PCG bankruptcy announcement (total market capitalization remains at $186 billion).</w:t>
      </w:r>
    </w:p>
    <w:p>
      <w:pPr>
        <w:pStyle w:val="SSBBodyText"/>
        <w:rPr/>
      </w:pPr>
      <w:r>
        <w:rPr>
          <w:b/>
        </w:rPr>
        <w:t>Greatest One-Time Exposure:</w:t>
      </w:r>
      <w:r>
        <w:rPr/>
        <w:t xml:space="preserve">  The group of companies with the greatest receivables exposure (20% or more of 2001E EPS) include:  NRG, MIR, DYN, CPN, and REI.  All of these companies possess “hard assets” on the ground in California. That is, all of these companies own power generating facilities in California and face exposure because of their past sales to the California utilities.</w:t>
      </w:r>
    </w:p>
    <w:p>
      <w:pPr>
        <w:pStyle w:val="SSBBodyText"/>
        <w:rPr/>
      </w:pPr>
      <w:r>
        <w:rPr>
          <w:b/>
        </w:rPr>
        <w:t>Least One-Time Exposure:</w:t>
      </w:r>
      <w:r>
        <w:rPr/>
        <w:t xml:space="preserve">  The companies with the least exposure (10% or less of 2001E EPS) include:  DUK, WMB, EPG, AES and ENE.  DUK and AES own significant assets on the ground.  DUK’s exposure is limited because it has a large earnings base outside of California, which includes other unregulated generating assets and extensive regulated utility and natural gas pipeline properties.  AES has a large presence in California.  However, we believe their exposure is limited because of their commercial “tolling” arrangement with WMB wherein WMB takes the commercial risk for operation of the plants.  We assume that in a bankruptcy situation, WMB would continue to bear the credit risk, but need verification of whether this is true.</w:t>
      </w:r>
    </w:p>
    <w:p>
      <w:pPr>
        <w:pStyle w:val="Normal"/>
        <w:rPr>
          <w:b/>
        </w:rPr>
      </w:pPr>
      <w:r>
        <w:rPr>
          <w:b/>
        </w:rPr>
        <w:t>2.  WHAT ARE THE ONGOING EARNINGS POTENTIALLY AT RISK?</w:t>
      </w:r>
    </w:p>
    <w:p>
      <w:pPr>
        <w:pStyle w:val="Normal"/>
        <w:rPr>
          <w:b/>
        </w:rPr>
      </w:pPr>
      <w:r>
        <w:rPr>
          <w:b/>
        </w:rPr>
      </w:r>
    </w:p>
    <w:p>
      <w:pPr>
        <w:pStyle w:val="Normal"/>
        <w:rPr/>
      </w:pPr>
      <w:r>
        <w:rPr/>
        <w:t>We do not see a large risk that on a going-forward basis, the merchants/power producers will not get paid. Pacific Gas &amp; Electrics’ bankruptcy filing certainly makes the recovery of past (pre-petition) payments owed to power suppliers more difficult and drawn out, but going forward (post-petition) there should be greater visibility and diminished risks to payment, in our opinion, primarily because the state has emerged as the principal payor in California  Some specifics are provided below:</w:t>
      </w:r>
    </w:p>
    <w:p>
      <w:pPr>
        <w:pStyle w:val="Normal"/>
        <w:rPr/>
      </w:pPr>
      <w:r>
        <w:rPr/>
      </w:r>
    </w:p>
    <w:p>
      <w:pPr>
        <w:pStyle w:val="Normal"/>
        <w:numPr>
          <w:ilvl w:val="0"/>
          <w:numId w:val="1"/>
        </w:numPr>
        <w:rPr/>
      </w:pPr>
      <w:r>
        <w:rPr/>
        <w:t>Starting in early February, generators have entered into near- and long-term contracts with the California Department of Water Resources (DWR), a state agency.  Payments are made out of the state’s coffers, including proceeds from a pending $10+ billion bond issue, which is still on track.  Purchases from the DWR have largely replaced the power that was bought on the spot market through the now defunct California Power Exchange (where most was sold to the utilities).  Thus, PG&amp;E is no longer the size buyer that it once was in the power market.</w:t>
      </w:r>
    </w:p>
    <w:p>
      <w:pPr>
        <w:pStyle w:val="Normal"/>
        <w:numPr>
          <w:ilvl w:val="0"/>
          <w:numId w:val="1"/>
        </w:numPr>
        <w:rPr/>
      </w:pPr>
      <w:r>
        <w:rPr/>
        <w:t>PG&amp;E still has contracts with “Qualifying Facilities” (small generators) and bilateral agreements with generators.  Under chapter 11, post-petition payments to suppliers are given priority and are expected to be paid 100%.  PG&amp;E also confirmed that it intends to pay post-petition suppliers in full.</w:t>
      </w:r>
    </w:p>
    <w:p>
      <w:pPr>
        <w:pStyle w:val="Normal"/>
        <w:numPr>
          <w:ilvl w:val="0"/>
          <w:numId w:val="1"/>
        </w:numPr>
        <w:rPr/>
      </w:pPr>
      <w:r>
        <w:rPr/>
        <w:t>Under Chapter 11, the business is considered an ongoing concern. PG&amp;E fully intends to continue delivering electricity and natural gas to its customers. To do so, PG&amp;E will need the full support of its suppliers.</w:t>
      </w:r>
    </w:p>
    <w:p>
      <w:pPr>
        <w:pStyle w:val="Normal"/>
        <w:rPr/>
      </w:pPr>
      <w:r>
        <w:rPr/>
      </w:r>
    </w:p>
    <w:p>
      <w:pPr>
        <w:pStyle w:val="Normal"/>
        <w:rPr/>
      </w:pPr>
      <w:r>
        <w:rPr/>
        <w:t>Thus, going forward, risks for suppliers to PG&amp;E appear to have declined due to the ability of PG&amp;E to reorganize past obligations under court jurisdiction.</w:t>
      </w:r>
    </w:p>
    <w:p>
      <w:pPr>
        <w:pStyle w:val="Normal"/>
        <w:rPr/>
      </w:pPr>
      <w:r>
        <w:rPr/>
      </w:r>
    </w:p>
    <w:p>
      <w:pPr>
        <w:pStyle w:val="SSBBodyText"/>
        <w:rPr>
          <w:b/>
        </w:rPr>
      </w:pPr>
      <w:r>
        <w:rPr>
          <w:b/>
        </w:rPr>
        <w:t>Year-End 2000 Exposure to California Power Markets (Megawatts)</w:t>
      </w:r>
    </w:p>
    <w:tbl>
      <w:tblPr>
        <w:tblW w:w="7667" w:type="dxa"/>
        <w:jc w:val="start"/>
        <w:tblInd w:w="0" w:type="dxa"/>
        <w:tblLayout w:type="fixed"/>
        <w:tblCellMar>
          <w:top w:w="0" w:type="dxa"/>
          <w:start w:w="108" w:type="dxa"/>
          <w:bottom w:w="0" w:type="dxa"/>
          <w:end w:w="108" w:type="dxa"/>
        </w:tblCellMar>
      </w:tblPr>
      <w:tblGrid>
        <w:gridCol w:w="1197"/>
        <w:gridCol w:w="1583"/>
        <w:gridCol w:w="1453"/>
        <w:gridCol w:w="1004"/>
        <w:gridCol w:w="1170"/>
        <w:gridCol w:w="1260"/>
      </w:tblGrid>
      <w:tr>
        <w:trPr>
          <w:trHeight w:val="240" w:hRule="exact"/>
        </w:trPr>
        <w:tc>
          <w:tcPr>
            <w:tcW w:w="1197" w:type="dxa"/>
            <w:tcBorders>
              <w:top w:val="single" w:sz="4" w:space="0" w:color="000000"/>
              <w:start w:val="single" w:sz="4" w:space="0" w:color="000000"/>
              <w:bottom w:val="single" w:sz="4" w:space="0" w:color="000000"/>
              <w:end w:val="single" w:sz="4" w:space="0" w:color="000000"/>
            </w:tcBorders>
          </w:tcPr>
          <w:p>
            <w:pPr>
              <w:pStyle w:val="SSBBodyText"/>
              <w:spacing w:before="0" w:after="180"/>
              <w:rPr>
                <w:b/>
              </w:rPr>
            </w:pPr>
            <w:r>
              <w:rPr>
                <w:b/>
              </w:rPr>
              <w:t>Company</w:t>
            </w:r>
          </w:p>
        </w:tc>
        <w:tc>
          <w:tcPr>
            <w:tcW w:w="1583" w:type="dxa"/>
            <w:tcBorders>
              <w:top w:val="single" w:sz="4" w:space="0" w:color="000000"/>
              <w:start w:val="single" w:sz="4" w:space="0" w:color="000000"/>
              <w:bottom w:val="single" w:sz="4" w:space="0" w:color="000000"/>
              <w:end w:val="single" w:sz="4" w:space="0" w:color="000000"/>
            </w:tcBorders>
          </w:tcPr>
          <w:p>
            <w:pPr>
              <w:pStyle w:val="SSBBodyText"/>
              <w:spacing w:before="0" w:after="180"/>
              <w:rPr>
                <w:b/>
              </w:rPr>
            </w:pPr>
            <w:r>
              <w:rPr>
                <w:b/>
              </w:rPr>
              <w:t>Co. Name</w:t>
            </w:r>
          </w:p>
        </w:tc>
        <w:tc>
          <w:tcPr>
            <w:tcW w:w="1453" w:type="dxa"/>
            <w:tcBorders>
              <w:top w:val="single" w:sz="4" w:space="0" w:color="000000"/>
              <w:start w:val="single" w:sz="4" w:space="0" w:color="000000"/>
              <w:bottom w:val="single" w:sz="4" w:space="0" w:color="000000"/>
              <w:end w:val="single" w:sz="4" w:space="0" w:color="000000"/>
            </w:tcBorders>
          </w:tcPr>
          <w:p>
            <w:pPr>
              <w:pStyle w:val="SSBBodyText"/>
              <w:spacing w:before="0" w:after="180"/>
              <w:rPr>
                <w:b/>
              </w:rPr>
            </w:pPr>
            <w:r>
              <w:rPr>
                <w:b/>
              </w:rPr>
              <w:t>Rating/Price</w:t>
            </w:r>
          </w:p>
        </w:tc>
        <w:tc>
          <w:tcPr>
            <w:tcW w:w="1004" w:type="dxa"/>
            <w:tcBorders>
              <w:top w:val="single" w:sz="4" w:space="0" w:color="000000"/>
              <w:start w:val="single" w:sz="4" w:space="0" w:color="000000"/>
              <w:bottom w:val="single" w:sz="4" w:space="0" w:color="000000"/>
              <w:end w:val="single" w:sz="4" w:space="0" w:color="000000"/>
            </w:tcBorders>
          </w:tcPr>
          <w:p>
            <w:pPr>
              <w:pStyle w:val="SSBBodyText"/>
              <w:spacing w:before="0" w:after="180"/>
              <w:rPr>
                <w:b/>
              </w:rPr>
            </w:pPr>
            <w:r>
              <w:rPr>
                <w:b/>
              </w:rPr>
              <w:t>Total</w:t>
            </w:r>
          </w:p>
        </w:tc>
        <w:tc>
          <w:tcPr>
            <w:tcW w:w="1170" w:type="dxa"/>
            <w:tcBorders>
              <w:top w:val="single" w:sz="4" w:space="0" w:color="000000"/>
              <w:start w:val="single" w:sz="4" w:space="0" w:color="000000"/>
              <w:bottom w:val="single" w:sz="4" w:space="0" w:color="000000"/>
              <w:end w:val="single" w:sz="4" w:space="0" w:color="000000"/>
            </w:tcBorders>
          </w:tcPr>
          <w:p>
            <w:pPr>
              <w:pStyle w:val="SSBBodyText"/>
              <w:spacing w:before="0" w:after="180"/>
              <w:rPr>
                <w:b/>
              </w:rPr>
            </w:pPr>
            <w:r>
              <w:rPr>
                <w:b/>
              </w:rPr>
              <w:t>California</w:t>
            </w:r>
          </w:p>
        </w:tc>
        <w:tc>
          <w:tcPr>
            <w:tcW w:w="1260" w:type="dxa"/>
            <w:tcBorders>
              <w:top w:val="single" w:sz="4" w:space="0" w:color="000000"/>
              <w:start w:val="single" w:sz="4" w:space="0" w:color="000000"/>
              <w:bottom w:val="single" w:sz="4" w:space="0" w:color="000000"/>
              <w:end w:val="single" w:sz="4" w:space="0" w:color="000000"/>
            </w:tcBorders>
          </w:tcPr>
          <w:p>
            <w:pPr>
              <w:pStyle w:val="SSBBodyText"/>
              <w:spacing w:before="0" w:after="180"/>
              <w:rPr>
                <w:b/>
              </w:rPr>
            </w:pPr>
            <w:r>
              <w:rPr>
                <w:b/>
              </w:rPr>
              <w:t>% of Total</w:t>
            </w:r>
          </w:p>
        </w:tc>
      </w:tr>
      <w:tr>
        <w:trPr>
          <w:trHeight w:val="240" w:hRule="exact"/>
        </w:trPr>
        <w:tc>
          <w:tcPr>
            <w:tcW w:w="1197"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AES#</w:t>
            </w:r>
          </w:p>
        </w:tc>
        <w:tc>
          <w:tcPr>
            <w:tcW w:w="1583"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AES Corp.</w:t>
            </w:r>
          </w:p>
        </w:tc>
        <w:tc>
          <w:tcPr>
            <w:tcW w:w="1453"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1H $44</w:t>
            </w:r>
          </w:p>
        </w:tc>
        <w:tc>
          <w:tcPr>
            <w:tcW w:w="1004"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29,798</w:t>
            </w:r>
          </w:p>
        </w:tc>
        <w:tc>
          <w:tcPr>
            <w:tcW w:w="1170"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 xml:space="preserve">    </w:t>
            </w:r>
            <w:r>
              <w:rPr/>
              <w:t>120</w:t>
            </w:r>
          </w:p>
        </w:tc>
        <w:tc>
          <w:tcPr>
            <w:tcW w:w="1260"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 xml:space="preserve">  </w:t>
            </w:r>
            <w:r>
              <w:rPr/>
              <w:t>0.4%</w:t>
            </w:r>
          </w:p>
        </w:tc>
      </w:tr>
      <w:tr>
        <w:trPr>
          <w:trHeight w:val="240" w:hRule="exact"/>
        </w:trPr>
        <w:tc>
          <w:tcPr>
            <w:tcW w:w="1197"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CPN#</w:t>
            </w:r>
          </w:p>
        </w:tc>
        <w:tc>
          <w:tcPr>
            <w:tcW w:w="1583"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Calpine</w:t>
            </w:r>
          </w:p>
        </w:tc>
        <w:tc>
          <w:tcPr>
            <w:tcW w:w="1453"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1H $47</w:t>
            </w:r>
          </w:p>
        </w:tc>
        <w:tc>
          <w:tcPr>
            <w:tcW w:w="1004"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 xml:space="preserve">  </w:t>
            </w:r>
            <w:r>
              <w:rPr/>
              <w:t>5,912</w:t>
            </w:r>
          </w:p>
        </w:tc>
        <w:tc>
          <w:tcPr>
            <w:tcW w:w="1170"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 xml:space="preserve"> </w:t>
            </w:r>
            <w:r>
              <w:rPr/>
              <w:t>1,355</w:t>
            </w:r>
          </w:p>
        </w:tc>
        <w:tc>
          <w:tcPr>
            <w:tcW w:w="1260"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22.9%</w:t>
            </w:r>
          </w:p>
        </w:tc>
      </w:tr>
      <w:tr>
        <w:trPr>
          <w:trHeight w:val="240" w:hRule="exact"/>
        </w:trPr>
        <w:tc>
          <w:tcPr>
            <w:tcW w:w="1197"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DUK*#</w:t>
            </w:r>
          </w:p>
        </w:tc>
        <w:tc>
          <w:tcPr>
            <w:tcW w:w="1583"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Duke Energy</w:t>
            </w:r>
          </w:p>
        </w:tc>
        <w:tc>
          <w:tcPr>
            <w:tcW w:w="1453"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1M $40</w:t>
            </w:r>
          </w:p>
        </w:tc>
        <w:tc>
          <w:tcPr>
            <w:tcW w:w="1004"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 xml:space="preserve">  </w:t>
            </w:r>
            <w:r>
              <w:rPr/>
              <w:t>9,285</w:t>
            </w:r>
          </w:p>
        </w:tc>
        <w:tc>
          <w:tcPr>
            <w:tcW w:w="1170"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 xml:space="preserve"> </w:t>
            </w:r>
            <w:r>
              <w:rPr/>
              <w:t>3,615</w:t>
            </w:r>
          </w:p>
        </w:tc>
        <w:tc>
          <w:tcPr>
            <w:tcW w:w="1260"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38.9%*</w:t>
            </w:r>
          </w:p>
        </w:tc>
      </w:tr>
      <w:tr>
        <w:trPr>
          <w:trHeight w:val="240" w:hRule="exact"/>
        </w:trPr>
        <w:tc>
          <w:tcPr>
            <w:tcW w:w="1197"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DYN#</w:t>
            </w:r>
          </w:p>
        </w:tc>
        <w:tc>
          <w:tcPr>
            <w:tcW w:w="1583"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Dynegy</w:t>
            </w:r>
          </w:p>
        </w:tc>
        <w:tc>
          <w:tcPr>
            <w:tcW w:w="1453"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1H $48</w:t>
            </w:r>
          </w:p>
        </w:tc>
        <w:tc>
          <w:tcPr>
            <w:tcW w:w="1004"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 xml:space="preserve">  </w:t>
            </w:r>
            <w:r>
              <w:rPr/>
              <w:t>8,804</w:t>
            </w:r>
          </w:p>
        </w:tc>
        <w:tc>
          <w:tcPr>
            <w:tcW w:w="1170"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 xml:space="preserve"> </w:t>
            </w:r>
            <w:r>
              <w:rPr/>
              <w:t>1,400</w:t>
            </w:r>
          </w:p>
        </w:tc>
        <w:tc>
          <w:tcPr>
            <w:tcW w:w="1260"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15.9%</w:t>
            </w:r>
          </w:p>
        </w:tc>
      </w:tr>
      <w:tr>
        <w:trPr>
          <w:trHeight w:val="240" w:hRule="exact"/>
        </w:trPr>
        <w:tc>
          <w:tcPr>
            <w:tcW w:w="1197"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ENE#</w:t>
            </w:r>
          </w:p>
        </w:tc>
        <w:tc>
          <w:tcPr>
            <w:tcW w:w="1583"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Enron</w:t>
            </w:r>
          </w:p>
        </w:tc>
        <w:tc>
          <w:tcPr>
            <w:tcW w:w="1453"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1H $54</w:t>
            </w:r>
          </w:p>
        </w:tc>
        <w:tc>
          <w:tcPr>
            <w:tcW w:w="1004"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 xml:space="preserve">  </w:t>
            </w:r>
            <w:r>
              <w:rPr/>
              <w:t xml:space="preserve">3,000  </w:t>
            </w:r>
          </w:p>
        </w:tc>
        <w:tc>
          <w:tcPr>
            <w:tcW w:w="1170"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 xml:space="preserve">      </w:t>
            </w:r>
            <w:r>
              <w:rPr/>
              <w:t>60</w:t>
            </w:r>
          </w:p>
        </w:tc>
        <w:tc>
          <w:tcPr>
            <w:tcW w:w="1260"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 xml:space="preserve">  </w:t>
            </w:r>
            <w:r>
              <w:rPr/>
              <w:t>2.0%</w:t>
            </w:r>
          </w:p>
        </w:tc>
      </w:tr>
      <w:tr>
        <w:trPr>
          <w:trHeight w:val="240" w:hRule="exact"/>
        </w:trPr>
        <w:tc>
          <w:tcPr>
            <w:tcW w:w="1197"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EPG#</w:t>
            </w:r>
          </w:p>
        </w:tc>
        <w:tc>
          <w:tcPr>
            <w:tcW w:w="1583"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El Paso</w:t>
            </w:r>
          </w:p>
        </w:tc>
        <w:tc>
          <w:tcPr>
            <w:tcW w:w="1453"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1H $63</w:t>
            </w:r>
          </w:p>
        </w:tc>
        <w:tc>
          <w:tcPr>
            <w:tcW w:w="1004"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 xml:space="preserve">  </w:t>
            </w:r>
            <w:r>
              <w:rPr/>
              <w:t>5,812</w:t>
            </w:r>
          </w:p>
        </w:tc>
        <w:tc>
          <w:tcPr>
            <w:tcW w:w="1170"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 xml:space="preserve">    </w:t>
            </w:r>
            <w:r>
              <w:rPr/>
              <w:t>370</w:t>
            </w:r>
          </w:p>
        </w:tc>
        <w:tc>
          <w:tcPr>
            <w:tcW w:w="1260"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 xml:space="preserve">  </w:t>
            </w:r>
            <w:r>
              <w:rPr/>
              <w:t>6.4%</w:t>
            </w:r>
          </w:p>
        </w:tc>
      </w:tr>
      <w:tr>
        <w:trPr>
          <w:trHeight w:val="240" w:hRule="exact"/>
        </w:trPr>
        <w:tc>
          <w:tcPr>
            <w:tcW w:w="1197"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NRG#</w:t>
            </w:r>
          </w:p>
        </w:tc>
        <w:tc>
          <w:tcPr>
            <w:tcW w:w="1583"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NRG Energy</w:t>
            </w:r>
          </w:p>
        </w:tc>
        <w:tc>
          <w:tcPr>
            <w:tcW w:w="1453"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1H $31</w:t>
            </w:r>
          </w:p>
        </w:tc>
        <w:tc>
          <w:tcPr>
            <w:tcW w:w="1004"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15,007</w:t>
            </w:r>
          </w:p>
        </w:tc>
        <w:tc>
          <w:tcPr>
            <w:tcW w:w="1170"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 xml:space="preserve"> </w:t>
            </w:r>
            <w:r>
              <w:rPr/>
              <w:t>1,586</w:t>
            </w:r>
          </w:p>
        </w:tc>
        <w:tc>
          <w:tcPr>
            <w:tcW w:w="1260"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 xml:space="preserve">  </w:t>
            </w:r>
            <w:r>
              <w:rPr/>
              <w:t>9.9%</w:t>
            </w:r>
          </w:p>
        </w:tc>
      </w:tr>
      <w:tr>
        <w:trPr>
          <w:trHeight w:val="240" w:hRule="exact"/>
        </w:trPr>
        <w:tc>
          <w:tcPr>
            <w:tcW w:w="1197"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MIR#</w:t>
            </w:r>
          </w:p>
        </w:tc>
        <w:tc>
          <w:tcPr>
            <w:tcW w:w="1583"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Mirant</w:t>
            </w:r>
          </w:p>
        </w:tc>
        <w:tc>
          <w:tcPr>
            <w:tcW w:w="1453"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1H $30</w:t>
            </w:r>
          </w:p>
        </w:tc>
        <w:tc>
          <w:tcPr>
            <w:tcW w:w="1004"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14,622</w:t>
            </w:r>
          </w:p>
        </w:tc>
        <w:tc>
          <w:tcPr>
            <w:tcW w:w="1170"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 xml:space="preserve"> </w:t>
            </w:r>
            <w:r>
              <w:rPr/>
              <w:t>3,185</w:t>
            </w:r>
          </w:p>
        </w:tc>
        <w:tc>
          <w:tcPr>
            <w:tcW w:w="1260"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21.8%</w:t>
            </w:r>
          </w:p>
        </w:tc>
      </w:tr>
      <w:tr>
        <w:trPr>
          <w:trHeight w:val="240" w:hRule="exact"/>
        </w:trPr>
        <w:tc>
          <w:tcPr>
            <w:tcW w:w="1197"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REI*$#</w:t>
            </w:r>
          </w:p>
        </w:tc>
        <w:tc>
          <w:tcPr>
            <w:tcW w:w="1583"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Reliant Energy</w:t>
            </w:r>
          </w:p>
        </w:tc>
        <w:tc>
          <w:tcPr>
            <w:tcW w:w="1453"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3M $44</w:t>
            </w:r>
          </w:p>
        </w:tc>
        <w:tc>
          <w:tcPr>
            <w:tcW w:w="1004"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12,869</w:t>
            </w:r>
          </w:p>
        </w:tc>
        <w:tc>
          <w:tcPr>
            <w:tcW w:w="1170"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 xml:space="preserve"> </w:t>
            </w:r>
            <w:r>
              <w:rPr/>
              <w:t>3,767</w:t>
            </w:r>
          </w:p>
        </w:tc>
        <w:tc>
          <w:tcPr>
            <w:tcW w:w="1260"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29.3%*</w:t>
            </w:r>
          </w:p>
        </w:tc>
      </w:tr>
      <w:tr>
        <w:trPr>
          <w:trHeight w:val="240" w:hRule="exact"/>
        </w:trPr>
        <w:tc>
          <w:tcPr>
            <w:tcW w:w="1197"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WMB*#</w:t>
            </w:r>
          </w:p>
        </w:tc>
        <w:tc>
          <w:tcPr>
            <w:tcW w:w="1583"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Williams Enrgy</w:t>
            </w:r>
          </w:p>
        </w:tc>
        <w:tc>
          <w:tcPr>
            <w:tcW w:w="1453"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1H $41</w:t>
            </w:r>
          </w:p>
        </w:tc>
        <w:tc>
          <w:tcPr>
            <w:tcW w:w="1004"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 xml:space="preserve">  </w:t>
            </w:r>
            <w:r>
              <w:rPr/>
              <w:t>7,887</w:t>
            </w:r>
          </w:p>
        </w:tc>
        <w:tc>
          <w:tcPr>
            <w:tcW w:w="1170"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 xml:space="preserve"> </w:t>
            </w:r>
            <w:r>
              <w:rPr/>
              <w:t>3,980</w:t>
            </w:r>
          </w:p>
        </w:tc>
        <w:tc>
          <w:tcPr>
            <w:tcW w:w="1260"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50.4%*</w:t>
            </w:r>
          </w:p>
        </w:tc>
      </w:tr>
    </w:tbl>
    <w:p>
      <w:pPr>
        <w:pStyle w:val="SSBBodyText"/>
        <w:rPr>
          <w:sz w:val="18"/>
        </w:rPr>
      </w:pPr>
      <w:r>
        <w:rPr>
          <w:sz w:val="18"/>
        </w:rPr>
        <w:t>*DUK and REI also have extensive regulated utility operations, so there corporate financial exposure to California is far less than the percentages indicated.  WMB has extensive earnings from other sources, such as pipelines, E&amp;P and midstream, so their corporate financial exposure is also much less.  AES owns 4,100 megawatts in California, but the commercial risk for all but 120 megawatts is controlled by WMB in a tolling arrangement.  The WMB number reflects these tolled megawatts.</w:t>
      </w:r>
    </w:p>
    <w:p>
      <w:pPr>
        <w:pStyle w:val="Normal"/>
        <w:rPr/>
      </w:pPr>
      <w:r>
        <w:rPr/>
        <w:t>Nevertheless, to provide a complete analysis, we estimate the ongoing earnings power from California.  We used a simple methodology to triangulate this number:  number of megawatts in the state as a percentage of the firm’s total megawatts.  This is only a rough estimate, for various reasons.  For example, CPN is a 100% domestic generating company.  The percentage is a realistic base estimate, in our view, of their earnings exposure in California.  MIR, DUK, and REI, on the other hand, have extensive global and/or regulated operations that act as a buffer and “dilute” the impact of California on EPS.  Another factor is that margins have been inflated in California because of the large credit and political risk premiums that have boosted electricity rates.</w:t>
      </w:r>
    </w:p>
    <w:p>
      <w:pPr>
        <w:pStyle w:val="Normal"/>
        <w:rPr/>
      </w:pPr>
      <w:r>
        <w:rPr/>
      </w:r>
    </w:p>
    <w:p>
      <w:pPr>
        <w:pStyle w:val="Normal"/>
        <w:rPr/>
      </w:pPr>
      <w:r>
        <w:rPr/>
        <w:t>We think the best way to estimate ongoing earnings exposure is to combine the two charts  above, which shows the rate at which receivables have accumulated in California and how that relates to total earnings.</w:t>
      </w:r>
    </w:p>
    <w:p>
      <w:pPr>
        <w:pStyle w:val="Normal"/>
        <w:rPr/>
      </w:pPr>
      <w:r>
        <w:rPr/>
      </w:r>
    </w:p>
    <w:p>
      <w:pPr>
        <w:pStyle w:val="Normal"/>
        <w:rPr/>
      </w:pPr>
      <w:r>
        <w:rPr>
          <w:b/>
        </w:rPr>
        <w:t>Greatest Ongoing Earnings Exposure:</w:t>
      </w:r>
      <w:r>
        <w:rPr/>
        <w:t xml:space="preserve">  We estimate that CPN, WMB, DYN, DUK, REI and MIR have the greatest ongoing earnings exposure to California.  We estimate that CPN’s is the highest at 22.9%, and that the others’ actual exposures are significantly less than the indicated percentages due to other earnings not captured by the megawatt number.  For example, DYN has significant earnings from energy trading &amp; marketing, natural gas liquids, and a regulated utility.  MIR has extensive global earnings.  REI and DUK have extensive regulated utility and natural gas pipeline earnings.  WMB has significant natural gas pipeline, midstream and E&amp;P earnings.</w:t>
      </w:r>
    </w:p>
    <w:p>
      <w:pPr>
        <w:pStyle w:val="Normal"/>
        <w:rPr/>
      </w:pPr>
      <w:r>
        <w:rPr/>
      </w:r>
    </w:p>
    <w:p>
      <w:pPr>
        <w:pStyle w:val="Normal"/>
        <w:rPr/>
      </w:pPr>
      <w:r>
        <w:rPr>
          <w:b/>
        </w:rPr>
        <w:t>Least Ongoing Earnings Exposure:</w:t>
      </w:r>
      <w:r>
        <w:rPr/>
        <w:t xml:space="preserve">  We estimate that ENE, EPG and AES have the least ongoing earnings exposure.  We do not have “hard” numbers on ENE.  A megawatt number does not accurately reflect their exposure because nearly all of their generating assets are “virtual megawatts” created by their energy trading &amp; marketing operations.  Their risk is whatever contractual positions they have in California.  Our sense is that over the past months Enron has taken steps to significantly reduce their exposure to California.  Furthermore, ENE is a major global company, with widely diversified earnings sources, not just across the United States, but also Europe and to a lesser extent, Latin America and Asia.</w:t>
      </w:r>
    </w:p>
    <w:p>
      <w:pPr>
        <w:pStyle w:val="Normal"/>
        <w:rPr/>
      </w:pPr>
      <w:r>
        <w:rPr/>
        <w:t>EPG’s exposure on the power side is minimal.  However, EPG is a significant supplier of natural gas to the utilities.  EPG also has significant natural gas pipeline, E&amp;P, midstream sources of earnings.  We think their ongoing California exposure is limited.</w:t>
      </w:r>
    </w:p>
    <w:p>
      <w:pPr>
        <w:pStyle w:val="Normal"/>
        <w:rPr/>
      </w:pPr>
      <w:r>
        <w:rPr/>
        <w:t>Finally, AES has a largely megawatt portfolio in California (4,100 megawatts).  However, all but 120 MW is tolled to WMB.  Under normal circumstances, WMB must bear all commercial risk/reward from operation of the plants; AES is simply paid a fee to keep them operating.  We do not know for sure the status of their contract in a bankruptcy, but are acting under the assumption that WMB will bear the credit risk in a bankruptcy situation.</w:t>
      </w:r>
    </w:p>
    <w:p>
      <w:pPr>
        <w:pStyle w:val="Normal"/>
        <w:rPr/>
      </w:pPr>
      <w:r>
        <w:rPr/>
      </w:r>
    </w:p>
    <w:p>
      <w:pPr>
        <w:pStyle w:val="SSBBodyHeading"/>
        <w:rPr/>
      </w:pPr>
      <w:r>
        <w:rPr/>
        <w:t>THE BIG PICTURE:  FALL-OUT FROM CALIFORNIA</w:t>
      </w:r>
    </w:p>
    <w:p>
      <w:pPr>
        <w:pStyle w:val="SSBBodyText"/>
        <w:rPr/>
      </w:pPr>
      <w:r>
        <w:rPr/>
        <w:t xml:space="preserve">The PCG bankruptcy declaration will heighten the drama of the electricity deregulation debate that is centered in California.  We think two outcomes are likely.  </w:t>
      </w:r>
      <w:r>
        <w:rPr>
          <w:b/>
        </w:rPr>
        <w:t>First,</w:t>
      </w:r>
      <w:r>
        <w:rPr/>
        <w:t xml:space="preserve"> political figures and other parties are likely to step up their demand for a variety of schemes to re-regulate the industry.  Already, proposals have been made to (a) tax “windfall” profits so that generators and marketers can only receive reimbursement for authorized costs (essentially a return to cost-based regulation), (b) make it a felony for charging power above a certain pre-determined level, (c) cap wholesale prices, either at the California state level, in the Western United States, or across the country, (d) have the state step in as the builder of new generating capacity, and (e) use eminent domain to seize the privately-owned generating capacity in the state.  We think we will see an acceleration of the pace and intensity of “headline risk” calls for re-regulating the industry, such as the above-mentioned proposals.  </w:t>
      </w:r>
      <w:r>
        <w:rPr>
          <w:b/>
        </w:rPr>
        <w:t>Second,</w:t>
      </w:r>
      <w:r>
        <w:rPr/>
        <w:t xml:space="preserve"> the bankruptcy process will move into the hands of a bankruptcy judge.  Important decisions about who gets paid and when may be removed from the political process and centered in the hands of the court.  Since political authority over these issues will be diminished, this may take some of the steam out of plans to re-regulate the industry.</w:t>
      </w:r>
    </w:p>
    <w:p>
      <w:pPr>
        <w:pStyle w:val="SSBBodyText"/>
        <w:rPr/>
      </w:pPr>
      <w:r>
        <w:rPr>
          <w:b/>
        </w:rPr>
        <w:t>Stock performance implications.</w:t>
      </w:r>
      <w:r>
        <w:rPr/>
        <w:t xml:space="preserve">  Taken together, we think these two factors point to greater stock price volatility over the near-term, as political calls for re-regulation spook investors and potentially drive capital away from the industry.  This will only be accentuated if we see blackouts this summer in California or other regions of the country.  However, we also think that the bankruptcy process may eventually de-politicize the process, as the various claimants hammer out their disagreements in court rather than in the political arena.  We think investors will be rewarded who “batten down the hatches” and hold firm during what may be a trying summer period.</w:t>
      </w:r>
    </w:p>
    <w:p>
      <w:pPr>
        <w:pStyle w:val="SSBBodyText"/>
        <w:rPr/>
      </w:pPr>
      <w:r>
        <w:rPr/>
        <w:t>Long-term, we think we are going to make it through this summer intact, although investors are likely to get a bumpy ride on the way there.  Eventually, new plants will come on line, power prices will come down, and the risk of blackouts and financial insolvency for the utilities will decline.  This is especially true if the California state regulators raise retail rates, as they currently plan to do.  Higher retail rates will help to bring supply and demand into balance by dampening demand, reduce the risk of blackouts, and bring new capital into the coffers of the utilities or the state so that they can pay the power bills.</w:t>
      </w:r>
    </w:p>
    <w:p>
      <w:pPr>
        <w:pStyle w:val="SSBBodyText"/>
        <w:rPr/>
      </w:pPr>
      <w:r>
        <w:rPr>
          <w:b/>
        </w:rPr>
        <w:t>The biggest risk:  creeping regulation at the federal level.</w:t>
      </w:r>
      <w:r>
        <w:rPr/>
        <w:t xml:space="preserve">  The biggest risk we see for investors on a longer-term basis is creeping regulation at the federal level.  Whether by the Federal Energy Regulatory Commission or Congress, there is some risk that further “temporary” controls such as price caps or profit rollbacks may be imposed.  Already, the FERC has imposed both in a limited manner.  We continue to see any controls as self-defeating because they reduce the incentive to build new plants and market power into areas that need it.  Because of this self-defeating nature of regulation (in our view, Secretary of Energy Abraham said it best, when he said, “price controls cause blackouts”), we think that material re-regulation will not occur in this industry.  Nevertheless, we would view negatively the imposition of any of the proposals mentioned above, although we think that the most serious proposals, such as the use of eminent domain or a return to cost-based regulation are highly unlikely.  For further details on the long-run unlikelihood of re-regulation, please see our earlier research.</w:t>
      </w:r>
    </w:p>
    <w:p>
      <w:pPr>
        <w:pStyle w:val="SSBBodyText"/>
        <w:rPr/>
      </w:pPr>
      <w:r>
        <w:rPr/>
      </w:r>
    </w:p>
    <w:p>
      <w:pPr>
        <w:sectPr>
          <w:type w:val="continuous"/>
          <w:pgSz w:w="12240" w:h="15840"/>
          <w:pgMar w:left="3096" w:right="1310" w:gutter="0" w:header="504" w:top="1008" w:footer="576" w:bottom="965"/>
          <w:formProt w:val="false"/>
          <w:titlePg/>
          <w:textDirection w:val="lrTb"/>
          <w:docGrid w:type="default" w:linePitch="360" w:charSpace="0"/>
        </w:sectPr>
      </w:pPr>
    </w:p>
    <w:p>
      <w:pPr>
        <w:pStyle w:val="Normal"/>
        <w:rPr/>
      </w:pPr>
      <w:r>
        <w:rPr/>
      </w:r>
      <w:bookmarkStart w:id="1" w:name="SSB_ReusableText"/>
      <w:bookmarkStart w:id="2" w:name="SSB_ReusableText"/>
      <w:bookmarkEnd w:id="2"/>
    </w:p>
    <w:p>
      <w:pPr>
        <w:pStyle w:val="Normal"/>
        <w:rPr/>
      </w:pPr>
      <w:r>
        <w:rPr/>
      </w:r>
      <w:bookmarkStart w:id="3" w:name="SSB_Insert"/>
      <w:bookmarkStart w:id="4" w:name="SSB_Insert"/>
      <w:bookmarkEnd w:id="4"/>
    </w:p>
    <w:p>
      <w:pPr>
        <w:pStyle w:val="SSBDisclaimerFirstCall"/>
        <w:rPr/>
      </w:pPr>
      <w:r>
        <w:rPr/>
        <w:t>ADDITIONAL INFORMATION AVAILABLE UPON REQUEST</w:t>
      </w:r>
    </w:p>
    <w:p>
      <w:pPr>
        <w:pStyle w:val="SSBDisclaimerFirstCall"/>
        <w:rPr/>
      </w:pPr>
      <w:r>
        <w:fldChar w:fldCharType="begin">
          <w:ffData>
            <w:name w:val="trc_Hedge_A"/>
            <w:enabled/>
            <w:calcOnExit w:val="0"/>
            <w:textInput/>
          </w:ffData>
        </w:fldChar>
      </w:r>
      <w:r>
        <w:rPr>
          <w:rFonts w:eastAsia="Arial"/>
        </w:rPr>
        <w:instrText xml:space="preserve"> FORMTEXT </w:instrText>
      </w:r>
      <w:r>
        <w:rPr>
          <w:rFonts w:eastAsia="Arial"/>
        </w:rPr>
      </w:r>
      <w:r>
        <w:rPr/>
        <w:fldChar w:fldCharType="separate"/>
      </w:r>
      <w:r>
        <w:rPr/>
        <w:t xml:space="preserve"> </w:t>
      </w:r>
      <w:r>
        <w:rPr/>
      </w:r>
      <w:r>
        <w:rPr/>
        <w:fldChar w:fldCharType="end"/>
      </w:r>
      <w:r>
        <w:rPr/>
        <w:t xml:space="preserve">Securities recommended, offered, or sold by SSB: (i) are not insured by the Federal Deposit Insurance Corporation; (ii) are not deposits or other obligations of any insured depository institution (including Citibank); and (iii) are subject to investment risks, including the possible loss of the principal amount invested.  (c) Salomon Smith Barney Inc., </w:t>
      </w:r>
      <w:r>
        <w:rPr/>
        <w:fldChar w:fldCharType="begin"/>
      </w:r>
      <w:r>
        <w:rPr/>
        <w:instrText xml:space="preserve"> DATE \@"yyyy" </w:instrText>
      </w:r>
      <w:r>
        <w:rPr/>
        <w:fldChar w:fldCharType="separate"/>
      </w:r>
      <w:r>
        <w:rPr/>
        <w:t>2025</w:t>
      </w:r>
      <w:r>
        <w:rPr/>
        <w:fldChar w:fldCharType="end"/>
      </w:r>
      <w:r>
        <w:rPr/>
        <w:t>.  All rights reserved.  Any unauthorized use, duplication or disclosure is prohibited by law and may result in prosecution.  Please refer to ticker SSBDISCL for important Salomon Smith Barney Disclaimer information.</w:t>
      </w:r>
    </w:p>
    <w:p>
      <w:pPr>
        <w:pStyle w:val="SSBDisclaimer"/>
        <w:rPr/>
      </w:pPr>
      <w:r>
        <w:rPr/>
        <w:t>ADDITIONAL INFORMATION AVAILABLE UPON REQUEST</w:t>
      </w:r>
    </w:p>
    <w:p>
      <w:pPr>
        <w:pStyle w:val="SSBDisclaimer"/>
        <w:rPr>
          <w:sz w:val="14"/>
        </w:rPr>
      </w:pPr>
      <w:r>
        <w:fldChar w:fldCharType="begin">
          <w:ffData>
            <w:name w:val="TRC_HEDGE"/>
            <w:enabled/>
            <w:calcOnExit w:val="0"/>
            <w:textInput/>
          </w:ffData>
        </w:fldChar>
      </w:r>
      <w:r>
        <w:rPr>
          <w:vanish/>
          <w:rFonts w:eastAsia="Arial"/>
        </w:rPr>
        <w:instrText xml:space="preserve"> FORMTEXT </w:instrText>
      </w:r>
      <w:r>
        <w:rPr>
          <w:rFonts w:eastAsia="Arial"/>
          <w:vanish/>
        </w:rPr>
      </w:r>
      <w:r>
        <w:rPr>
          <w:vanish/>
        </w:rPr>
        <w:fldChar w:fldCharType="separate"/>
      </w:r>
      <w:r>
        <w:rPr>
          <w:vanish/>
        </w:rPr>
        <w:t xml:space="preserve"> </w:t>
      </w:r>
      <w:r>
        <w:rPr>
          <w:vanish/>
        </w:rPr>
      </w:r>
      <w:r>
        <w:rPr>
          <w:vanish/>
        </w:rPr>
        <w:fldChar w:fldCharType="end"/>
      </w:r>
      <w:r>
        <w:rPr/>
        <w:t>Salomon Smith Barney ("SSB"), including its parent, subsidiaries and/or affiliates ("the Firm"), usually makes a market in the U.S.-traded over the counter securities recommended in this report and may sell to or buy from customers, as principal, securities recommended in this report.  The Firm or employees preparing this report may have a position in securities or options of any company recommended in this report.  An employee of the Firm may be a director of a company recommended in this report. The Firm may perform or solicit investment banking or other services from any company recommended in this report.</w:t>
      </w:r>
    </w:p>
    <w:p>
      <w:pPr>
        <w:pStyle w:val="SSBDisclaimer"/>
        <w:rPr>
          <w:sz w:val="14"/>
        </w:rPr>
      </w:pPr>
      <w:r>
        <w:rPr>
          <w:sz w:val="14"/>
        </w:rPr>
        <w:t xml:space="preserve">Securities recommended, offered, or sold by SSB: (i) are not insured by the Federal Deposit Insurance Corporation; (ii) are not deposits or other obligations of any insured depository institution (including Citibank); and (iii) are subject to investment risks, including the possible loss of the principal amount invested.  Although information has been obtained from and is based upon sources SSB believes to be reliable, we do not guarantee its accuracy and it may be incomplete or condensed.  All opinions and estimates constitute SSB's judgment as of the date of the report and are subject to change without notice.  This report is for informational purposes only and is not intended as an offer or solicitation for the purchase or sale of a security.  Investing in non-U.S. securities, including ADRs, by U.S. persons may entail certain risks.  Investors who have received this report may be prohibited in certain U.S. states from purchasing securities mentioned in this report from SSB.  Please ask your financial consultant for additional details.  This report has been approved for distribution in the United Kingdom by Salomon Brothers International Limited, which is regulated by the Securities and Futures Authority.  The investments and services contained herein are not available to private customers in the UK.  This report was prepared by SSB and, if distributed in Japan by Nikko Salomon Smith Barney Limited, is being so distributed under license.  This report is made available in Australia through Salomon Smith Barney Australia Securities Pty Ltd. (ABN 64 003 114 832), a Licensed Securities Dealer, and in New Zealand through Salomon Smith Barney New Zealand Limited, a member firm of the New Zealand Stock Exchange.  This report does not take into account the investment objectives or financial situation of any particular person.  Investors should obtain advice based on their own individual circumstances before making an investment decision.  The research opinions herein may differ from those of The Robinson-Humphrey Company, LLC, a wholly owned subsidiary of SSB.  Salomon Smith Barney is a service mark of Salomon Smith Barney Inc.  </w:t>
      </w:r>
    </w:p>
    <w:p>
      <w:pPr>
        <w:pStyle w:val="SSBDisclaimer"/>
        <w:rPr/>
      </w:pPr>
      <w:r>
        <w:rPr>
          <w:sz w:val="14"/>
        </w:rPr>
        <w:t xml:space="preserve">© Salomon Smith Barney Inc., </w:t>
      </w:r>
      <w:r>
        <w:rPr>
          <w:sz w:val="14"/>
        </w:rPr>
        <w:fldChar w:fldCharType="begin"/>
      </w:r>
      <w:r>
        <w:rPr>
          <w:sz w:val="14"/>
        </w:rPr>
        <w:instrText xml:space="preserve"> DATE \@"yyyy" </w:instrText>
      </w:r>
      <w:r>
        <w:rPr>
          <w:sz w:val="14"/>
        </w:rPr>
        <w:fldChar w:fldCharType="separate"/>
      </w:r>
      <w:r>
        <w:rPr>
          <w:sz w:val="14"/>
        </w:rPr>
        <w:t>2025</w:t>
      </w:r>
      <w:r>
        <w:rPr>
          <w:sz w:val="14"/>
        </w:rPr>
        <w:fldChar w:fldCharType="end"/>
      </w:r>
      <w:r>
        <w:rPr>
          <w:sz w:val="14"/>
        </w:rPr>
        <w:t>.  All rights reserved.  Any unauthorized use, duplication or disclosure is prohibited by law and may result in prosecution.</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continuous"/>
      <w:pgSz w:w="12240" w:h="15840"/>
      <w:pgMar w:left="3096" w:right="1310" w:gutter="0" w:header="504" w:top="1008" w:footer="576" w:bottom="965"/>
      <w:formProt w:val="tru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ZapfDingbats">
    <w:charset w:val="00" w:characterSet="windows-1252"/>
    <w:family w:val="decorative"/>
    <w:pitch w:val="variable"/>
  </w:font>
  <w:font w:name="Helvetica-Black">
    <w:charset w:val="00" w:characterSet="windows-1252"/>
    <w:family w:val="swiss"/>
    <w:pitch w:val="variable"/>
  </w:font>
  <w:font w:name="HelveticaNeue Condensed">
    <w:charset w:val="00" w:characterSet="windows-1252"/>
    <w:family w:val="swiss"/>
    <w:pitch w:val="variable"/>
  </w:font>
  <w:font w:name="Liberation Sans">
    <w:altName w:val="Arial"/>
    <w:charset w:val="01" w:characterSet="utf-8"/>
    <w:family w:val="swiss"/>
    <w:pitch w:val="variable"/>
  </w:font>
  <w:font w:name="Tahoma">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8" w:space="1" w:color="000000"/>
      </w:pBdr>
      <w:rPr/>
    </w:pPr>
    <w:r>
      <w:rPr/>
      <w:tab/>
      <w:tab/>
    </w:r>
    <w:r>
      <w:rPr/>
      <w:fldChar w:fldCharType="begin"/>
    </w:r>
    <w:r>
      <w:rPr/>
      <w:instrText xml:space="preserve"> PAGE </w:instrText>
    </w:r>
    <w:r>
      <w:rPr/>
      <w:fldChar w:fldCharType="separate"/>
    </w:r>
    <w:r>
      <w:rPr/>
      <w:t>5</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ab/>
    </w:r>
    <w:r>
      <w:rPr>
        <w:lang w:val="en-CA"/>
      </w:rPr>
      <w:drawing>
        <wp:inline distT="0" distB="0" distL="0" distR="0">
          <wp:extent cx="1191895" cy="15240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rcRect l="-30" t="-236" r="-30" b="-236"/>
                  <a:stretch>
                    <a:fillRect/>
                  </a:stretch>
                </pic:blipFill>
                <pic:spPr bwMode="auto">
                  <a:xfrm>
                    <a:off x="0" y="0"/>
                    <a:ext cx="1191895" cy="152400"/>
                  </a:xfrm>
                  <a:prstGeom prst="rect">
                    <a:avLst/>
                  </a:prstGeom>
                  <a:noFill/>
                </pic:spPr>
              </pic:pic>
            </a:graphicData>
          </a:graphic>
        </wp:inline>
      </w:drawing>
    </w:r>
  </w:p>
  <w:p>
    <w:pPr>
      <w:pStyle w:val="SSBLogo1st"/>
      <w:rPr/>
    </w:pPr>
    <w:r>
      <w:rPr/>
      <w:drawing>
        <wp:inline distT="0" distB="0" distL="0" distR="0">
          <wp:extent cx="2972435" cy="295275"/>
          <wp:effectExtent l="0" t="0" r="0" b="0"/>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2"/>
                  <a:srcRect l="-12" t="-122" r="-12" b="-122"/>
                  <a:stretch>
                    <a:fillRect/>
                  </a:stretch>
                </pic:blipFill>
                <pic:spPr bwMode="auto">
                  <a:xfrm>
                    <a:off x="0" y="0"/>
                    <a:ext cx="2972435" cy="295275"/>
                  </a:xfrm>
                  <a:prstGeom prst="rect">
                    <a:avLst/>
                  </a:prstGeom>
                  <a:noFill/>
                </pic:spPr>
              </pic:pic>
            </a:graphicData>
          </a:graphic>
        </wp:inline>
      </w:drawing>
    </w:r>
    <w:r>
      <mc:AlternateContent>
        <mc:Choice Requires="wps">
          <w:drawing>
            <wp:anchor behindDoc="0" distT="0" distB="0" distL="0" distR="0" simplePos="0" locked="0" layoutInCell="0" allowOverlap="1" relativeHeight="4">
              <wp:simplePos x="0" y="0"/>
              <wp:positionH relativeFrom="page">
                <wp:align>right</wp:align>
              </wp:positionH>
              <wp:positionV relativeFrom="page">
                <wp:posOffset>1463675</wp:posOffset>
              </wp:positionV>
              <wp:extent cx="1677670" cy="457200"/>
              <wp:effectExtent l="0" t="0" r="0" b="0"/>
              <wp:wrapSquare wrapText="bothSides"/>
              <wp:docPr id="4" name="Frame1"/>
              <a:graphic xmlns:a="http://schemas.openxmlformats.org/drawingml/2006/main">
                <a:graphicData uri="http://schemas.microsoft.com/office/word/2010/wordprocessingShape">
                  <wps:wsp>
                    <wps:cNvSpPr txBox="1"/>
                    <wps:spPr>
                      <a:xfrm>
                        <a:off x="0" y="0"/>
                        <a:ext cx="1677670" cy="457200"/>
                      </a:xfrm>
                      <a:prstGeom prst="rect"/>
                      <a:solidFill>
                        <a:srgbClr val="FFFFFF">
                          <a:alpha val="0"/>
                        </a:srgbClr>
                      </a:solidFill>
                    </wps:spPr>
                    <wps:txbx>
                      <w:txbxContent>
                        <w:p>
                          <w:pPr>
                            <w:pStyle w:val="SSBRegion"/>
                            <w:spacing w:lineRule="exact" w:line="480" w:before="240" w:after="0"/>
                            <w:jc w:val="end"/>
                            <w:rPr/>
                          </w:pPr>
                          <w:r>
                            <w:rPr/>
                            <w:t>United States</w:t>
                          </w:r>
                        </w:p>
                      </w:txbxContent>
                    </wps:txbx>
                    <wps:bodyPr anchor="t" lIns="0" tIns="0" rIns="0" bIns="0">
                      <a:noAutofit/>
                    </wps:bodyPr>
                  </wps:wsp>
                </a:graphicData>
              </a:graphic>
            </wp:anchor>
          </w:drawing>
        </mc:Choice>
        <mc:Fallback>
          <w:pict>
            <v:rect fillcolor="#FFFFFF" style="position:absolute;rotation:-0;width:132.1pt;height:36pt;mso-wrap-distance-left:0pt;mso-wrap-distance-right:0pt;mso-wrap-distance-top:0pt;mso-wrap-distance-bottom:0pt;margin-top:115.25pt;mso-position-vertical-relative:page;margin-left:479.85pt;mso-position-horizontal:right;mso-position-horizontal-relative:page">
              <v:fill opacity="0f"/>
              <v:textbox inset="0in,0in,0in,0in">
                <w:txbxContent>
                  <w:p>
                    <w:pPr>
                      <w:pStyle w:val="SSBRegion"/>
                      <w:spacing w:lineRule="exact" w:line="480" w:before="240" w:after="0"/>
                      <w:jc w:val="end"/>
                      <w:rPr/>
                    </w:pPr>
                    <w:r>
                      <w:rPr/>
                      <w:t>United States</w:t>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drawing>
        <wp:inline distT="0" distB="0" distL="0" distR="0">
          <wp:extent cx="1534160" cy="152400"/>
          <wp:effectExtent l="0" t="0" r="0" b="0"/>
          <wp:docPr id="1"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 title=""/>
                  <pic:cNvPicPr>
                    <a:picLocks noChangeAspect="1" noChangeArrowheads="1"/>
                  </pic:cNvPicPr>
                </pic:nvPicPr>
                <pic:blipFill>
                  <a:blip r:embed="rId1"/>
                  <a:srcRect l="-23" t="-236" r="-23" b="-236"/>
                  <a:stretch>
                    <a:fillRect/>
                  </a:stretch>
                </pic:blipFill>
                <pic:spPr bwMode="auto">
                  <a:xfrm>
                    <a:off x="0" y="0"/>
                    <a:ext cx="1534160" cy="152400"/>
                  </a:xfrm>
                  <a:prstGeom prst="rect">
                    <a:avLst/>
                  </a:prstGeom>
                  <a:noFill/>
                </pic:spPr>
              </pic:pic>
            </a:graphicData>
          </a:graphic>
        </wp:inline>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SBTitle"/>
      <w:spacing w:before="120" w:after="0"/>
      <w:jc w:val="end"/>
      <w:rPr/>
    </w:pPr>
    <w:r>
      <w:rPr/>
      <w:t>Industry Note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2">
    <w:lvl w:ilvl="0">
      <w:start w:val="1"/>
      <w:numFmt w:val="bullet"/>
      <w:lvlText w:val=""/>
      <w:lvlJc w:val="start"/>
      <w:pPr>
        <w:tabs>
          <w:tab w:val="num" w:pos="360"/>
        </w:tabs>
        <w:ind w:start="288" w:hanging="288"/>
      </w:pPr>
      <w:rPr>
        <w:rFonts w:ascii="ZapfDingbats" w:hAnsi="ZapfDingbats" w:cs="ZapfDingbats" w:hint="default"/>
        <w:sz w:val="20"/>
        <w:color w:val="000000"/>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NEXTERATemplateVersion" w:val="1.0"/>
    <w:docVar w:name="NEXTERAUpdated" w:val="9/20/99"/>
    <w:docVar w:name="trc_AnalystEmail1" w:val="ray.niles@ssmb.com"/>
    <w:docVar w:name="trc_AnalystEmail2" w:val="NULL"/>
    <w:docVar w:name="trc_AnalystEmail3" w:val="NULL"/>
    <w:docVar w:name="trc_AnalystID" w:val="rn95785"/>
    <w:docVar w:name="trc_AnalystID_Sec1" w:val="bm58212"/>
    <w:docVar w:name="trc_AnalystID_Sec2" w:val="NULL"/>
    <w:docVar w:name="trc_AnalystName1" w:val="Raymond Niles"/>
    <w:docVar w:name="trc_AnalystName2" w:val="Benjamin Morton"/>
    <w:docVar w:name="trc_AnalystName3" w:val="NULL"/>
    <w:docVar w:name="trc_AnalystPhone1" w:val="212-816-2807"/>
    <w:docVar w:name="trc_AnalystPhone2" w:val="212-816-2086"/>
    <w:docVar w:name="trc_AnalystPhone3" w:val="NULL"/>
    <w:docVar w:name="trc_blastvm" w:val="False"/>
    <w:docVar w:name="trc_comments" w:val="For Monday A.M. morning call"/>
    <w:docVar w:name="trc_companyname" w:val="NULL"/>
    <w:docVar w:name="trc_CurFY" w:val="NULL"/>
    <w:docVar w:name="trc_CurrentPrice" w:val="NULL"/>
    <w:docVar w:name="trc_CurrentPrice_P" w:val="NULL"/>
    <w:docVar w:name="trc_DateOfSubmission" w:val="04/08/2001 7:04:53 PM"/>
    <w:docVar w:name="trc_Description" w:val="NA"/>
    <w:docVar w:name="trc_DOC_NOTE_ProtectDate" w:val="4/9/01 8:08:04 AM"/>
    <w:docVar w:name="trc_DocID" w:val="38065"/>
    <w:docVar w:name="trc_DocumentType" w:val="8"/>
    <w:docVar w:name="trc_EPSGR" w:val="NULL"/>
    <w:docVar w:name="trc_EPSGR_P" w:val="NULL"/>
    <w:docVar w:name="trc_FromWorkFlow" w:val="False"/>
    <w:docVar w:name="trc_FYEndMonthIndex" w:val="NULL"/>
    <w:docVar w:name="trc_headline" w:val="Bankruptcy in California; Implications for our Growth Energy Names"/>
    <w:docVar w:name="trc_headline_display" w:val="Bankruptcy in California; Implications for our Growth Energy Names"/>
    <w:docVar w:name="trc_Hedge" w:val=" "/>
    <w:docVar w:name="trc_IB_Relation" w:val="NULL"/>
    <w:docVar w:name="trc_indexgroup" w:val="NULL"/>
    <w:docVar w:name="trc_industry" w:val="Power &amp; Natural Gas"/>
    <w:docVar w:name="trc_industry_Sub" w:val="NULL"/>
    <w:docVar w:name="trc_industryID" w:val="121130"/>
    <w:docVar w:name="trc_IsDescription" w:val="True"/>
    <w:docVar w:name="trc_IsThesis" w:val="True"/>
    <w:docVar w:name="trc_LastActualQuarte" w:val="Q0"/>
    <w:docVar w:name="trc_MCDate" w:val="April 9, 2001"/>
    <w:docVar w:name="trc_MKTCAP" w:val="NULL"/>
    <w:docVar w:name="trc_MktCap_U" w:val="mil."/>
    <w:docVar w:name="trc_morningcall" w:val="True"/>
    <w:docVar w:name="trc_OtherCompanies" w:val="ENE,WMB,EPG,DUK,DYN,AES,MIR,CPN,NRG"/>
    <w:docVar w:name="trc_OtherIndustryIDs" w:val="NULL"/>
    <w:docVar w:name="trc_Pages" w:val="5"/>
    <w:docVar w:name="trc_PRICEDATE" w:val="NULL"/>
    <w:docVar w:name="trc_priority" w:val="2"/>
    <w:docVar w:name="trc_pub_subtype" w:val="1"/>
    <w:docVar w:name="trc_publicationtype" w:val="Industry Note"/>
    <w:docVar w:name="trc_RATING" w:val="NULL"/>
    <w:docVar w:name="trc_RATING_P" w:val="NULL"/>
    <w:docVar w:name="trc_RATINGDATE" w:val="NULL"/>
    <w:docVar w:name="trc_releasedate" w:val="April 9, 2001"/>
    <w:docVar w:name="trc_Risk" w:val="NULL"/>
    <w:docVar w:name="trc_Risk_P" w:val="NULL"/>
    <w:docVar w:name="trc_SecurityID" w:val="NULL"/>
    <w:docVar w:name="trc_SharesOut" w:val="NULL"/>
    <w:docVar w:name="trc_SharesOut_U" w:val="mil."/>
    <w:docVar w:name="trc_StatusMark" w:val="NONE"/>
    <w:docVar w:name="trc_SubjectIDs" w:val="IND"/>
    <w:docVar w:name="trc_submitter" w:val="rn95785"/>
    <w:docVar w:name="trc_submittername" w:val="Raymond Niles"/>
    <w:docVar w:name="trc_submitterphone" w:val="212-816-2807"/>
    <w:docVar w:name="trc_target" w:val="NULL"/>
    <w:docVar w:name="trc_target_P" w:val="NULL"/>
    <w:docVar w:name="trc_TemplateID" w:val="8"/>
    <w:docVar w:name="trc_Thesis" w:val="NA"/>
    <w:docVar w:name="trc_ticker" w:val="NULL"/>
    <w:docVar w:name="trc_Ticker_P" w:val="NULL"/>
    <w:docVar w:name="trc_Version" w:val="1"/>
    <w:docVar w:name="trc_WkRng52Hi" w:val="NULL"/>
    <w:docVar w:name="trc_WkRng52Low" w:val="NULL"/>
    <w:docVar w:name="trc_y1" w:val="-1"/>
    <w:docVar w:name="trc_y2" w:val="0"/>
    <w:docVar w:name="trc_y3" w:val="1"/>
    <w:docVar w:name="trc_y4" w:val="2"/>
  </w:docVars>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exact" w:line="250"/>
    </w:pPr>
    <w:rPr>
      <w:rFonts w:ascii="Times New Roman" w:hAnsi="Times New Roman" w:eastAsia="Times New Roman" w:cs="Times New Roman"/>
      <w:color w:val="auto"/>
      <w:kern w:val="2"/>
      <w:sz w:val="21"/>
      <w:szCs w:val="20"/>
      <w:lang w:val="en-US" w:eastAsia="zh-CN" w:bidi="hi-IN"/>
    </w:rPr>
  </w:style>
  <w:style w:type="character" w:styleId="WW8Num2z0">
    <w:name w:val="WW8Num2z0"/>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ZapfDingbats" w:hAnsi="ZapfDingbats" w:cs="ZapfDingbats"/>
      <w:color w:val="000000"/>
      <w:sz w:val="20"/>
    </w:rPr>
  </w:style>
  <w:style w:type="character" w:styleId="WW8Num6z0">
    <w:name w:val="WW8Num6z0"/>
    <w:qFormat/>
    <w:rPr>
      <w:rFonts w:ascii="ZapfDingbats" w:hAnsi="ZapfDingbats" w:cs="ZapfDingbats"/>
      <w:color w:val="000000"/>
      <w:sz w:val="20"/>
    </w:rPr>
  </w:style>
  <w:style w:type="character" w:styleId="WW8Num7z0">
    <w:name w:val="WW8Num7z0"/>
    <w:qFormat/>
    <w:rPr/>
  </w:style>
  <w:style w:type="character" w:styleId="WW8Num8z0">
    <w:name w:val="WW8Num8z0"/>
    <w:qFormat/>
    <w:rPr>
      <w:rFonts w:ascii="ZapfDingbats" w:hAnsi="ZapfDingbats" w:cs="ZapfDingbats"/>
      <w:color w:val="000000"/>
      <w:sz w:val="21"/>
    </w:rPr>
  </w:style>
  <w:style w:type="character" w:styleId="WW8Num9z0">
    <w:name w:val="WW8Num9z0"/>
    <w:qFormat/>
    <w:rPr/>
  </w:style>
  <w:style w:type="character" w:styleId="WW8Num10z0">
    <w:name w:val="WW8Num10z0"/>
    <w:qFormat/>
    <w:rPr>
      <w:rFonts w:ascii="ZapfDingbats" w:hAnsi="ZapfDingbats" w:cs="ZapfDingbats"/>
      <w:color w:val="000000"/>
      <w:sz w:val="20"/>
    </w:rPr>
  </w:style>
  <w:style w:type="character" w:styleId="WW8Num11z0">
    <w:name w:val="WW8Num11z0"/>
    <w:qFormat/>
    <w:rPr>
      <w:rFonts w:ascii="Wingdings" w:hAnsi="Wingdings" w:cs="Wingdings"/>
    </w:rPr>
  </w:style>
  <w:style w:type="character" w:styleId="WW8Num12z0">
    <w:name w:val="WW8Num12z0"/>
    <w:qFormat/>
    <w:rPr/>
  </w:style>
  <w:style w:type="character" w:styleId="WW8Num13z0">
    <w:name w:val="WW8Num13z0"/>
    <w:qFormat/>
    <w:rPr>
      <w:rFonts w:ascii="ZapfDingbats" w:hAnsi="ZapfDingbats" w:cs="ZapfDingbats"/>
      <w:color w:val="000000"/>
      <w:sz w:val="20"/>
    </w:rPr>
  </w:style>
  <w:style w:type="character" w:styleId="WW8Num14z0">
    <w:name w:val="WW8Num14z0"/>
    <w:qFormat/>
    <w:rPr>
      <w:rFonts w:ascii="ZapfDingbats" w:hAnsi="ZapfDingbats" w:cs="ZapfDingbats"/>
      <w:color w:val="000000"/>
      <w:sz w:val="20"/>
    </w:rPr>
  </w:style>
  <w:style w:type="character" w:styleId="WW8NumSt7z0">
    <w:name w:val="WW8NumSt7z0"/>
    <w:qFormat/>
    <w:rPr>
      <w:rFonts w:ascii="Wingdings" w:hAnsi="Wingdings" w:cs="Wingdings"/>
      <w:color w:val="000000"/>
      <w:sz w:val="22"/>
    </w:rPr>
  </w:style>
  <w:style w:type="character" w:styleId="DefaultParagraphFont">
    <w:name w:val="Default Paragraph Font"/>
    <w:qFormat/>
    <w:rPr/>
  </w:style>
  <w:style w:type="character" w:styleId="SSBChangeCheckBox">
    <w:name w:val="SSB_Change_CheckBox"/>
    <w:basedOn w:val="DefaultParagraphFont"/>
    <w:qFormat/>
    <w:rPr>
      <w:rFonts w:ascii="ZapfDingbats" w:hAnsi="ZapfDingbats" w:cs="ZapfDingbats"/>
      <w:sz w:val="18"/>
      <w:lang w:val="en-CA" w:eastAsia="en-CA"/>
    </w:rPr>
  </w:style>
  <w:style w:type="character" w:styleId="SSBMarketCapNumber">
    <w:name w:val="SSB_MarketCap_Number"/>
    <w:basedOn w:val="DefaultParagraphFont"/>
    <w:qFormat/>
    <w:rPr>
      <w:rFonts w:ascii="Helvetica-Black" w:hAnsi="Helvetica-Black" w:cs="Helvetica-Black"/>
      <w:sz w:val="20"/>
    </w:rPr>
  </w:style>
  <w:style w:type="character" w:styleId="SSBRatingDescription">
    <w:name w:val="SSB_Rating_Description"/>
    <w:basedOn w:val="DefaultParagraphFont"/>
    <w:qFormat/>
    <w:rPr>
      <w:rFonts w:ascii="HelveticaNeue Condensed" w:hAnsi="HelveticaNeue Condensed" w:cs="HelveticaNeue Condensed"/>
      <w:i/>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40"/>
    </w:pPr>
    <w:rPr>
      <w:rFonts w:ascii="Arial" w:hAnsi="Arial" w:cs="Arial"/>
      <w:color w:val="000000"/>
      <w:kern w:val="0"/>
      <w:sz w:val="1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2880" w:leader="none"/>
        <w:tab w:val="right" w:pos="7830" w:leader="none"/>
      </w:tabs>
      <w:spacing w:lineRule="auto" w:line="240"/>
      <w:ind w:hanging="0" w:start="-2016" w:end="0"/>
    </w:pPr>
    <w:rPr>
      <w:sz w:val="22"/>
    </w:rPr>
  </w:style>
  <w:style w:type="paragraph" w:styleId="Footer">
    <w:name w:val="footer"/>
    <w:basedOn w:val="Normal"/>
    <w:pPr>
      <w:tabs>
        <w:tab w:val="clear" w:pos="720"/>
        <w:tab w:val="center" w:pos="2880" w:leader="none"/>
        <w:tab w:val="right" w:pos="7830" w:leader="none"/>
      </w:tabs>
      <w:spacing w:lineRule="auto" w:line="240"/>
      <w:ind w:hanging="0" w:start="-2016" w:end="0"/>
    </w:pPr>
    <w:rPr>
      <w:sz w:val="22"/>
    </w:rPr>
  </w:style>
  <w:style w:type="paragraph" w:styleId="SSBData">
    <w:name w:val="SSB_Data"/>
    <w:basedOn w:val="Normal"/>
    <w:qFormat/>
    <w:pPr>
      <w:tabs>
        <w:tab w:val="clear" w:pos="720"/>
        <w:tab w:val="right" w:pos="3600" w:leader="dot"/>
      </w:tabs>
      <w:spacing w:lineRule="exact" w:line="220" w:before="0" w:after="60"/>
    </w:pPr>
    <w:rPr>
      <w:rFonts w:ascii="HelveticaNeue Condensed" w:hAnsi="HelveticaNeue Condensed" w:cs="HelveticaNeue Condensed"/>
      <w:sz w:val="18"/>
    </w:rPr>
  </w:style>
  <w:style w:type="paragraph" w:styleId="SSBAnalystPhone">
    <w:name w:val="SSB_Analyst_Phone"/>
    <w:basedOn w:val="SSBData"/>
    <w:next w:val="SSBAnalystEmail"/>
    <w:qFormat/>
    <w:pPr>
      <w:tabs>
        <w:tab w:val="clear" w:pos="3600"/>
      </w:tabs>
      <w:spacing w:before="0" w:after="0"/>
    </w:pPr>
    <w:rPr/>
  </w:style>
  <w:style w:type="paragraph" w:styleId="SSBAnalystEmail">
    <w:name w:val="SSB_Analyst_Email"/>
    <w:basedOn w:val="SSBAnalystPhone"/>
    <w:next w:val="SSBAnalystName"/>
    <w:qFormat/>
    <w:pPr/>
    <w:rPr>
      <w:i/>
    </w:rPr>
  </w:style>
  <w:style w:type="paragraph" w:styleId="SSBAnalystName">
    <w:name w:val="SSB_Analyst_Name"/>
    <w:basedOn w:val="SSBData"/>
    <w:next w:val="SSBAnalystPhone"/>
    <w:qFormat/>
    <w:pPr>
      <w:tabs>
        <w:tab w:val="clear" w:pos="3600"/>
      </w:tabs>
      <w:spacing w:lineRule="exact" w:line="270" w:before="180" w:after="0"/>
    </w:pPr>
    <w:rPr>
      <w:b/>
      <w:sz w:val="23"/>
      <w:lang w:val="en-CA"/>
    </w:rPr>
  </w:style>
  <w:style w:type="paragraph" w:styleId="SSBBlackLine">
    <w:name w:val="SSB_BlackLine"/>
    <w:basedOn w:val="Normal"/>
    <w:next w:val="SSBHeading"/>
    <w:qFormat/>
    <w:pPr>
      <w:shd w:fill="000000" w:val="clear"/>
      <w:spacing w:lineRule="exact" w:line="140" w:before="0" w:after="40"/>
    </w:pPr>
    <w:rPr/>
  </w:style>
  <w:style w:type="paragraph" w:styleId="SSBHeading">
    <w:name w:val="SSB_Heading"/>
    <w:basedOn w:val="SSBData"/>
    <w:next w:val="SSBAnalystName"/>
    <w:qFormat/>
    <w:pPr>
      <w:keepNext w:val="true"/>
      <w:keepLines/>
      <w:tabs>
        <w:tab w:val="clear" w:pos="3600"/>
      </w:tabs>
      <w:spacing w:lineRule="exact" w:line="230"/>
      <w:outlineLvl w:val="2"/>
    </w:pPr>
    <w:rPr>
      <w:b/>
      <w:caps/>
      <w:sz w:val="19"/>
    </w:rPr>
  </w:style>
  <w:style w:type="paragraph" w:styleId="SSBBodyCallout">
    <w:name w:val="SSB_Body_Callout"/>
    <w:basedOn w:val="Normal"/>
    <w:next w:val="SSBBodyText"/>
    <w:qFormat/>
    <w:pPr>
      <w:spacing w:lineRule="exact" w:line="200"/>
      <w:jc w:val="end"/>
      <w:outlineLvl w:val="2"/>
    </w:pPr>
    <w:rPr>
      <w:rFonts w:ascii="Arial" w:hAnsi="Arial" w:cs="Arial"/>
      <w:b/>
      <w:i/>
      <w:sz w:val="16"/>
    </w:rPr>
  </w:style>
  <w:style w:type="paragraph" w:styleId="SSBBodyText">
    <w:name w:val="SSB_Body_Text"/>
    <w:basedOn w:val="Normal"/>
    <w:qFormat/>
    <w:pPr>
      <w:spacing w:lineRule="atLeast" w:line="250" w:before="0" w:after="180"/>
    </w:pPr>
    <w:rPr/>
  </w:style>
  <w:style w:type="paragraph" w:styleId="SSBBodyHeading">
    <w:name w:val="SSB_Body_Heading"/>
    <w:basedOn w:val="SSBHeading"/>
    <w:next w:val="SSBBodyText"/>
    <w:qFormat/>
    <w:pPr>
      <w:pBdr>
        <w:top w:val="single" w:sz="12" w:space="1" w:color="808080"/>
        <w:left w:val="single" w:sz="36" w:space="4" w:color="808080"/>
      </w:pBdr>
      <w:spacing w:before="120" w:after="0"/>
      <w:outlineLvl w:val="1"/>
    </w:pPr>
    <w:rPr/>
  </w:style>
  <w:style w:type="paragraph" w:styleId="SSBChange">
    <w:name w:val="SSB_Change"/>
    <w:basedOn w:val="SSBHeading"/>
    <w:qFormat/>
    <w:pPr>
      <w:spacing w:lineRule="auto" w:line="240" w:before="0" w:after="0"/>
      <w:jc w:val="end"/>
      <w:outlineLvl w:val="9"/>
    </w:pPr>
    <w:rPr>
      <w:caps w:val="false"/>
      <w:smallCaps w:val="false"/>
    </w:rPr>
  </w:style>
  <w:style w:type="paragraph" w:styleId="SSBHeadline">
    <w:name w:val="SSB_Headline"/>
    <w:basedOn w:val="Normal"/>
    <w:qFormat/>
    <w:pPr>
      <w:keepLines/>
      <w:spacing w:lineRule="auto" w:line="240"/>
      <w:outlineLvl w:val="1"/>
    </w:pPr>
    <w:rPr>
      <w:rFonts w:ascii="Helvetica-Black" w:hAnsi="Helvetica-Black" w:cs="Helvetica-Black"/>
      <w:b/>
      <w:sz w:val="24"/>
    </w:rPr>
  </w:style>
  <w:style w:type="paragraph" w:styleId="SSBCompany">
    <w:name w:val="SSB_Company"/>
    <w:basedOn w:val="SSBHeadline"/>
    <w:next w:val="SSBHeadline"/>
    <w:qFormat/>
    <w:pPr>
      <w:spacing w:lineRule="exact" w:line="400" w:before="200" w:after="200"/>
      <w:outlineLvl w:val="0"/>
    </w:pPr>
    <w:rPr>
      <w:b w:val="false"/>
      <w:sz w:val="36"/>
    </w:rPr>
  </w:style>
  <w:style w:type="paragraph" w:styleId="SSBDataCentered">
    <w:name w:val="SSB_Data_Centered"/>
    <w:basedOn w:val="SSBData"/>
    <w:qFormat/>
    <w:pPr>
      <w:tabs>
        <w:tab w:val="clear" w:pos="3600"/>
      </w:tabs>
      <w:jc w:val="center"/>
    </w:pPr>
    <w:rPr/>
  </w:style>
  <w:style w:type="paragraph" w:styleId="SSBDataDecimal">
    <w:name w:val="SSB_Data_Decimal"/>
    <w:basedOn w:val="SSBData"/>
    <w:qFormat/>
    <w:pPr>
      <w:tabs>
        <w:tab w:val="clear" w:pos="3600"/>
        <w:tab w:val="decimal" w:pos="432" w:leader="none"/>
      </w:tabs>
    </w:pPr>
    <w:rPr>
      <w:kern w:val="0"/>
    </w:rPr>
  </w:style>
  <w:style w:type="paragraph" w:styleId="SSBDataRight">
    <w:name w:val="SSB_Data_Right"/>
    <w:basedOn w:val="SSBData"/>
    <w:qFormat/>
    <w:pPr>
      <w:tabs>
        <w:tab w:val="clear" w:pos="3600"/>
      </w:tabs>
      <w:jc w:val="end"/>
    </w:pPr>
    <w:rPr>
      <w:kern w:val="0"/>
    </w:rPr>
  </w:style>
  <w:style w:type="paragraph" w:styleId="SSBDataQ">
    <w:name w:val="SSB_DataQ"/>
    <w:basedOn w:val="SSBData"/>
    <w:qFormat/>
    <w:pPr>
      <w:spacing w:before="0" w:after="0"/>
    </w:pPr>
    <w:rPr/>
  </w:style>
  <w:style w:type="paragraph" w:styleId="SSBDataQCentered">
    <w:name w:val="SSB_DataQ_Centered"/>
    <w:basedOn w:val="SSBDataQ"/>
    <w:qFormat/>
    <w:pPr>
      <w:tabs>
        <w:tab w:val="clear" w:pos="3600"/>
      </w:tabs>
      <w:jc w:val="center"/>
    </w:pPr>
    <w:rPr/>
  </w:style>
  <w:style w:type="paragraph" w:styleId="SSBDataQDecimal">
    <w:name w:val="SSB_DataQ_Decimal"/>
    <w:basedOn w:val="SSBDataQ"/>
    <w:qFormat/>
    <w:pPr>
      <w:tabs>
        <w:tab w:val="clear" w:pos="3600"/>
        <w:tab w:val="decimal" w:pos="504" w:leader="none"/>
      </w:tabs>
    </w:pPr>
    <w:rPr>
      <w:kern w:val="0"/>
    </w:rPr>
  </w:style>
  <w:style w:type="paragraph" w:styleId="SSBDataQRight">
    <w:name w:val="SSB_DataQ_Right"/>
    <w:basedOn w:val="SSBDataQ"/>
    <w:qFormat/>
    <w:pPr>
      <w:tabs>
        <w:tab w:val="clear" w:pos="3600"/>
      </w:tabs>
      <w:jc w:val="end"/>
    </w:pPr>
    <w:rPr>
      <w:kern w:val="0"/>
    </w:rPr>
  </w:style>
  <w:style w:type="paragraph" w:styleId="SSBHidden">
    <w:name w:val="SSB_Hidden"/>
    <w:basedOn w:val="Normal"/>
    <w:qFormat/>
    <w:pPr>
      <w:tabs>
        <w:tab w:val="clear" w:pos="720"/>
        <w:tab w:val="right" w:pos="7830" w:leader="none"/>
      </w:tabs>
    </w:pPr>
    <w:rPr>
      <w:vanish/>
    </w:rPr>
  </w:style>
  <w:style w:type="paragraph" w:styleId="SSBLogo1st">
    <w:name w:val="SSB_Logo_1st"/>
    <w:basedOn w:val="Footer"/>
    <w:next w:val="Footer"/>
    <w:qFormat/>
    <w:pPr>
      <w:ind w:hanging="0" w:start="0" w:end="0"/>
    </w:pPr>
    <w:rPr/>
  </w:style>
  <w:style w:type="paragraph" w:styleId="SSBMarketCap">
    <w:name w:val="SSB_MarketCap"/>
    <w:basedOn w:val="SSBData"/>
    <w:qFormat/>
    <w:pPr>
      <w:tabs>
        <w:tab w:val="clear" w:pos="3600"/>
      </w:tabs>
      <w:spacing w:lineRule="auto" w:line="240" w:before="0" w:after="0"/>
      <w:jc w:val="end"/>
    </w:pPr>
    <w:rPr>
      <w:b/>
      <w:sz w:val="20"/>
    </w:rPr>
  </w:style>
  <w:style w:type="paragraph" w:styleId="SSBRating">
    <w:name w:val="SSB_Rating"/>
    <w:basedOn w:val="SSBHeadline"/>
    <w:next w:val="SSBMarketCap"/>
    <w:qFormat/>
    <w:pPr>
      <w:jc w:val="end"/>
      <w:outlineLvl w:val="9"/>
    </w:pPr>
    <w:rPr>
      <w:sz w:val="28"/>
    </w:rPr>
  </w:style>
  <w:style w:type="paragraph" w:styleId="SSBRegion">
    <w:name w:val="SSB_Region"/>
    <w:basedOn w:val="SSBHeadline"/>
    <w:next w:val="Footer"/>
    <w:qFormat/>
    <w:pPr>
      <w:spacing w:lineRule="exact" w:line="480" w:before="240" w:after="0"/>
      <w:jc w:val="end"/>
      <w:outlineLvl w:val="9"/>
    </w:pPr>
    <w:rPr>
      <w:b w:val="false"/>
      <w:color w:val="808080"/>
      <w:sz w:val="44"/>
    </w:rPr>
  </w:style>
  <w:style w:type="paragraph" w:styleId="SSBReleaseDate">
    <w:name w:val="SSB_ReleaseDate"/>
    <w:basedOn w:val="SSBHeadline"/>
    <w:next w:val="SSBBlackLine"/>
    <w:qFormat/>
    <w:pPr>
      <w:spacing w:before="0" w:after="480"/>
      <w:outlineLvl w:val="9"/>
    </w:pPr>
    <w:rPr>
      <w:b w:val="false"/>
      <w:sz w:val="20"/>
    </w:rPr>
  </w:style>
  <w:style w:type="paragraph" w:styleId="SSBSummary">
    <w:name w:val="SSB_Summary"/>
    <w:basedOn w:val="SSBBodyText"/>
    <w:qFormat/>
    <w:pPr>
      <w:numPr>
        <w:ilvl w:val="0"/>
        <w:numId w:val="2"/>
      </w:numPr>
      <w:tabs>
        <w:tab w:val="clear" w:pos="720"/>
        <w:tab w:val="left" w:pos="288" w:leader="none"/>
      </w:tabs>
      <w:spacing w:before="0" w:after="60"/>
    </w:pPr>
    <w:rPr/>
  </w:style>
  <w:style w:type="paragraph" w:styleId="SSBSummaryHeading">
    <w:name w:val="SSB_Summary_Heading"/>
    <w:basedOn w:val="SSBHeading"/>
    <w:next w:val="SSBSummary"/>
    <w:qFormat/>
    <w:pPr>
      <w:ind w:hanging="0" w:start="288" w:end="0"/>
    </w:pPr>
    <w:rPr/>
  </w:style>
  <w:style w:type="paragraph" w:styleId="SSBTableSpacer">
    <w:name w:val="SSB_TableSpacer"/>
    <w:basedOn w:val="Normal"/>
    <w:qFormat/>
    <w:pPr>
      <w:spacing w:lineRule="exact" w:line="120"/>
    </w:pPr>
    <w:rPr>
      <w:sz w:val="12"/>
    </w:rPr>
  </w:style>
  <w:style w:type="paragraph" w:styleId="SSBTableSpacerHidden">
    <w:name w:val="SSB_TableSpacer_Hidden"/>
    <w:basedOn w:val="SSBTableSpacer"/>
    <w:qFormat/>
    <w:pPr/>
    <w:rPr>
      <w:vanish/>
    </w:rPr>
  </w:style>
  <w:style w:type="paragraph" w:styleId="SSBTitle">
    <w:name w:val="SSB_Title"/>
    <w:basedOn w:val="SSBHeadline"/>
    <w:qFormat/>
    <w:pPr>
      <w:spacing w:before="120" w:after="0"/>
      <w:jc w:val="end"/>
      <w:outlineLvl w:val="9"/>
    </w:pPr>
    <w:rPr>
      <w:b w:val="false"/>
      <w:color w:val="000000"/>
      <w:sz w:val="28"/>
    </w:rPr>
  </w:style>
  <w:style w:type="paragraph" w:styleId="SSBDisclaimer">
    <w:name w:val="SSB_Disclaimer"/>
    <w:qFormat/>
    <w:pPr>
      <w:widowControl/>
      <w:bidi w:val="0"/>
    </w:pPr>
    <w:rPr>
      <w:rFonts w:ascii="Arial" w:hAnsi="Arial" w:eastAsia="Times New Roman" w:cs="Arial"/>
      <w:color w:val="000000"/>
      <w:sz w:val="16"/>
      <w:szCs w:val="20"/>
      <w:lang w:eastAsia="en-US" w:val="en-CA" w:bidi="hi-IN"/>
    </w:rPr>
  </w:style>
  <w:style w:type="paragraph" w:styleId="SSBDisclaimerFirstCall">
    <w:name w:val="SSB_Disclaimer_FirstCall"/>
    <w:basedOn w:val="SSBDisclaimer"/>
    <w:qFormat/>
    <w:pPr/>
    <w:rPr>
      <w:vanish/>
    </w:rPr>
  </w:style>
  <w:style w:type="paragraph" w:styleId="DocumentMap">
    <w:name w:val="Document Map"/>
    <w:basedOn w:val="Normal"/>
    <w:qFormat/>
    <w:pPr>
      <w:shd w:fill="000080" w:val="clear"/>
    </w:pPr>
    <w:rPr>
      <w:rFonts w:ascii="Tahoma" w:hAnsi="Tahoma" w:cs="Tahoma"/>
    </w:rPr>
  </w:style>
  <w:style w:type="paragraph" w:styleId="SSBHedgeHeading">
    <w:name w:val="SSB_Hedge_Heading"/>
    <w:basedOn w:val="SSBBodyText"/>
    <w:next w:val="SSBHedge"/>
    <w:qFormat/>
    <w:pPr>
      <w:spacing w:lineRule="exact" w:line="180" w:before="0" w:after="60"/>
      <w:outlineLvl w:val="1"/>
    </w:pPr>
    <w:rPr>
      <w:sz w:val="14"/>
      <w:lang w:val="en-GB"/>
    </w:rPr>
  </w:style>
  <w:style w:type="paragraph" w:styleId="SSBHedge">
    <w:name w:val="SSB_Hedge"/>
    <w:basedOn w:val="SSBData"/>
    <w:qFormat/>
    <w:pPr>
      <w:tabs>
        <w:tab w:val="clear" w:pos="3600"/>
      </w:tabs>
      <w:spacing w:lineRule="exact" w:line="170" w:before="0" w:after="40"/>
    </w:pPr>
    <w:rPr>
      <w:color w:val="000000"/>
      <w:sz w:val="14"/>
    </w:rPr>
  </w:style>
  <w:style w:type="paragraph" w:styleId="SSBWatermarkDraft">
    <w:name w:val="SSB_Watermark_Draft"/>
    <w:qFormat/>
    <w:pPr>
      <w:widowControl/>
      <w:bidi w:val="0"/>
    </w:pPr>
    <w:rPr>
      <w:rFonts w:ascii="Times New Roman" w:hAnsi="Times New Roman" w:eastAsia="Times New Roman" w:cs="Times New Roman"/>
      <w:color w:val="auto"/>
      <w:sz w:val="3276"/>
      <w:szCs w:val="20"/>
      <w:lang w:val="en-CA" w:eastAsia="zh-CN" w:bidi="hi-IN"/>
    </w:rPr>
  </w:style>
  <w:style w:type="paragraph" w:styleId="SSBWatermarkReject">
    <w:name w:val="SSB_Watermark_Reject"/>
    <w:qFormat/>
    <w:pPr>
      <w:widowControl/>
      <w:bidi w:val="0"/>
    </w:pPr>
    <w:rPr>
      <w:rFonts w:ascii="Times New Roman" w:hAnsi="Times New Roman" w:eastAsia="Times New Roman" w:cs="Times New Roman"/>
      <w:color w:val="auto"/>
      <w:sz w:val="3276"/>
      <w:szCs w:val="20"/>
      <w:lang w:val="en-CA"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wmf"/><Relationship Id="rId2" Type="http://schemas.openxmlformats.org/officeDocument/2006/relationships/image" Target="media/image3.wmf"/>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SPRY_note.dot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2001-04-09T09:48:00Z</dcterms:created>
  <dc:creator>Benjamin Morton</dc:creator>
  <dc:description/>
  <dc:language>en-CA</dc:language>
  <cp:lastModifiedBy>Benjamin Morton</cp:lastModifiedBy>
  <cp:lastPrinted>2001-04-08T18:58:00Z</cp:lastPrinted>
  <dcterms:modified xsi:type="dcterms:W3CDTF">2001-04-09T09:48:00Z</dcterms:modified>
  <cp:revision>2</cp:revision>
  <dc:subject/>
  <dc:title>Power &amp; Natural_20010408_1</dc:title>
</cp:coreProperties>
</file>