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13.xml" ContentType="application/vnd.openxmlformats-officedocument.wordprocessingml.footer+xml"/>
  <Override PartName="/word/footer12.xml" ContentType="application/vnd.openxmlformats-officedocument.wordprocessingml.footer+xml"/>
  <Override PartName="/word/footer11.xml" ContentType="application/vnd.openxmlformats-officedocument.wordprocessingml.footer+xml"/>
  <Override PartName="/word/footer10.xml" ContentType="application/vnd.openxmlformats-officedocument.wordprocessingml.footer+xml"/>
  <Override PartName="/word/footer9.xml" ContentType="application/vnd.openxmlformats-officedocument.wordprocessingml.footer+xml"/>
  <Override PartName="/word/theme/theme1.xml" ContentType="application/vnd.openxmlformats-officedocument.theme+xml"/>
  <Override PartName="/word/document.xml" ContentType="application/vnd.openxmlformats-officedocument.wordprocessingml.document.main+xml"/>
  <Override PartName="/word/header1.xml" ContentType="application/vnd.openxmlformats-officedocument.wordprocessingml.header+xml"/>
  <Override PartName="/word/header10.xml" ContentType="application/vnd.openxmlformats-officedocument.wordprocessingml.header+xml"/>
  <Override PartName="/word/settings.xml" ContentType="application/vnd.openxmlformats-officedocument.wordprocessingml.settings+xml"/>
  <Override PartName="/word/header7.xml" ContentType="application/vnd.openxmlformats-officedocument.wordprocessingml.header+xml"/>
  <Override PartName="/word/footer4.xml" ContentType="application/vnd.openxmlformats-officedocument.wordprocessingml.footer+xml"/>
  <Override PartName="/word/styles.xml" ContentType="application/vnd.openxmlformats-officedocument.wordprocessingml.styles+xml"/>
  <Override PartName="/word/footer14.xml" ContentType="application/vnd.openxmlformats-officedocument.wordprocessingml.footer+xml"/>
  <Override PartName="/word/numbering.xml" ContentType="application/vnd.openxmlformats-officedocument.wordprocessingml.numbering+xml"/>
  <Override PartName="/word/footnotes.xml" ContentType="application/vnd.openxmlformats-officedocument.wordprocessingml.footnotes+xml"/>
  <Override PartName="/word/fontTable.xml" ContentType="application/vnd.openxmlformats-officedocument.wordprocessingml.fontTable+xml"/>
  <Override PartName="/word/header11.xml" ContentType="application/vnd.openxmlformats-officedocument.wordprocessingml.header+xml"/>
  <Override PartName="/word/header2.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9.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header3.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footer1.xml" ContentType="application/vnd.openxmlformats-officedocument.wordprocessingml.footer+xml"/>
  <Override PartName="/word/header13.xml" ContentType="application/vnd.openxmlformats-officedocument.wordprocessingml.header+xml"/>
  <Override PartName="/word/header4.xml" ContentType="application/vnd.openxmlformats-officedocument.wordprocessingml.header+xml"/>
  <Override PartName="/word/footer8.xml" ContentType="application/vnd.openxmlformats-officedocument.wordprocessingml.footer+xml"/>
  <Override PartName="/word/header1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rPr>
      </w:pPr>
      <w:r>
        <w:rPr>
          <w:b/>
        </w:rPr>
        <w:t xml:space="preserve">    </w:t>
      </w:r>
      <w:r>
        <w:rPr>
          <w:b/>
        </w:rPr>
        <w:t>SCHEDULED FOR ORAL ARGUMENT JANUARY 16, 2001</w:t>
      </w:r>
    </w:p>
    <w:p>
      <w:pPr>
        <w:pStyle w:val="Normal"/>
        <w:jc w:val="center"/>
        <w:rPr>
          <w:b/>
        </w:rPr>
      </w:pPr>
      <w:r>
        <w:rPr>
          <w:b/>
        </w:rPr>
      </w:r>
    </w:p>
    <w:p>
      <w:pPr>
        <w:pStyle w:val="Normal"/>
        <w:jc w:val="center"/>
        <w:rPr>
          <w:b/>
        </w:rPr>
      </w:pPr>
      <w:r>
        <w:rPr>
          <w:b/>
        </w:rPr>
        <w:t>UNITED STATES COURT OF APPEALS</w:t>
      </w:r>
    </w:p>
    <w:p>
      <w:pPr>
        <w:pStyle w:val="Normal"/>
        <w:jc w:val="center"/>
        <w:rPr>
          <w:b/>
        </w:rPr>
      </w:pPr>
      <w:r>
        <w:rPr>
          <w:b/>
        </w:rPr>
        <w:t>FOR THE DISTRICT OF COLUMBIA COURT</w:t>
      </w:r>
    </w:p>
    <w:p>
      <w:pPr>
        <w:pStyle w:val="Normal"/>
        <w:jc w:val="center"/>
        <w:rPr>
          <w:b/>
        </w:rPr>
      </w:pPr>
      <w:r>
        <w:rPr>
          <w:b/>
        </w:rPr>
        <w:t>____________________</w:t>
      </w:r>
    </w:p>
    <w:p>
      <w:pPr>
        <w:pStyle w:val="Normal"/>
        <w:jc w:val="center"/>
        <w:rPr>
          <w:b/>
        </w:rPr>
      </w:pPr>
      <w:r>
        <w:rPr>
          <w:b/>
        </w:rPr>
      </w:r>
    </w:p>
    <w:p>
      <w:pPr>
        <w:pStyle w:val="Normal"/>
        <w:jc w:val="center"/>
        <w:rPr>
          <w:b/>
        </w:rPr>
      </w:pPr>
      <w:r>
        <w:rPr>
          <w:b/>
        </w:rPr>
        <w:t xml:space="preserve">Case Nos. 99-1263 </w:t>
      </w:r>
      <w:r>
        <w:rPr>
          <w:b/>
          <w:i/>
        </w:rPr>
        <w:t>et al.</w:t>
      </w:r>
    </w:p>
    <w:p>
      <w:pPr>
        <w:pStyle w:val="Normal"/>
        <w:jc w:val="center"/>
        <w:rPr>
          <w:b/>
        </w:rPr>
      </w:pPr>
      <w:r>
        <w:rPr>
          <w:b/>
        </w:rPr>
        <w:t>____________________</w:t>
      </w:r>
    </w:p>
    <w:p>
      <w:pPr>
        <w:pStyle w:val="Normal"/>
        <w:jc w:val="center"/>
        <w:rPr>
          <w:b/>
        </w:rPr>
      </w:pPr>
      <w:r>
        <w:rPr>
          <w:b/>
        </w:rPr>
      </w:r>
    </w:p>
    <w:p>
      <w:pPr>
        <w:pStyle w:val="Normal"/>
        <w:jc w:val="center"/>
        <w:rPr>
          <w:b/>
        </w:rPr>
      </w:pPr>
      <w:r>
        <w:rPr>
          <w:b/>
        </w:rPr>
        <w:t>THE POWER COMPANY OF AMERICA, L.P.,</w:t>
      </w:r>
    </w:p>
    <w:p>
      <w:pPr>
        <w:pStyle w:val="Normal"/>
        <w:jc w:val="center"/>
        <w:rPr>
          <w:b/>
        </w:rPr>
      </w:pPr>
      <w:r>
        <w:rPr>
          <w:b/>
        </w:rPr>
        <w:t>PETITIONER</w:t>
      </w:r>
    </w:p>
    <w:p>
      <w:pPr>
        <w:pStyle w:val="Normal"/>
        <w:jc w:val="center"/>
        <w:rPr>
          <w:b/>
        </w:rPr>
      </w:pPr>
      <w:r>
        <w:rPr>
          <w:b/>
        </w:rPr>
      </w:r>
    </w:p>
    <w:p>
      <w:pPr>
        <w:pStyle w:val="Normal"/>
        <w:jc w:val="center"/>
        <w:rPr>
          <w:b/>
        </w:rPr>
      </w:pPr>
      <w:r>
        <w:rPr>
          <w:b/>
        </w:rPr>
        <w:t>v.</w:t>
      </w:r>
    </w:p>
    <w:p>
      <w:pPr>
        <w:pStyle w:val="Normal"/>
        <w:jc w:val="center"/>
        <w:rPr>
          <w:b/>
        </w:rPr>
      </w:pPr>
      <w:r>
        <w:rPr>
          <w:b/>
        </w:rPr>
      </w:r>
    </w:p>
    <w:p>
      <w:pPr>
        <w:pStyle w:val="Normal"/>
        <w:jc w:val="center"/>
        <w:rPr>
          <w:b/>
        </w:rPr>
      </w:pPr>
      <w:r>
        <w:rPr>
          <w:b/>
        </w:rPr>
        <w:t>FEDERAL ENERGY REGULATORY COMMISSION,</w:t>
      </w:r>
    </w:p>
    <w:p>
      <w:pPr>
        <w:pStyle w:val="Normal"/>
        <w:jc w:val="center"/>
        <w:rPr>
          <w:b/>
        </w:rPr>
      </w:pPr>
      <w:r>
        <w:rPr>
          <w:b/>
        </w:rPr>
        <w:t>RESPONDENT</w:t>
      </w:r>
    </w:p>
    <w:p>
      <w:pPr>
        <w:pStyle w:val="Normal"/>
        <w:jc w:val="center"/>
        <w:rPr>
          <w:b/>
        </w:rPr>
      </w:pPr>
      <w:r>
        <w:rPr>
          <w:b/>
        </w:rPr>
        <w:t>____________________</w:t>
      </w:r>
    </w:p>
    <w:p>
      <w:pPr>
        <w:pStyle w:val="Normal"/>
        <w:jc w:val="center"/>
        <w:rPr>
          <w:b/>
        </w:rPr>
      </w:pPr>
      <w:r>
        <w:rPr>
          <w:b/>
        </w:rPr>
      </w:r>
    </w:p>
    <w:p>
      <w:pPr>
        <w:pStyle w:val="Normal"/>
        <w:jc w:val="center"/>
        <w:rPr>
          <w:b/>
        </w:rPr>
      </w:pPr>
      <w:r>
        <w:rPr>
          <w:b/>
        </w:rPr>
        <w:t>ON PETITION FOR REVIEW OF ORDERS OF THE</w:t>
      </w:r>
    </w:p>
    <w:p>
      <w:pPr>
        <w:pStyle w:val="Normal"/>
        <w:jc w:val="center"/>
        <w:rPr>
          <w:b/>
        </w:rPr>
      </w:pPr>
      <w:r>
        <w:rPr>
          <w:b/>
        </w:rPr>
        <w:t>FEDERAL ENERGY REGULATORY COMMISSION</w:t>
      </w:r>
    </w:p>
    <w:p>
      <w:pPr>
        <w:pStyle w:val="Normal"/>
        <w:jc w:val="center"/>
        <w:rPr>
          <w:b/>
        </w:rPr>
      </w:pPr>
      <w:r>
        <w:rPr>
          <w:b/>
        </w:rPr>
        <w:t>____________________</w:t>
      </w:r>
    </w:p>
    <w:p>
      <w:pPr>
        <w:pStyle w:val="Normal"/>
        <w:jc w:val="center"/>
        <w:rPr>
          <w:b/>
        </w:rPr>
      </w:pPr>
      <w:r>
        <w:rPr>
          <w:b/>
        </w:rPr>
      </w:r>
    </w:p>
    <w:p>
      <w:pPr>
        <w:pStyle w:val="Normal"/>
        <w:jc w:val="center"/>
        <w:rPr>
          <w:b/>
        </w:rPr>
      </w:pPr>
      <w:r>
        <w:rPr>
          <w:b/>
        </w:rPr>
        <w:t>JOINT BRIEF FOR INTERVENORS</w:t>
      </w:r>
    </w:p>
    <w:p>
      <w:pPr>
        <w:pStyle w:val="Normal"/>
        <w:jc w:val="center"/>
        <w:rPr>
          <w:b/>
        </w:rPr>
      </w:pPr>
      <w:r>
        <w:rPr>
          <w:b/>
        </w:rPr>
        <w:t>IN SUPPORT OF RESPONDENT</w:t>
      </w:r>
    </w:p>
    <w:p>
      <w:pPr>
        <w:pStyle w:val="Normal"/>
        <w:jc w:val="center"/>
        <w:rPr>
          <w:b/>
        </w:rPr>
      </w:pPr>
      <w:r>
        <w:rPr>
          <w:b/>
        </w:rPr>
        <w:t>____________________</w:t>
      </w:r>
    </w:p>
    <w:p>
      <w:pPr>
        <w:pStyle w:val="Normal"/>
        <w:jc w:val="center"/>
        <w:rPr/>
      </w:pPr>
      <w:r>
        <w:rPr/>
      </w:r>
    </w:p>
    <w:p>
      <w:pPr>
        <w:pStyle w:val="Normal"/>
        <w:rPr/>
      </w:pPr>
      <w:r>
        <w:rPr/>
        <w:t>Earle H. O'Donnell</w:t>
        <w:tab/>
        <w:tab/>
        <w:tab/>
        <w:tab/>
        <w:tab/>
        <w:t>Jacob Dweck</w:t>
      </w:r>
    </w:p>
    <w:p>
      <w:pPr>
        <w:pStyle w:val="Normal"/>
        <w:rPr/>
      </w:pPr>
      <w:r>
        <w:rPr/>
        <w:t>Donna M. Attanasio</w:t>
        <w:tab/>
        <w:tab/>
        <w:tab/>
        <w:tab/>
        <w:tab/>
        <w:t>Daniel E. Frank</w:t>
      </w:r>
    </w:p>
    <w:p>
      <w:pPr>
        <w:pStyle w:val="Normal"/>
        <w:rPr/>
      </w:pPr>
      <w:r>
        <w:rPr/>
        <w:t>Bruce A. Grabow</w:t>
        <w:tab/>
        <w:tab/>
        <w:tab/>
        <w:tab/>
        <w:tab/>
        <w:t>Paul B. Turner</w:t>
      </w:r>
    </w:p>
    <w:p>
      <w:pPr>
        <w:pStyle w:val="Normal"/>
        <w:rPr/>
      </w:pPr>
      <w:r>
        <w:rPr/>
        <w:t>DEWEY BALLANTINE LLP</w:t>
        <w:tab/>
        <w:tab/>
        <w:tab/>
        <w:t>SUTHERLAND, ASBILL &amp;</w:t>
      </w:r>
    </w:p>
    <w:p>
      <w:pPr>
        <w:pStyle w:val="Normal"/>
        <w:rPr/>
      </w:pPr>
      <w:r>
        <w:rPr/>
        <w:t>1775 Pennsylvania Ave., N.W.</w:t>
        <w:tab/>
        <w:tab/>
        <w:tab/>
        <w:t xml:space="preserve"> BRENNAN, L.L.P</w:t>
      </w:r>
    </w:p>
    <w:p>
      <w:pPr>
        <w:pStyle w:val="Normal"/>
        <w:rPr/>
      </w:pPr>
      <w:r>
        <w:rPr/>
        <w:t>Washington, DC 20006-4605</w:t>
        <w:tab/>
        <w:tab/>
        <w:tab/>
        <w:tab/>
        <w:t>1275 Pennsylvania Ave., N.W.</w:t>
      </w:r>
    </w:p>
    <w:p>
      <w:pPr>
        <w:pStyle w:val="Normal"/>
        <w:rPr/>
      </w:pPr>
      <w:r>
        <w:rPr>
          <w:i/>
        </w:rPr>
        <w:t>Counsel for</w:t>
      </w:r>
      <w:r>
        <w:rPr/>
        <w:tab/>
        <w:tab/>
        <w:tab/>
        <w:tab/>
        <w:tab/>
        <w:tab/>
        <w:t>Washington, DC 20004-2415</w:t>
      </w:r>
    </w:p>
    <w:p>
      <w:pPr>
        <w:pStyle w:val="Normal"/>
        <w:rPr>
          <w:i/>
          <w:i/>
        </w:rPr>
      </w:pPr>
      <w:r>
        <w:rPr>
          <w:i/>
        </w:rPr>
        <w:t>PG&amp;E Energy Trading-Power, L.P.</w:t>
        <w:tab/>
        <w:tab/>
        <w:tab/>
        <w:t>Counsel for</w:t>
      </w:r>
    </w:p>
    <w:p>
      <w:pPr>
        <w:pStyle w:val="Normal"/>
        <w:rPr/>
      </w:pPr>
      <w:r>
        <w:rPr>
          <w:i/>
        </w:rPr>
        <w:t>El Paso</w:t>
      </w:r>
      <w:r>
        <w:rPr/>
        <w:t xml:space="preserve"> </w:t>
      </w:r>
      <w:r>
        <w:rPr>
          <w:i/>
        </w:rPr>
        <w:t>Merchant Energy, L.P.</w:t>
        <w:tab/>
        <w:tab/>
        <w:tab/>
        <w:t>South Jersey Energy Company</w:t>
      </w:r>
    </w:p>
    <w:p>
      <w:pPr>
        <w:pStyle w:val="Normal"/>
        <w:rPr/>
      </w:pPr>
      <w:r>
        <w:rPr/>
      </w:r>
    </w:p>
    <w:p>
      <w:pPr>
        <w:pStyle w:val="Normal"/>
        <w:rPr/>
      </w:pPr>
      <w:r>
        <w:rPr/>
        <w:t>David P. Sharo</w:t>
        <w:tab/>
        <w:tab/>
        <w:tab/>
        <w:tab/>
        <w:tab/>
        <w:t>Terry D. Kernell</w:t>
      </w:r>
    </w:p>
    <w:p>
      <w:pPr>
        <w:pStyle w:val="Normal"/>
        <w:rPr/>
      </w:pPr>
      <w:r>
        <w:rPr/>
        <w:t>LEBOEUF, LAMB, GREENE &amp; MACRAE</w:t>
        <w:tab/>
        <w:tab/>
        <w:t>David I. Bloom</w:t>
      </w:r>
    </w:p>
    <w:p>
      <w:pPr>
        <w:pStyle w:val="Normal"/>
        <w:rPr/>
      </w:pPr>
      <w:r>
        <w:rPr/>
        <w:t>1875 Connecticut Ave., N.W.</w:t>
        <w:tab/>
        <w:tab/>
        <w:tab/>
        <w:tab/>
        <w:t>MAYER, BROWN &amp; PLATT</w:t>
      </w:r>
    </w:p>
    <w:p>
      <w:pPr>
        <w:pStyle w:val="Normal"/>
        <w:rPr/>
      </w:pPr>
      <w:r>
        <w:rPr/>
        <w:t>Suite 1200</w:t>
        <w:tab/>
        <w:tab/>
        <w:tab/>
        <w:tab/>
        <w:tab/>
        <w:tab/>
        <w:t>700 Louisiana</w:t>
      </w:r>
    </w:p>
    <w:p>
      <w:pPr>
        <w:pStyle w:val="Normal"/>
        <w:rPr/>
      </w:pPr>
      <w:r>
        <w:rPr/>
        <w:t>Washington, DC 20009-5728</w:t>
        <w:tab/>
        <w:tab/>
        <w:tab/>
        <w:tab/>
        <w:t>3600 NationsBank Center</w:t>
      </w:r>
    </w:p>
    <w:p>
      <w:pPr>
        <w:pStyle w:val="Normal"/>
        <w:rPr/>
      </w:pPr>
      <w:r>
        <w:rPr>
          <w:i/>
        </w:rPr>
        <w:t>Counsel for</w:t>
      </w:r>
      <w:r>
        <w:rPr/>
        <w:tab/>
        <w:tab/>
        <w:tab/>
        <w:tab/>
        <w:tab/>
        <w:tab/>
        <w:t>Houston, TX 77002</w:t>
      </w:r>
    </w:p>
    <w:p>
      <w:pPr>
        <w:pStyle w:val="Normal"/>
        <w:rPr>
          <w:i/>
          <w:i/>
        </w:rPr>
      </w:pPr>
      <w:r>
        <w:rPr>
          <w:i/>
        </w:rPr>
        <w:t>Enron Power Marketing, Inc.</w:t>
        <w:tab/>
        <w:tab/>
        <w:tab/>
        <w:tab/>
        <w:t>Counsel for</w:t>
      </w:r>
    </w:p>
    <w:p>
      <w:pPr>
        <w:pStyle w:val="Normal"/>
        <w:rPr>
          <w:i/>
          <w:i/>
        </w:rPr>
      </w:pPr>
      <w:r>
        <w:rPr>
          <w:i/>
        </w:rPr>
        <w:tab/>
        <w:tab/>
        <w:tab/>
        <w:tab/>
        <w:tab/>
        <w:tab/>
        <w:tab/>
        <w:t>Cook Inlet Energy Supply, L.P.</w:t>
      </w:r>
    </w:p>
    <w:p>
      <w:pPr>
        <w:pStyle w:val="Normal"/>
        <w:jc w:val="center"/>
        <w:rPr>
          <w:i/>
          <w:i/>
        </w:rPr>
      </w:pPr>
      <w:r>
        <w:rPr>
          <w:i/>
        </w:rPr>
      </w:r>
    </w:p>
    <w:p>
      <w:pPr>
        <w:sectPr>
          <w:headerReference w:type="default" r:id="rId2"/>
          <w:headerReference w:type="first" r:id="rId3"/>
          <w:footerReference w:type="default" r:id="rId4"/>
          <w:footerReference w:type="first" r:id="rId5"/>
          <w:type w:val="nextPage"/>
          <w:pgSz w:w="12240" w:h="15840"/>
          <w:pgMar w:left="1800" w:right="1800" w:gutter="0" w:header="720" w:top="1440" w:footer="720" w:bottom="1440"/>
          <w:pgNumType w:fmt="decimal"/>
          <w:formProt w:val="false"/>
          <w:titlePg/>
          <w:textDirection w:val="lrTb"/>
          <w:docGrid w:type="default" w:linePitch="360" w:charSpace="0"/>
        </w:sectPr>
        <w:pStyle w:val="Normal"/>
        <w:rPr/>
      </w:pPr>
      <w:r>
        <w:rPr/>
        <w:t>Dated:  October 13, 2000</w:t>
      </w:r>
    </w:p>
    <w:p>
      <w:pPr>
        <w:pStyle w:val="Normal"/>
        <w:jc w:val="center"/>
        <w:rPr>
          <w:b/>
          <w:u w:val="single"/>
        </w:rPr>
      </w:pPr>
      <w:r>
        <w:rPr>
          <w:b/>
          <w:u w:val="single"/>
        </w:rPr>
        <w:t>CERTIFICATE AS TO PARTIES, RULINGS AND RELATED CASES</w:t>
      </w:r>
    </w:p>
    <w:p>
      <w:pPr>
        <w:pStyle w:val="Normal"/>
        <w:jc w:val="center"/>
        <w:rPr/>
      </w:pPr>
      <w:r>
        <w:rPr/>
      </w:r>
    </w:p>
    <w:p>
      <w:pPr>
        <w:pStyle w:val="Normal"/>
        <w:spacing w:lineRule="auto" w:line="480"/>
        <w:ind w:firstLine="1440" w:end="0"/>
        <w:rPr/>
      </w:pPr>
      <w:r>
        <w:rPr/>
        <w:t>Pursuant to Circuit Rule 28(a)(a), counsel for Intervenors in Support of Respondent state the following:</w:t>
      </w:r>
    </w:p>
    <w:p>
      <w:pPr>
        <w:pStyle w:val="Normal"/>
        <w:spacing w:lineRule="auto" w:line="480"/>
        <w:rPr/>
      </w:pPr>
      <w:r>
        <w:rPr>
          <w:b/>
        </w:rPr>
        <w:t>I.</w:t>
        <w:tab/>
        <w:t xml:space="preserve">Parties and </w:t>
      </w:r>
      <w:r>
        <w:rPr>
          <w:b/>
          <w:i/>
        </w:rPr>
        <w:t>Amici</w:t>
      </w:r>
    </w:p>
    <w:p>
      <w:pPr>
        <w:pStyle w:val="Normal"/>
        <w:spacing w:lineRule="auto" w:line="480"/>
        <w:ind w:firstLine="1440" w:end="0"/>
        <w:rPr/>
      </w:pPr>
      <w:r>
        <w:rPr/>
        <w:t xml:space="preserve">All parties, intervenors, and </w:t>
      </w:r>
      <w:r>
        <w:rPr>
          <w:i/>
        </w:rPr>
        <w:t>amici</w:t>
      </w:r>
      <w:r>
        <w:rPr/>
        <w:t xml:space="preserve"> appearing before the Federal Energy Regulatory Commission ("FERC" or "Commission") and this Court are as listed in the Brief of Petitioner.</w:t>
      </w:r>
    </w:p>
    <w:p>
      <w:pPr>
        <w:pStyle w:val="Normal"/>
        <w:spacing w:lineRule="auto" w:line="480"/>
        <w:rPr/>
      </w:pPr>
      <w:r>
        <w:rPr/>
        <w:tab/>
      </w:r>
      <w:r>
        <w:rPr>
          <w:b/>
          <w:u w:val="single"/>
        </w:rPr>
        <w:t>Disclosure of Corporate Interests</w:t>
      </w:r>
    </w:p>
    <w:p>
      <w:pPr>
        <w:pStyle w:val="Normal"/>
        <w:spacing w:lineRule="auto" w:line="480"/>
        <w:ind w:firstLine="1440" w:end="0"/>
        <w:rPr>
          <w:b/>
        </w:rPr>
      </w:pPr>
      <w:r>
        <w:rPr>
          <w:b/>
        </w:rPr>
        <w:t>[NOTE TO JOINT INTERVENORS:  the following was taken from the "Disclosure of Corporate Interests" each Intervenor filed with the Court in these proceedings.  Please provide necessary revisions and confirm as correct.]</w:t>
      </w:r>
    </w:p>
    <w:p>
      <w:pPr>
        <w:pStyle w:val="Normal"/>
        <w:spacing w:lineRule="auto" w:line="480"/>
        <w:ind w:firstLine="1440" w:end="0"/>
        <w:rPr/>
      </w:pPr>
      <w:r>
        <w:rPr/>
        <w:t>Pursuant to Rule 26.1 of the Circuit Rules of the United States Court of Appeals for the District of Columbia and Rule 26.1 of the Federal Rules of Appellate Procedure, counsel states that:</w:t>
      </w:r>
    </w:p>
    <w:p>
      <w:pPr>
        <w:pStyle w:val="Normal"/>
        <w:spacing w:lineRule="auto" w:line="480"/>
        <w:ind w:firstLine="1440" w:end="0"/>
        <w:rPr/>
      </w:pPr>
      <w:r>
        <w:rPr/>
        <w:t>[Cook Inlet Energy Supply, L.P. ("Cook Inlet") is an affiliate of Portland Electric Company, which is a wholly-owned subsidiary of Enron Corp., by virtue of its affiliation with Enron Minority Development Corp.  Cook Inlet is a limited partnership engaged in marketing natural gas and electric power.  Cook Inlet functions as a power marketer pursuant to an unpublished letter order of the FERC issued on July 10, 1996, in Docket No. ER96-1410-000.  The following parent companies, subsidiaries (other than wholly-owned subsidiaries), or affiliates of Cook Inlet issue shares or debt to the public:</w:t>
      </w:r>
    </w:p>
    <w:p>
      <w:pPr>
        <w:pStyle w:val="Normal"/>
        <w:spacing w:lineRule="auto" w:line="480"/>
        <w:ind w:firstLine="1440" w:end="0"/>
        <w:rPr/>
      </w:pPr>
      <w:r>
        <w:rPr/>
        <w:t>Enron Corp.]</w:t>
      </w:r>
    </w:p>
    <w:p>
      <w:pPr>
        <w:pStyle w:val="Normal"/>
        <w:spacing w:lineRule="auto" w:line="480"/>
        <w:ind w:firstLine="1440" w:end="0"/>
        <w:rPr/>
      </w:pPr>
      <w:r>
        <w:rPr/>
        <w:t xml:space="preserve">[Enron Power Marketing, Inc. ("EPMI") is a corporation organized and existing under the laws of the State of Texas and has its principal offices in Houston, Texas. EPMI is an affiliate of Enron Capital &amp; Trade Resources, which is an indirect affiliate, wholly-owned subsidiary of Enron Corp.  EPMI was formed to develop a North American merchant services business in electric power.  EPMI has developed a range of products and services related to the purchase, sale and delivery of electric power and the management of associated price risks.  EPMI markets these products throughout the United States and functions as a power marketer pursuant to an order of the FERC issued December 2, 1993.  </w:t>
      </w:r>
      <w:r>
        <w:rPr>
          <w:i/>
        </w:rPr>
        <w:t>Enron Power Mktg., Inc</w:t>
      </w:r>
      <w:r>
        <w:rPr/>
        <w:t xml:space="preserve">., 65 FERC ¶ 61,305 (1993), </w:t>
      </w:r>
      <w:r>
        <w:rPr>
          <w:i/>
        </w:rPr>
        <w:t>reh'g denied</w:t>
      </w:r>
      <w:r>
        <w:rPr/>
        <w:t>, 66 FERC ¶ 61,244 (1994) ("Enron").  As defined in Circuit Rule 26.1(a), EPMI's "parent companies" are as follows:</w:t>
      </w:r>
    </w:p>
    <w:p>
      <w:pPr>
        <w:pStyle w:val="Normal"/>
        <w:rPr/>
      </w:pPr>
      <w:r>
        <w:rPr/>
        <w:tab/>
        <w:tab/>
        <w:t>Enron Corp.</w:t>
      </w:r>
    </w:p>
    <w:p>
      <w:pPr>
        <w:pStyle w:val="Normal"/>
        <w:rPr/>
      </w:pPr>
      <w:r>
        <w:rPr/>
        <w:tab/>
        <w:tab/>
        <w:t>Enron Capital &amp; Trade Resources</w:t>
      </w:r>
    </w:p>
    <w:p>
      <w:pPr>
        <w:pStyle w:val="Normal"/>
        <w:rPr/>
      </w:pPr>
      <w:r>
        <w:rPr/>
      </w:r>
    </w:p>
    <w:p>
      <w:pPr>
        <w:pStyle w:val="Normal"/>
        <w:spacing w:lineRule="auto" w:line="480"/>
        <w:rPr/>
      </w:pPr>
      <w:r>
        <w:rPr/>
        <w:t xml:space="preserve">There are no other publicly-held companies that have a 10% or greater ownership interest in EPMI.]  </w:t>
      </w:r>
      <w:r>
        <w:rPr>
          <w:b/>
        </w:rPr>
        <w:t>[Note:  Have Enron and ECTR issued shares or debt to the public?  If so, should ECTR be mentioned in connection with Cook Inlet?]</w:t>
      </w:r>
    </w:p>
    <w:p>
      <w:pPr>
        <w:pStyle w:val="Normal"/>
        <w:tabs>
          <w:tab w:val="clear" w:pos="720"/>
          <w:tab w:val="left" w:pos="-720" w:leader="none"/>
        </w:tabs>
        <w:suppressAutoHyphens w:val="true"/>
        <w:spacing w:lineRule="auto" w:line="480"/>
        <w:ind w:firstLine="1440" w:end="0"/>
        <w:rPr>
          <w:spacing w:val="-3"/>
        </w:rPr>
      </w:pPr>
      <w:r>
        <w:rPr/>
        <w:t xml:space="preserve"> </w:t>
      </w:r>
      <w:r>
        <w:rPr/>
        <w:t xml:space="preserve">[EL Paso Merchant Energy, L.P. ("El Paso"), </w:t>
      </w:r>
      <w:r>
        <w:rPr>
          <w:spacing w:val="-3"/>
        </w:rPr>
        <w:t>a wholly-owned subsidiary of El Paso Energy Corporation, is a power marketer authorized by the Commission to engage in wholesale sales of power in interstate commerce at market-based rates, and is a Delaware corporation with its principal place of business in Houston, Texas.  In addition to El Paso Energy Corporation, the following El Paso affiliates have issued certain shares or debt securities to the public:</w:t>
      </w:r>
      <w:r>
        <w:rPr>
          <w:rStyle w:val="FootnoteCharacters"/>
          <w:color w:val="000000"/>
          <w:lang w:eastAsia="en-US"/>
        </w:rPr>
        <w:t xml:space="preserve"> </w:t>
      </w:r>
    </w:p>
    <w:p>
      <w:pPr>
        <w:pStyle w:val="Normal"/>
        <w:rPr>
          <w:color w:val="000000"/>
          <w:lang w:eastAsia="en-US"/>
        </w:rPr>
      </w:pPr>
      <w:r>
        <w:rPr>
          <w:color w:val="000000"/>
          <w:lang w:eastAsia="en-US"/>
        </w:rPr>
        <w:tab/>
        <w:tab/>
        <w:t>Deep Tech International Inc.</w:t>
      </w:r>
    </w:p>
    <w:p>
      <w:pPr>
        <w:pStyle w:val="Normal"/>
        <w:rPr>
          <w:color w:val="000000"/>
          <w:lang w:eastAsia="en-US"/>
        </w:rPr>
      </w:pPr>
      <w:r>
        <w:rPr>
          <w:color w:val="000000"/>
          <w:lang w:eastAsia="en-US"/>
        </w:rPr>
        <w:tab/>
        <w:tab/>
        <w:t>El Paso Energy Credit Corporation (formerly Tenneco Credit Corporation)</w:t>
      </w:r>
    </w:p>
    <w:p>
      <w:pPr>
        <w:pStyle w:val="Normal"/>
        <w:rPr/>
      </w:pPr>
      <w:r>
        <w:rPr>
          <w:color w:val="000000"/>
          <w:lang w:eastAsia="en-US"/>
        </w:rPr>
        <w:tab/>
        <w:tab/>
        <w:t>El Paso Tennessee Pipeline Company (formerly Tenneco, Inc.</w:t>
      </w:r>
      <w:r>
        <w:rPr>
          <w:rStyle w:val="FootnoteCharacters"/>
          <w:rStyle w:val="FootnoteReference"/>
          <w:color w:val="000000"/>
          <w:lang w:eastAsia="en-US"/>
        </w:rPr>
        <w:footnoteReference w:id="2"/>
      </w:r>
      <w:r>
        <w:rPr>
          <w:color w:val="000000"/>
          <w:lang w:eastAsia="en-US"/>
        </w:rPr>
        <w:t>)</w:t>
      </w:r>
    </w:p>
    <w:p>
      <w:pPr>
        <w:pStyle w:val="Normal"/>
        <w:rPr>
          <w:color w:val="000000"/>
          <w:lang w:eastAsia="en-US"/>
        </w:rPr>
      </w:pPr>
      <w:r>
        <w:rPr>
          <w:color w:val="000000"/>
          <w:lang w:eastAsia="en-US"/>
        </w:rPr>
        <w:tab/>
        <w:tab/>
        <w:t>Leviathan Gas Pipeline Partners, L.P.</w:t>
      </w:r>
    </w:p>
    <w:p>
      <w:pPr>
        <w:pStyle w:val="Normal"/>
        <w:spacing w:lineRule="auto" w:line="480"/>
        <w:rPr>
          <w:color w:val="000000"/>
          <w:lang w:eastAsia="en-US"/>
        </w:rPr>
      </w:pPr>
      <w:r>
        <w:rPr>
          <w:color w:val="000000"/>
          <w:lang w:eastAsia="en-US"/>
        </w:rPr>
        <w:tab/>
        <w:tab/>
        <w:t>Tennessee Gas Pipeline Company</w:t>
      </w:r>
    </w:p>
    <w:p>
      <w:pPr>
        <w:pStyle w:val="Normal"/>
        <w:tabs>
          <w:tab w:val="clear" w:pos="720"/>
          <w:tab w:val="left" w:pos="-720" w:leader="none"/>
        </w:tabs>
        <w:suppressAutoHyphens w:val="true"/>
        <w:spacing w:lineRule="auto" w:line="480"/>
        <w:ind w:firstLine="1440" w:end="0"/>
        <w:rPr>
          <w:spacing w:val="-3"/>
        </w:rPr>
      </w:pPr>
      <w:r>
        <w:rPr>
          <w:color w:val="000000"/>
          <w:lang w:eastAsia="en-US"/>
        </w:rPr>
        <w:t>Other than the foregoing, El Paso has no affiliates or subsidiaries that have issued shares or debt securities to the public.</w:t>
      </w:r>
      <w:r>
        <w:rPr>
          <w:rStyle w:val="FootnoteCharacters"/>
          <w:rStyle w:val="FootnoteReference"/>
          <w:color w:val="000000"/>
          <w:lang w:eastAsia="en-US"/>
        </w:rPr>
        <w:footnoteReference w:id="3"/>
      </w:r>
      <w:r>
        <w:rPr>
          <w:color w:val="000000"/>
          <w:lang w:eastAsia="en-US"/>
        </w:rPr>
        <w:t>]</w:t>
      </w:r>
    </w:p>
    <w:p>
      <w:pPr>
        <w:pStyle w:val="Normal"/>
        <w:tabs>
          <w:tab w:val="clear" w:pos="720"/>
          <w:tab w:val="left" w:pos="-720" w:leader="none"/>
        </w:tabs>
        <w:suppressAutoHyphens w:val="true"/>
        <w:spacing w:lineRule="auto" w:line="480"/>
        <w:ind w:firstLine="1440" w:end="0"/>
        <w:rPr/>
      </w:pPr>
      <w:r>
        <w:rPr/>
        <w:t xml:space="preserve">[PGET Energy Trading-Power, L.P. ("PGET") </w:t>
      </w:r>
      <w:r>
        <w:rPr>
          <w:spacing w:val="-3"/>
        </w:rPr>
        <w:t xml:space="preserve">is a marketer of electric energy.  PGET engages in transactions at wholesale throughout the United States.  PGET </w:t>
      </w:r>
      <w:r>
        <w:rPr/>
        <w:t>is an indirect, wholly-owned subsidiary of PG&amp;E Corporation ("PG&amp;E Corp."), a California corporation and diversified energy-services holding company, and an affiliate of Pacific Gas and Electric Company ("PG&amp;E"), a California corporation and franchised electric and natural gas utility.  Both PG&amp;E Corp. and PG&amp;E have issued debt or equity securities to the public.  In addition, the following subsidiaries of PG&amp;E Corp. have issued debt or equity securities to the public:</w:t>
      </w:r>
    </w:p>
    <w:p>
      <w:pPr>
        <w:pStyle w:val="Normal"/>
        <w:ind w:hanging="1440" w:start="1440" w:end="1440"/>
        <w:rPr/>
      </w:pPr>
      <w:r>
        <w:rPr/>
        <w:tab/>
        <w:t>Indiantown Cogeneration Funding Corporation (a Delaware Corporation);</w:t>
      </w:r>
    </w:p>
    <w:p>
      <w:pPr>
        <w:pStyle w:val="Normal"/>
        <w:ind w:hanging="1440" w:start="1440" w:end="1440"/>
        <w:rPr/>
      </w:pPr>
      <w:r>
        <w:rPr/>
        <w:tab/>
        <w:t>Indiantown Cogeneration, L.P. (a Delaware Limited Partnership);</w:t>
      </w:r>
    </w:p>
    <w:p>
      <w:pPr>
        <w:pStyle w:val="Normal"/>
        <w:ind w:hanging="1440" w:start="1440" w:end="1440"/>
        <w:rPr/>
      </w:pPr>
      <w:r>
        <w:rPr/>
        <w:tab/>
        <w:t>PG&amp;E Gas Transmission - Northwest Corporation (a California Corporation);</w:t>
      </w:r>
    </w:p>
    <w:p>
      <w:pPr>
        <w:pStyle w:val="Normal"/>
        <w:ind w:hanging="1440" w:start="1440" w:end="1440"/>
        <w:rPr/>
      </w:pPr>
      <w:r>
        <w:rPr/>
        <w:tab/>
        <w:t>PG&amp;E Capital I (a statutory business trust formed under the laws of the State of Delaware);</w:t>
      </w:r>
    </w:p>
    <w:p>
      <w:pPr>
        <w:pStyle w:val="Normal"/>
        <w:ind w:hanging="1440" w:start="1440" w:end="1440"/>
        <w:rPr/>
      </w:pPr>
      <w:r>
        <w:rPr/>
        <w:tab/>
        <w:t>PG&amp;E Gas Transmission - Texas Corporation (a Delaware Corporation);</w:t>
      </w:r>
    </w:p>
    <w:p>
      <w:pPr>
        <w:pStyle w:val="Normal"/>
        <w:ind w:hanging="1440" w:start="1440" w:end="1440"/>
        <w:rPr/>
      </w:pPr>
      <w:r>
        <w:rPr/>
        <w:tab/>
        <w:t xml:space="preserve">PG&amp;E Funding L.L.C. (a Delaware Limited Liability Company); </w:t>
      </w:r>
    </w:p>
    <w:p>
      <w:pPr>
        <w:pStyle w:val="Normal"/>
        <w:ind w:hanging="1440" w:start="1440" w:end="1440"/>
        <w:rPr/>
      </w:pPr>
      <w:r>
        <w:rPr/>
        <w:tab/>
        <w:t>Selkirk Cogeneration, L.P. (a Delaware Limited Partnership); and</w:t>
      </w:r>
    </w:p>
    <w:p>
      <w:pPr>
        <w:pStyle w:val="Normal"/>
        <w:ind w:hanging="1440" w:start="1440" w:end="1440"/>
        <w:rPr/>
      </w:pPr>
      <w:r>
        <w:rPr/>
        <w:tab/>
        <w:t>Selkirk Cogen Funding Corporation (a Delaware Corporation).</w:t>
      </w:r>
    </w:p>
    <w:p>
      <w:pPr>
        <w:pStyle w:val="Normal"/>
        <w:rPr/>
      </w:pPr>
      <w:r>
        <w:rPr/>
      </w:r>
    </w:p>
    <w:p>
      <w:pPr>
        <w:pStyle w:val="Normal"/>
        <w:spacing w:lineRule="auto" w:line="480"/>
        <w:rPr>
          <w:color w:val="000000"/>
          <w:lang w:eastAsia="en-US"/>
        </w:rPr>
      </w:pPr>
      <w:r>
        <w:rPr>
          <w:color w:val="000000"/>
          <w:lang w:eastAsia="en-US"/>
        </w:rPr>
        <w:t>These corporations are identified to assure full compliance with the intent of District of Columbia Circuit Rule 26.1.]</w:t>
      </w:r>
    </w:p>
    <w:p>
      <w:pPr>
        <w:pStyle w:val="Normal"/>
        <w:spacing w:lineRule="auto" w:line="480"/>
        <w:rPr/>
      </w:pPr>
      <w:r>
        <w:rPr/>
        <w:tab/>
        <w:t>[South Jersey Energy Company ("South Jersey") is a subsidiary of South Jersey Industries, Inc.  South Jersey is a New Jersey corporation engaged in selling electric power.  South Jersey functions as a power marketer pursuant to an unpublished letter order of the FERC issued on February 28, 1997, in Docket No. ER97-1397-000.  The following parent companies, subsidiaries (other than wholly-owned subsidiaries), or affiliates of South Jersey issue shares to debt securities to the public:</w:t>
      </w:r>
    </w:p>
    <w:p>
      <w:pPr>
        <w:pStyle w:val="Normal"/>
        <w:spacing w:lineRule="auto" w:line="480"/>
        <w:rPr/>
      </w:pPr>
      <w:r>
        <w:rPr/>
        <w:tab/>
        <w:tab/>
        <w:t>South Jersey Industries, Inc.]</w:t>
      </w:r>
    </w:p>
    <w:p>
      <w:pPr>
        <w:pStyle w:val="Normal"/>
        <w:spacing w:lineRule="auto" w:line="480"/>
        <w:rPr>
          <w:b/>
        </w:rPr>
      </w:pPr>
      <w:r>
        <w:rPr>
          <w:b/>
        </w:rPr>
        <w:t>II.</w:t>
        <w:tab/>
        <w:t>Rulings Under Review</w:t>
      </w:r>
    </w:p>
    <w:p>
      <w:pPr>
        <w:pStyle w:val="Normal"/>
        <w:spacing w:lineRule="auto" w:line="480"/>
        <w:rPr/>
      </w:pPr>
      <w:r>
        <w:rPr/>
        <w:tab/>
        <w:t>References to the rulings under review appear in the Brief of Petitioner.</w:t>
      </w:r>
    </w:p>
    <w:p>
      <w:pPr>
        <w:pStyle w:val="Normal"/>
        <w:spacing w:lineRule="auto" w:line="480"/>
        <w:rPr>
          <w:b/>
        </w:rPr>
      </w:pPr>
      <w:r>
        <w:rPr>
          <w:b/>
        </w:rPr>
        <w:t>III.</w:t>
        <w:tab/>
        <w:t>Related Cases</w:t>
      </w:r>
    </w:p>
    <w:p>
      <w:pPr>
        <w:pStyle w:val="Normal"/>
        <w:spacing w:lineRule="auto" w:line="480"/>
        <w:rPr/>
      </w:pPr>
      <w:r>
        <w:rPr/>
        <w:tab/>
        <w:t>There are no related cases.</w:t>
      </w:r>
    </w:p>
    <w:p>
      <w:pPr>
        <w:pStyle w:val="Normal"/>
        <w:spacing w:lineRule="auto" w:line="480"/>
        <w:rPr/>
      </w:pPr>
      <w:r>
        <w:rPr/>
        <w:tab/>
        <w:tab/>
        <w:tab/>
        <w:tab/>
        <w:tab/>
        <w:tab/>
        <w:t>Respectfully submitted,</w:t>
      </w:r>
    </w:p>
    <w:p>
      <w:pPr>
        <w:pStyle w:val="Normal"/>
        <w:rPr/>
      </w:pPr>
      <w:r>
        <w:rPr/>
        <w:tab/>
        <w:tab/>
      </w:r>
    </w:p>
    <w:p>
      <w:pPr>
        <w:pStyle w:val="Normal"/>
        <w:rPr/>
      </w:pPr>
      <w:r>
        <w:rPr/>
        <w:tab/>
        <w:tab/>
        <w:tab/>
        <w:tab/>
        <w:tab/>
        <w:tab/>
        <w:t>By:_____________________________</w:t>
      </w:r>
    </w:p>
    <w:p>
      <w:pPr>
        <w:pStyle w:val="Normal"/>
        <w:rPr/>
      </w:pPr>
      <w:r>
        <w:rPr/>
        <w:tab/>
        <w:tab/>
        <w:tab/>
        <w:tab/>
        <w:tab/>
        <w:tab/>
        <w:tab/>
        <w:t>Earle H. O'Donnell</w:t>
      </w:r>
    </w:p>
    <w:p>
      <w:pPr>
        <w:pStyle w:val="Normal"/>
        <w:rPr/>
      </w:pPr>
      <w:r>
        <w:rPr/>
        <w:tab/>
        <w:tab/>
        <w:tab/>
        <w:tab/>
        <w:tab/>
        <w:tab/>
        <w:tab/>
        <w:t>Donna M. Attanasio</w:t>
      </w:r>
    </w:p>
    <w:p>
      <w:pPr>
        <w:pStyle w:val="Normal"/>
        <w:rPr/>
      </w:pPr>
      <w:r>
        <w:rPr/>
        <w:tab/>
        <w:tab/>
        <w:tab/>
        <w:tab/>
        <w:tab/>
        <w:tab/>
        <w:tab/>
        <w:t>Bruce A. Grabow</w:t>
      </w:r>
    </w:p>
    <w:p>
      <w:pPr>
        <w:pStyle w:val="Normal"/>
        <w:rPr/>
      </w:pPr>
      <w:r>
        <w:rPr/>
        <w:tab/>
        <w:tab/>
        <w:tab/>
        <w:tab/>
        <w:tab/>
        <w:tab/>
        <w:tab/>
        <w:t>DEWEY BALLANTINE LLP</w:t>
      </w:r>
    </w:p>
    <w:p>
      <w:pPr>
        <w:pStyle w:val="Normal"/>
        <w:rPr/>
      </w:pPr>
      <w:r>
        <w:rPr/>
        <w:tab/>
        <w:tab/>
        <w:tab/>
        <w:tab/>
        <w:tab/>
        <w:tab/>
        <w:tab/>
        <w:t>1775 Pennsylvania Ave., N.W.</w:t>
      </w:r>
    </w:p>
    <w:p>
      <w:pPr>
        <w:pStyle w:val="Normal"/>
        <w:rPr/>
      </w:pPr>
      <w:r>
        <w:rPr/>
        <w:tab/>
        <w:tab/>
        <w:tab/>
        <w:tab/>
        <w:tab/>
        <w:tab/>
        <w:tab/>
        <w:t>Washington, DC 20006-4605</w:t>
      </w:r>
    </w:p>
    <w:p>
      <w:pPr>
        <w:pStyle w:val="Normal"/>
        <w:rPr/>
      </w:pPr>
      <w:r>
        <w:rPr/>
      </w:r>
    </w:p>
    <w:p>
      <w:pPr>
        <w:pStyle w:val="Normal"/>
        <w:rPr/>
      </w:pPr>
      <w:r>
        <w:rPr/>
        <w:tab/>
        <w:tab/>
        <w:tab/>
        <w:tab/>
        <w:tab/>
        <w:tab/>
      </w:r>
      <w:r>
        <w:rPr>
          <w:i/>
        </w:rPr>
        <w:t>Counsel for</w:t>
      </w:r>
    </w:p>
    <w:p>
      <w:pPr>
        <w:pStyle w:val="Normal"/>
        <w:rPr>
          <w:i/>
          <w:i/>
        </w:rPr>
      </w:pPr>
      <w:r>
        <w:rPr>
          <w:i/>
        </w:rPr>
        <w:tab/>
        <w:tab/>
        <w:tab/>
        <w:tab/>
        <w:tab/>
        <w:tab/>
        <w:t>PG&amp;E Energy Trading-Power, L.P.</w:t>
      </w:r>
    </w:p>
    <w:p>
      <w:pPr>
        <w:pStyle w:val="Normal"/>
        <w:rPr>
          <w:i/>
          <w:i/>
        </w:rPr>
      </w:pPr>
      <w:r>
        <w:rPr>
          <w:i/>
        </w:rPr>
        <w:tab/>
        <w:tab/>
        <w:tab/>
        <w:tab/>
        <w:tab/>
        <w:tab/>
        <w:t>El Paso Merchant Energy, L.P.</w:t>
      </w:r>
    </w:p>
    <w:p>
      <w:pPr>
        <w:pStyle w:val="Normal"/>
        <w:rPr/>
      </w:pPr>
      <w:r>
        <w:rPr/>
      </w:r>
    </w:p>
    <w:p>
      <w:pPr>
        <w:pStyle w:val="Normal"/>
        <w:rPr/>
      </w:pPr>
      <w:r>
        <w:rPr/>
      </w:r>
    </w:p>
    <w:p>
      <w:pPr>
        <w:pStyle w:val="Normal"/>
        <w:keepNext w:val="true"/>
        <w:keepLines/>
        <w:rPr/>
      </w:pPr>
      <w:r>
        <w:rPr/>
        <w:tab/>
        <w:tab/>
        <w:tab/>
        <w:tab/>
        <w:tab/>
        <w:tab/>
        <w:tab/>
        <w:t>Terry D. Kernell</w:t>
      </w:r>
    </w:p>
    <w:p>
      <w:pPr>
        <w:pStyle w:val="Normal"/>
        <w:keepNext w:val="true"/>
        <w:keepLines/>
        <w:rPr/>
      </w:pPr>
      <w:r>
        <w:rPr/>
        <w:tab/>
        <w:tab/>
        <w:tab/>
        <w:tab/>
        <w:tab/>
        <w:tab/>
        <w:tab/>
        <w:t>David I. Bloom</w:t>
      </w:r>
    </w:p>
    <w:p>
      <w:pPr>
        <w:pStyle w:val="Normal"/>
        <w:keepNext w:val="true"/>
        <w:keepLines/>
        <w:rPr/>
      </w:pPr>
      <w:r>
        <w:rPr/>
        <w:tab/>
        <w:tab/>
        <w:tab/>
        <w:tab/>
        <w:tab/>
        <w:tab/>
        <w:tab/>
        <w:t>MAYER, BROWN &amp; PLATT</w:t>
      </w:r>
    </w:p>
    <w:p>
      <w:pPr>
        <w:pStyle w:val="Normal"/>
        <w:keepNext w:val="true"/>
        <w:keepLines/>
        <w:rPr/>
      </w:pPr>
      <w:r>
        <w:rPr/>
        <w:tab/>
        <w:tab/>
        <w:tab/>
        <w:tab/>
        <w:tab/>
        <w:tab/>
        <w:tab/>
        <w:t>700 Louisiana</w:t>
      </w:r>
    </w:p>
    <w:p>
      <w:pPr>
        <w:pStyle w:val="Normal"/>
        <w:keepNext w:val="true"/>
        <w:keepLines/>
        <w:rPr/>
      </w:pPr>
      <w:r>
        <w:rPr/>
        <w:tab/>
        <w:tab/>
        <w:tab/>
        <w:tab/>
        <w:tab/>
        <w:tab/>
        <w:tab/>
        <w:t>3600 NationsBank Center</w:t>
      </w:r>
    </w:p>
    <w:p>
      <w:pPr>
        <w:pStyle w:val="Normal"/>
        <w:keepNext w:val="true"/>
        <w:keepLines/>
        <w:rPr/>
      </w:pPr>
      <w:r>
        <w:rPr/>
        <w:tab/>
        <w:tab/>
        <w:tab/>
        <w:tab/>
        <w:tab/>
        <w:tab/>
        <w:tab/>
        <w:t>Houston, TX 77002</w:t>
      </w:r>
    </w:p>
    <w:p>
      <w:pPr>
        <w:pStyle w:val="Normal"/>
        <w:rPr/>
      </w:pPr>
      <w:r>
        <w:rPr/>
      </w:r>
    </w:p>
    <w:p>
      <w:pPr>
        <w:pStyle w:val="Normal"/>
        <w:rPr/>
      </w:pPr>
      <w:r>
        <w:rPr/>
        <w:tab/>
        <w:tab/>
        <w:tab/>
        <w:tab/>
        <w:tab/>
        <w:tab/>
      </w:r>
      <w:r>
        <w:rPr>
          <w:i/>
        </w:rPr>
        <w:t>Counsel for</w:t>
      </w:r>
    </w:p>
    <w:p>
      <w:pPr>
        <w:pStyle w:val="Normal"/>
        <w:rPr>
          <w:i/>
          <w:i/>
        </w:rPr>
      </w:pPr>
      <w:r>
        <w:rPr>
          <w:i/>
        </w:rPr>
        <w:tab/>
        <w:tab/>
        <w:tab/>
        <w:tab/>
        <w:tab/>
        <w:tab/>
        <w:t>Cook Inlet Energy Supply, L.P.</w:t>
      </w:r>
    </w:p>
    <w:p>
      <w:pPr>
        <w:pStyle w:val="Normal"/>
        <w:rPr>
          <w:i/>
          <w:i/>
        </w:rPr>
      </w:pPr>
      <w:r>
        <w:rPr>
          <w:i/>
        </w:rPr>
      </w:r>
    </w:p>
    <w:p>
      <w:pPr>
        <w:pStyle w:val="Normal"/>
        <w:rPr>
          <w:i/>
          <w:i/>
        </w:rPr>
      </w:pPr>
      <w:r>
        <w:rPr>
          <w:i/>
        </w:rPr>
      </w:r>
    </w:p>
    <w:p>
      <w:pPr>
        <w:pStyle w:val="Normal"/>
        <w:rPr/>
      </w:pPr>
      <w:r>
        <w:rPr/>
        <w:tab/>
        <w:tab/>
        <w:tab/>
        <w:tab/>
        <w:tab/>
        <w:tab/>
        <w:tab/>
        <w:t>David P. Sharo</w:t>
      </w:r>
    </w:p>
    <w:p>
      <w:pPr>
        <w:pStyle w:val="Normal"/>
        <w:rPr/>
      </w:pPr>
      <w:r>
        <w:rPr/>
        <w:tab/>
        <w:tab/>
        <w:tab/>
        <w:tab/>
        <w:tab/>
        <w:tab/>
        <w:tab/>
        <w:t>LEBOEUF, LAMB, GREENE &amp;</w:t>
      </w:r>
    </w:p>
    <w:p>
      <w:pPr>
        <w:pStyle w:val="Normal"/>
        <w:rPr/>
      </w:pPr>
      <w:r>
        <w:rPr/>
        <w:tab/>
        <w:tab/>
        <w:tab/>
        <w:tab/>
        <w:tab/>
        <w:tab/>
        <w:tab/>
        <w:t xml:space="preserve">   MACRAE</w:t>
      </w:r>
    </w:p>
    <w:p>
      <w:pPr>
        <w:pStyle w:val="Normal"/>
        <w:rPr/>
      </w:pPr>
      <w:r>
        <w:rPr/>
        <w:tab/>
        <w:tab/>
        <w:tab/>
        <w:tab/>
        <w:tab/>
        <w:tab/>
        <w:tab/>
        <w:t>1875 Connecticut Ave., N.W.</w:t>
        <w:tab/>
      </w:r>
    </w:p>
    <w:p>
      <w:pPr>
        <w:pStyle w:val="Normal"/>
        <w:rPr/>
      </w:pPr>
      <w:r>
        <w:rPr/>
        <w:tab/>
        <w:tab/>
        <w:tab/>
        <w:tab/>
        <w:tab/>
        <w:tab/>
        <w:tab/>
        <w:t>Suite 1200</w:t>
      </w:r>
    </w:p>
    <w:p>
      <w:pPr>
        <w:pStyle w:val="Normal"/>
        <w:rPr/>
      </w:pPr>
      <w:r>
        <w:rPr/>
        <w:tab/>
        <w:tab/>
        <w:tab/>
        <w:tab/>
        <w:tab/>
        <w:tab/>
        <w:tab/>
        <w:t>Washington, DC 20009-5728</w:t>
      </w:r>
    </w:p>
    <w:p>
      <w:pPr>
        <w:pStyle w:val="Normal"/>
        <w:rPr/>
      </w:pPr>
      <w:r>
        <w:rPr/>
      </w:r>
    </w:p>
    <w:p>
      <w:pPr>
        <w:pStyle w:val="Normal"/>
        <w:rPr/>
      </w:pPr>
      <w:r>
        <w:rPr/>
        <w:tab/>
        <w:tab/>
        <w:tab/>
        <w:tab/>
        <w:tab/>
        <w:tab/>
      </w:r>
      <w:r>
        <w:rPr>
          <w:i/>
        </w:rPr>
        <w:t xml:space="preserve">Counsel for </w:t>
      </w:r>
    </w:p>
    <w:p>
      <w:pPr>
        <w:pStyle w:val="Normal"/>
        <w:rPr/>
      </w:pPr>
      <w:r>
        <w:rPr/>
        <w:tab/>
        <w:tab/>
        <w:tab/>
        <w:tab/>
        <w:tab/>
        <w:tab/>
      </w:r>
      <w:r>
        <w:rPr>
          <w:i/>
        </w:rPr>
        <w:t>Enron Power Marketing, Inc.</w:t>
      </w:r>
    </w:p>
    <w:p>
      <w:pPr>
        <w:pStyle w:val="Normal"/>
        <w:rPr>
          <w:i/>
          <w:i/>
        </w:rPr>
      </w:pPr>
      <w:r>
        <w:rPr>
          <w:i/>
        </w:rPr>
      </w:r>
    </w:p>
    <w:p>
      <w:pPr>
        <w:pStyle w:val="Normal"/>
        <w:rPr/>
      </w:pPr>
      <w:r>
        <w:rPr/>
      </w:r>
    </w:p>
    <w:p>
      <w:pPr>
        <w:pStyle w:val="Normal"/>
        <w:keepNext w:val="true"/>
        <w:rPr/>
      </w:pPr>
      <w:r>
        <w:rPr/>
        <w:tab/>
        <w:tab/>
        <w:tab/>
        <w:tab/>
        <w:tab/>
        <w:tab/>
        <w:tab/>
        <w:t>Jacob Dweck</w:t>
      </w:r>
    </w:p>
    <w:p>
      <w:pPr>
        <w:pStyle w:val="Normal"/>
        <w:keepNext w:val="true"/>
        <w:rPr/>
      </w:pPr>
      <w:r>
        <w:rPr/>
        <w:tab/>
        <w:tab/>
        <w:tab/>
        <w:tab/>
        <w:tab/>
        <w:tab/>
        <w:tab/>
        <w:t>Daniel E. Frank</w:t>
      </w:r>
    </w:p>
    <w:p>
      <w:pPr>
        <w:pStyle w:val="Normal"/>
        <w:keepNext w:val="true"/>
        <w:rPr/>
      </w:pPr>
      <w:r>
        <w:rPr/>
        <w:tab/>
        <w:tab/>
        <w:tab/>
        <w:tab/>
        <w:tab/>
        <w:tab/>
        <w:tab/>
        <w:t>Paul B. Turner</w:t>
      </w:r>
    </w:p>
    <w:p>
      <w:pPr>
        <w:pStyle w:val="Normal"/>
        <w:keepNext w:val="true"/>
        <w:rPr/>
      </w:pPr>
      <w:r>
        <w:rPr/>
        <w:tab/>
        <w:tab/>
        <w:tab/>
        <w:tab/>
        <w:tab/>
        <w:tab/>
        <w:tab/>
        <w:t xml:space="preserve">SUTHERLAND, ASBILL &amp; </w:t>
      </w:r>
    </w:p>
    <w:p>
      <w:pPr>
        <w:pStyle w:val="Normal"/>
        <w:keepNext w:val="true"/>
        <w:rPr/>
      </w:pPr>
      <w:r>
        <w:rPr/>
        <w:tab/>
        <w:tab/>
        <w:tab/>
        <w:tab/>
        <w:tab/>
        <w:tab/>
        <w:tab/>
        <w:t xml:space="preserve">    BRENNAN, L.L.P</w:t>
      </w:r>
    </w:p>
    <w:p>
      <w:pPr>
        <w:pStyle w:val="Normal"/>
        <w:rPr/>
      </w:pPr>
      <w:r>
        <w:rPr/>
        <w:tab/>
        <w:tab/>
        <w:tab/>
        <w:tab/>
        <w:tab/>
        <w:tab/>
        <w:tab/>
        <w:t>1275 Pennsylvania Ave., N.W.</w:t>
      </w:r>
    </w:p>
    <w:p>
      <w:pPr>
        <w:pStyle w:val="Normal"/>
        <w:rPr/>
      </w:pPr>
      <w:r>
        <w:rPr/>
        <w:tab/>
        <w:tab/>
        <w:tab/>
        <w:tab/>
        <w:tab/>
        <w:tab/>
        <w:tab/>
        <w:t>Washington, DC 20004-2415</w:t>
      </w:r>
    </w:p>
    <w:p>
      <w:pPr>
        <w:pStyle w:val="Normal"/>
        <w:rPr/>
      </w:pPr>
      <w:r>
        <w:rPr/>
      </w:r>
    </w:p>
    <w:p>
      <w:pPr>
        <w:pStyle w:val="Normal"/>
        <w:rPr/>
      </w:pPr>
      <w:r>
        <w:rPr/>
        <w:tab/>
        <w:tab/>
        <w:tab/>
        <w:tab/>
        <w:tab/>
        <w:tab/>
      </w:r>
      <w:r>
        <w:rPr>
          <w:i/>
        </w:rPr>
        <w:t>Counsel for</w:t>
      </w:r>
    </w:p>
    <w:p>
      <w:pPr>
        <w:pStyle w:val="Normal"/>
        <w:rPr>
          <w:i/>
          <w:i/>
        </w:rPr>
      </w:pPr>
      <w:r>
        <w:rPr>
          <w:i/>
        </w:rPr>
        <w:tab/>
        <w:tab/>
        <w:tab/>
        <w:tab/>
        <w:tab/>
        <w:tab/>
        <w:t>South Jersey Energy Company</w:t>
      </w:r>
    </w:p>
    <w:p>
      <w:pPr>
        <w:sectPr>
          <w:headerReference w:type="default" r:id="rId6"/>
          <w:headerReference w:type="first" r:id="rId7"/>
          <w:footerReference w:type="default" r:id="rId8"/>
          <w:footerReference w:type="first" r:id="rId9"/>
          <w:footnotePr>
            <w:numFmt w:val="decimal"/>
            <w:numRestart w:val="eachSect"/>
          </w:footnotePr>
          <w:type w:val="nextPage"/>
          <w:pgSz w:w="12240" w:h="15840"/>
          <w:pgMar w:left="1800" w:right="1800" w:gutter="0" w:header="720" w:top="1440" w:footer="720" w:bottom="1440"/>
          <w:pgNumType w:start="1" w:fmt="lowerRoman"/>
          <w:formProt w:val="false"/>
          <w:titlePg/>
          <w:textDirection w:val="lrTb"/>
          <w:docGrid w:type="default" w:linePitch="360" w:charSpace="0"/>
        </w:sectPr>
        <w:pStyle w:val="Normal"/>
        <w:rPr/>
      </w:pPr>
      <w:r>
        <w:rPr/>
        <w:t>Dated:  October 13, 2000</w:t>
      </w:r>
    </w:p>
    <w:p>
      <w:pPr>
        <w:pStyle w:val="Normal"/>
        <w:jc w:val="center"/>
        <w:rPr>
          <w:b/>
          <w:u w:val="single"/>
        </w:rPr>
      </w:pPr>
      <w:r>
        <w:rPr>
          <w:b/>
          <w:u w:val="single"/>
        </w:rPr>
        <w:t>TABLE OF CONTENTS</w:t>
      </w:r>
    </w:p>
    <w:p>
      <w:pPr>
        <w:pStyle w:val="Normal"/>
        <w:jc w:val="center"/>
        <w:rPr>
          <w:b/>
          <w:u w:val="single"/>
        </w:rPr>
      </w:pPr>
      <w:r>
        <w:rPr>
          <w:b/>
          <w:u w:val="single"/>
        </w:rPr>
      </w:r>
    </w:p>
    <w:p>
      <w:pPr>
        <w:pStyle w:val="Normal"/>
        <w:jc w:val="end"/>
        <w:rPr>
          <w:b/>
          <w:u w:val="single"/>
        </w:rPr>
      </w:pPr>
      <w:r>
        <w:rPr>
          <w:b/>
          <w:u w:val="single"/>
        </w:rPr>
        <w:t>Page</w:t>
      </w:r>
    </w:p>
    <w:p>
      <w:pPr>
        <w:pStyle w:val="Normal"/>
        <w:jc w:val="end"/>
        <w:rPr>
          <w:b/>
          <w:u w:val="single"/>
        </w:rPr>
      </w:pPr>
      <w:r>
        <w:rPr>
          <w:b/>
          <w:u w:val="single"/>
        </w:rPr>
      </w:r>
    </w:p>
    <w:p>
      <w:pPr>
        <w:pStyle w:val="Normal"/>
        <w:jc w:val="end"/>
        <w:rPr>
          <w:b/>
          <w:u w:val="single"/>
        </w:rPr>
      </w:pPr>
      <w:r>
        <w:rPr>
          <w:b/>
          <w:u w:val="single"/>
        </w:rPr>
      </w:r>
    </w:p>
    <w:sdt>
      <w:sdtPr>
        <w:docPartObj>
          <w:docPartGallery w:val="Table of Contents"/>
          <w:docPartUnique w:val="true"/>
        </w:docPartObj>
      </w:sdtPr>
      <w:sdtContent>
        <w:p>
          <w:pPr>
            <w:pStyle w:val="TOC1"/>
            <w:tabs>
              <w:tab w:val="clear" w:pos="720"/>
              <w:tab w:val="right" w:pos="8630" w:leader="dot"/>
            </w:tabs>
            <w:rPr>
              <w:lang w:val="en-CA"/>
            </w:rPr>
          </w:pPr>
          <w:r>
            <w:fldChar w:fldCharType="begin"/>
          </w:r>
          <w:r>
            <w:rPr>
              <w:u w:val="single"/>
              <w:lang w:val="en-CA"/>
            </w:rPr>
            <w:instrText xml:space="preserve"> TOC \o "1-6" </w:instrText>
          </w:r>
          <w:r>
            <w:rPr>
              <w:u w:val="single"/>
              <w:lang w:val="en-CA"/>
            </w:rPr>
            <w:fldChar w:fldCharType="separate"/>
          </w:r>
          <w:r>
            <w:rPr>
              <w:u w:val="single"/>
              <w:lang w:val="en-CA"/>
            </w:rPr>
            <w:t>TABLE OF AUTHORITIES</w:t>
          </w:r>
          <w:r>
            <w:rPr>
              <w:lang w:val="en-CA"/>
            </w:rPr>
            <w:tab/>
          </w:r>
          <w:hyperlink w:anchor="__RefHeading___Toc495768952">
            <w:r>
              <w:rPr>
                <w:rStyle w:val="IndexLink"/>
                <w:lang w:val="en-CA"/>
              </w:rPr>
              <w:t>vii</w:t>
            </w:r>
          </w:hyperlink>
        </w:p>
        <w:p>
          <w:pPr>
            <w:pStyle w:val="TOC1"/>
            <w:tabs>
              <w:tab w:val="clear" w:pos="720"/>
              <w:tab w:val="right" w:pos="8630" w:leader="dot"/>
            </w:tabs>
            <w:rPr>
              <w:lang w:val="en-CA"/>
            </w:rPr>
          </w:pPr>
          <w:r>
            <w:rPr>
              <w:u w:val="single"/>
              <w:lang w:val="en-CA"/>
            </w:rPr>
            <w:t>GLOSSARY</w:t>
          </w:r>
          <w:r>
            <w:rPr>
              <w:lang w:val="en-CA"/>
            </w:rPr>
            <w:tab/>
          </w:r>
          <w:hyperlink w:anchor="__RefHeading___Toc495768953">
            <w:r>
              <w:rPr>
                <w:rStyle w:val="IndexLink"/>
                <w:lang w:val="en-CA"/>
              </w:rPr>
              <w:t>viii</w:t>
            </w:r>
          </w:hyperlink>
        </w:p>
        <w:p>
          <w:pPr>
            <w:pStyle w:val="TOC1"/>
            <w:tabs>
              <w:tab w:val="clear" w:pos="720"/>
              <w:tab w:val="right" w:pos="8630" w:leader="dot"/>
            </w:tabs>
            <w:rPr>
              <w:lang w:val="en-CA"/>
            </w:rPr>
          </w:pPr>
          <w:r>
            <w:rPr>
              <w:u w:val="single"/>
              <w:lang w:val="en-CA"/>
            </w:rPr>
            <w:t>STATEMENT OF JURISDICTION</w:t>
          </w:r>
          <w:r>
            <w:rPr>
              <w:lang w:val="en-CA"/>
            </w:rPr>
            <w:tab/>
          </w:r>
          <w:hyperlink w:anchor="__RefHeading___Toc495768954">
            <w:r>
              <w:rPr>
                <w:rStyle w:val="IndexLink"/>
                <w:lang w:val="en-CA"/>
              </w:rPr>
              <w:t>1</w:t>
            </w:r>
          </w:hyperlink>
        </w:p>
        <w:p>
          <w:pPr>
            <w:pStyle w:val="TOC1"/>
            <w:tabs>
              <w:tab w:val="clear" w:pos="720"/>
              <w:tab w:val="right" w:pos="8630" w:leader="dot"/>
            </w:tabs>
            <w:rPr>
              <w:lang w:val="en-CA"/>
            </w:rPr>
          </w:pPr>
          <w:r>
            <w:rPr>
              <w:u w:val="single"/>
              <w:lang w:val="en-CA"/>
            </w:rPr>
            <w:t>STATEMENT REGARDING ISSUES</w:t>
          </w:r>
          <w:r>
            <w:rPr>
              <w:lang w:val="en-CA"/>
            </w:rPr>
            <w:tab/>
          </w:r>
          <w:hyperlink w:anchor="__RefHeading___Toc495768955">
            <w:r>
              <w:rPr>
                <w:rStyle w:val="IndexLink"/>
                <w:lang w:val="en-CA"/>
              </w:rPr>
              <w:t>1</w:t>
            </w:r>
          </w:hyperlink>
        </w:p>
        <w:p>
          <w:pPr>
            <w:pStyle w:val="TOC1"/>
            <w:tabs>
              <w:tab w:val="clear" w:pos="720"/>
              <w:tab w:val="right" w:pos="8630" w:leader="dot"/>
            </w:tabs>
            <w:rPr>
              <w:lang w:val="en-CA"/>
            </w:rPr>
          </w:pPr>
          <w:r>
            <w:rPr>
              <w:u w:val="single"/>
              <w:lang w:val="en-CA"/>
            </w:rPr>
            <w:t>PERTINENT STATUTES AND REGULATIONS</w:t>
          </w:r>
          <w:r>
            <w:rPr>
              <w:lang w:val="en-CA"/>
            </w:rPr>
            <w:tab/>
          </w:r>
          <w:hyperlink w:anchor="__RefHeading___Toc495768956">
            <w:r>
              <w:rPr>
                <w:rStyle w:val="IndexLink"/>
                <w:lang w:val="en-CA"/>
              </w:rPr>
              <w:t>2</w:t>
            </w:r>
          </w:hyperlink>
        </w:p>
        <w:p>
          <w:pPr>
            <w:pStyle w:val="TOC1"/>
            <w:tabs>
              <w:tab w:val="clear" w:pos="720"/>
              <w:tab w:val="right" w:pos="8630" w:leader="dot"/>
            </w:tabs>
            <w:rPr>
              <w:lang w:val="en-CA"/>
            </w:rPr>
          </w:pPr>
          <w:r>
            <w:rPr>
              <w:u w:val="single"/>
              <w:lang w:val="en-CA"/>
            </w:rPr>
            <w:t>STATEMENT OF THE CASE</w:t>
          </w:r>
          <w:r>
            <w:rPr>
              <w:lang w:val="en-CA"/>
            </w:rPr>
            <w:tab/>
          </w:r>
          <w:hyperlink w:anchor="__RefHeading___Toc495768957">
            <w:r>
              <w:rPr>
                <w:rStyle w:val="IndexLink"/>
                <w:lang w:val="en-CA"/>
              </w:rPr>
              <w:t>2</w:t>
            </w:r>
          </w:hyperlink>
        </w:p>
        <w:p>
          <w:pPr>
            <w:pStyle w:val="TOC1"/>
            <w:tabs>
              <w:tab w:val="clear" w:pos="720"/>
              <w:tab w:val="right" w:pos="8630" w:leader="dot"/>
            </w:tabs>
            <w:rPr>
              <w:lang w:val="en-CA"/>
            </w:rPr>
          </w:pPr>
          <w:r>
            <w:rPr>
              <w:u w:val="single"/>
              <w:lang w:val="en-CA"/>
            </w:rPr>
            <w:t>SUMMARY OF THE ARGUMENT</w:t>
          </w:r>
          <w:r>
            <w:rPr>
              <w:lang w:val="en-CA"/>
            </w:rPr>
            <w:tab/>
          </w:r>
          <w:hyperlink w:anchor="__RefHeading___Toc495768958">
            <w:r>
              <w:rPr>
                <w:rStyle w:val="IndexLink"/>
                <w:lang w:val="en-CA"/>
              </w:rPr>
              <w:t>2</w:t>
            </w:r>
          </w:hyperlink>
        </w:p>
        <w:p>
          <w:pPr>
            <w:pStyle w:val="TOC1"/>
            <w:tabs>
              <w:tab w:val="clear" w:pos="720"/>
              <w:tab w:val="right" w:pos="8630" w:leader="dot"/>
            </w:tabs>
            <w:rPr>
              <w:lang w:val="en-CA"/>
            </w:rPr>
          </w:pPr>
          <w:r>
            <w:rPr>
              <w:u w:val="single"/>
              <w:lang w:val="en-CA"/>
            </w:rPr>
            <w:t>ARGUMENT</w:t>
          </w:r>
          <w:r>
            <w:rPr>
              <w:lang w:val="en-CA"/>
            </w:rPr>
            <w:tab/>
          </w:r>
          <w:hyperlink w:anchor="__RefHeading___Toc495768959">
            <w:r>
              <w:rPr>
                <w:rStyle w:val="IndexLink"/>
                <w:lang w:val="en-CA"/>
              </w:rPr>
              <w:t>4</w:t>
            </w:r>
          </w:hyperlink>
        </w:p>
        <w:p>
          <w:pPr>
            <w:pStyle w:val="TOC2"/>
            <w:tabs>
              <w:tab w:val="left" w:pos="-1530" w:leader="none"/>
              <w:tab w:val="left" w:pos="720" w:leader="none"/>
              <w:tab w:val="right" w:pos="8630" w:leader="dot"/>
            </w:tabs>
            <w:rPr>
              <w:b w:val="false"/>
            </w:rPr>
          </w:pPr>
          <w:r>
            <w:rPr>
              <w:b w:val="false"/>
            </w:rPr>
            <w:t>I.</w:t>
            <w:tab/>
            <w:t>THE FERC ORDERS ARE CONSISTENT WITH THE FPA, FERC'S LONG-STANDING POLICIES AND WITHIN THE SCOPE OF ITS DISCRETION.</w:t>
            <w:tab/>
          </w:r>
          <w:hyperlink w:anchor="__RefHeading___Toc495768960">
            <w:r>
              <w:rPr>
                <w:rStyle w:val="IndexLink"/>
                <w:b w:val="false"/>
              </w:rPr>
              <w:t>4</w:t>
            </w:r>
          </w:hyperlink>
        </w:p>
        <w:p>
          <w:pPr>
            <w:pStyle w:val="TOC3"/>
            <w:rPr>
              <w:b w:val="false"/>
            </w:rPr>
          </w:pPr>
          <w:r>
            <w:rPr>
              <w:b w:val="false"/>
            </w:rPr>
            <w:t>A.</w:t>
            <w:tab/>
            <w:t>FERC'S DECISION IS ENTITLED TO DEFERENCE.</w:t>
            <w:tab/>
          </w:r>
          <w:hyperlink w:anchor="__RefHeading___Toc495768961">
            <w:r>
              <w:rPr>
                <w:rStyle w:val="IndexLink"/>
                <w:b w:val="false"/>
              </w:rPr>
              <w:t>4</w:t>
            </w:r>
          </w:hyperlink>
        </w:p>
        <w:p>
          <w:pPr>
            <w:pStyle w:val="TOC3"/>
            <w:rPr>
              <w:b w:val="false"/>
            </w:rPr>
          </w:pPr>
          <w:r>
            <w:rPr>
              <w:b w:val="false"/>
            </w:rPr>
            <w:t>B.</w:t>
            <w:tab/>
            <w:t>THE ORDERS ON REVIEW INVOLVE MARKET-BASED RATE SALES FOR WHICH THE FERC APPLIES LIGHT-HANDED REGULATION DUE TO A DEMONSTRATED LACK OF MARKET POWER.</w:t>
            <w:tab/>
          </w:r>
          <w:hyperlink w:anchor="__RefHeading___Toc495768962">
            <w:r>
              <w:rPr>
                <w:rStyle w:val="IndexLink"/>
                <w:b w:val="false"/>
              </w:rPr>
              <w:t>5</w:t>
            </w:r>
          </w:hyperlink>
        </w:p>
        <w:p>
          <w:pPr>
            <w:pStyle w:val="TOC3"/>
            <w:rPr>
              <w:b w:val="false"/>
            </w:rPr>
          </w:pPr>
          <w:r>
            <w:rPr>
              <w:b w:val="false"/>
            </w:rPr>
            <w:t>C.</w:t>
            <w:tab/>
          </w:r>
          <w:r>
            <w:rPr>
              <w:b w:val="false"/>
              <w:i/>
            </w:rPr>
            <w:t xml:space="preserve">PORTLAND </w:t>
          </w:r>
          <w:r>
            <w:rPr>
              <w:b w:val="false"/>
            </w:rPr>
            <w:t>IS DISTINGUISHABLE AND INAPPLICABLE TO THE CASES AT ISSUE HERE.</w:t>
            <w:tab/>
          </w:r>
          <w:hyperlink w:anchor="__RefHeading___Toc495768963">
            <w:r>
              <w:rPr>
                <w:rStyle w:val="IndexLink"/>
                <w:b w:val="false"/>
              </w:rPr>
              <w:t>13</w:t>
            </w:r>
          </w:hyperlink>
        </w:p>
        <w:p>
          <w:pPr>
            <w:pStyle w:val="TOC3"/>
            <w:rPr>
              <w:b w:val="false"/>
            </w:rPr>
          </w:pPr>
          <w:r>
            <w:rPr>
              <w:b w:val="false"/>
            </w:rPr>
            <w:t>D.</w:t>
            <w:tab/>
            <w:t>FERC ADEQUATELY EXPLAINED ITS RATIONALE.</w:t>
            <w:tab/>
          </w:r>
          <w:hyperlink w:anchor="__RefHeading___Toc495768964">
            <w:r>
              <w:rPr>
                <w:rStyle w:val="IndexLink"/>
                <w:b w:val="false"/>
              </w:rPr>
              <w:t>16</w:t>
            </w:r>
          </w:hyperlink>
        </w:p>
        <w:p>
          <w:pPr>
            <w:pStyle w:val="TOC2"/>
            <w:tabs>
              <w:tab w:val="left" w:pos="-1530" w:leader="none"/>
              <w:tab w:val="left" w:pos="720" w:leader="none"/>
              <w:tab w:val="right" w:pos="8630" w:leader="dot"/>
            </w:tabs>
            <w:rPr>
              <w:b w:val="false"/>
            </w:rPr>
          </w:pPr>
          <w:r>
            <w:rPr>
              <w:b w:val="false"/>
            </w:rPr>
            <w:t>II.</w:t>
            <w:tab/>
            <w:t>PCA'S CLAIMED ERRORS MUST BE REJECTED.</w:t>
            <w:tab/>
          </w:r>
          <w:hyperlink w:anchor="__RefHeading___Toc495768965">
            <w:r>
              <w:rPr>
                <w:rStyle w:val="IndexLink"/>
                <w:b w:val="false"/>
              </w:rPr>
              <w:t>17</w:t>
            </w:r>
          </w:hyperlink>
        </w:p>
        <w:p>
          <w:pPr>
            <w:pStyle w:val="TOC3"/>
            <w:rPr>
              <w:b w:val="false"/>
            </w:rPr>
          </w:pPr>
          <w:r>
            <w:rPr>
              <w:b w:val="false"/>
            </w:rPr>
            <w:t>A.</w:t>
            <w:tab/>
            <w:t>FERC'S FINDING WAS SUPPORTED BY SUBSTANTIAL EVIDENCE.</w:t>
            <w:tab/>
          </w:r>
          <w:hyperlink w:anchor="__RefHeading___Toc495768966">
            <w:r>
              <w:rPr>
                <w:rStyle w:val="IndexLink"/>
                <w:b w:val="false"/>
              </w:rPr>
              <w:t>17</w:t>
            </w:r>
          </w:hyperlink>
        </w:p>
        <w:p>
          <w:pPr>
            <w:pStyle w:val="TOC3"/>
            <w:rPr>
              <w:b w:val="false"/>
            </w:rPr>
          </w:pPr>
          <w:r>
            <w:rPr>
              <w:b w:val="false"/>
            </w:rPr>
            <w:t>B.</w:t>
            <w:tab/>
            <w:t>FERC DID NOT ABANDON ITS STATUTORY AUTHORITY TO REGULATE SALES.</w:t>
            <w:tab/>
          </w:r>
          <w:hyperlink w:anchor="__RefHeading___Toc495768967">
            <w:r>
              <w:rPr>
                <w:rStyle w:val="IndexLink"/>
                <w:b w:val="false"/>
              </w:rPr>
              <w:t>18</w:t>
            </w:r>
          </w:hyperlink>
        </w:p>
        <w:p>
          <w:pPr>
            <w:pStyle w:val="TOC3"/>
            <w:rPr>
              <w:b w:val="false"/>
            </w:rPr>
          </w:pPr>
          <w:r>
            <w:rPr>
              <w:b w:val="false"/>
            </w:rPr>
            <w:t>C.</w:t>
            <w:tab/>
            <w:t>FERC DID NOT BREAK WITH PAST PRECEDENT.</w:t>
            <w:tab/>
          </w:r>
          <w:hyperlink w:anchor="__RefHeading___Toc495768968">
            <w:r>
              <w:rPr>
                <w:rStyle w:val="IndexLink"/>
                <w:b w:val="false"/>
              </w:rPr>
              <w:t>19</w:t>
            </w:r>
          </w:hyperlink>
        </w:p>
        <w:p>
          <w:pPr>
            <w:pStyle w:val="TOC3"/>
            <w:rPr>
              <w:b w:val="false"/>
            </w:rPr>
          </w:pPr>
          <w:r>
            <w:rPr>
              <w:b w:val="false"/>
            </w:rPr>
            <w:t>D.</w:t>
            <w:tab/>
            <w:t>FERC WAS NOT REQUIRED TO ACT THROUGH RULEMAKING PROCEDURES.</w:t>
            <w:tab/>
          </w:r>
          <w:hyperlink w:anchor="__RefHeading___Toc495768969">
            <w:r>
              <w:rPr>
                <w:rStyle w:val="IndexLink"/>
                <w:b w:val="false"/>
              </w:rPr>
              <w:t>20</w:t>
            </w:r>
          </w:hyperlink>
        </w:p>
        <w:p>
          <w:pPr>
            <w:pStyle w:val="TOC3"/>
            <w:rPr>
              <w:b w:val="false"/>
            </w:rPr>
          </w:pPr>
          <w:r>
            <w:rPr>
              <w:b w:val="false"/>
            </w:rPr>
            <w:t>E.</w:t>
            <w:tab/>
            <w:t>FERC CORRECTLY DETERMINED THAT ITS HOLDING APPLIED TO PCA.</w:t>
            <w:tab/>
          </w:r>
          <w:hyperlink w:anchor="__RefHeading___Toc495768970">
            <w:r>
              <w:rPr>
                <w:rStyle w:val="IndexLink"/>
                <w:b w:val="false"/>
              </w:rPr>
              <w:t>21</w:t>
            </w:r>
          </w:hyperlink>
        </w:p>
        <w:p>
          <w:pPr>
            <w:pStyle w:val="TOC2"/>
            <w:tabs>
              <w:tab w:val="left" w:pos="-1530" w:leader="none"/>
              <w:tab w:val="left" w:pos="720" w:leader="none"/>
              <w:tab w:val="right" w:pos="8630" w:leader="dot"/>
            </w:tabs>
            <w:rPr>
              <w:b w:val="false"/>
            </w:rPr>
          </w:pPr>
          <w:r>
            <w:rPr>
              <w:b w:val="false"/>
            </w:rPr>
            <w:t>III.</w:t>
            <w:tab/>
            <w:t>FERC'S DENIAL OF PARTY STATUS TO PCA IN THOSE PROCEEDINGS IN WHICH IT FAILED TO INTERVENE IN A TIMELY MANNER MUST BE UPHELD.</w:t>
            <w:tab/>
          </w:r>
          <w:hyperlink w:anchor="__RefHeading___Toc495768971">
            <w:r>
              <w:rPr>
                <w:rStyle w:val="IndexLink"/>
                <w:b w:val="false"/>
              </w:rPr>
              <w:t>23</w:t>
            </w:r>
          </w:hyperlink>
        </w:p>
        <w:p>
          <w:pPr>
            <w:pStyle w:val="TOC2"/>
            <w:tabs>
              <w:tab w:val="left" w:pos="-1530" w:leader="none"/>
              <w:tab w:val="left" w:pos="720" w:leader="none"/>
              <w:tab w:val="right" w:pos="8630" w:leader="dot"/>
            </w:tabs>
            <w:rPr/>
          </w:pPr>
          <w:r>
            <w:rPr>
              <w:b w:val="false"/>
            </w:rPr>
            <w:t>IV.</w:t>
            <w:tab/>
          </w:r>
          <w:r>
            <w:rPr>
              <w:b w:val="false"/>
              <w:u w:val="single"/>
            </w:rPr>
            <w:t>CONCLUSION</w:t>
          </w:r>
          <w:r>
            <w:rPr>
              <w:b w:val="false"/>
            </w:rPr>
            <w:tab/>
          </w:r>
          <w:hyperlink w:anchor="__RefHeading___Toc495768972">
            <w:r>
              <w:rPr>
                <w:rStyle w:val="IndexLink"/>
                <w:b w:val="false"/>
              </w:rPr>
              <w:t>31</w:t>
            </w:r>
          </w:hyperlink>
          <w:r>
            <w:rPr>
              <w:rStyle w:val="IndexLink"/>
              <w:b w:val="false"/>
            </w:rPr>
            <w:fldChar w:fldCharType="end"/>
          </w:r>
        </w:p>
      </w:sdtContent>
    </w:sdt>
    <w:p>
      <w:pPr>
        <w:pStyle w:val="Normal"/>
        <w:tabs>
          <w:tab w:val="clear" w:pos="720"/>
          <w:tab w:val="left" w:pos="8640" w:leader="dot"/>
        </w:tabs>
        <w:rPr>
          <w:b/>
        </w:rPr>
      </w:pPr>
      <w:r>
        <w:rPr>
          <w:b/>
        </w:rPr>
      </w:r>
    </w:p>
    <w:p>
      <w:pPr>
        <w:pStyle w:val="Normal"/>
        <w:tabs>
          <w:tab w:val="clear" w:pos="720"/>
          <w:tab w:val="left" w:pos="8640" w:leader="dot"/>
        </w:tabs>
        <w:rPr/>
      </w:pPr>
      <w:r>
        <w:rPr/>
      </w:r>
    </w:p>
    <w:p>
      <w:pPr>
        <w:sectPr>
          <w:headerReference w:type="default" r:id="rId10"/>
          <w:headerReference w:type="first" r:id="rId11"/>
          <w:footerReference w:type="default" r:id="rId12"/>
          <w:footerReference w:type="first" r:id="rId13"/>
          <w:footnotePr>
            <w:numFmt w:val="decimal"/>
            <w:numRestart w:val="eachSect"/>
          </w:footnotePr>
          <w:type w:val="nextPage"/>
          <w:pgSz w:w="12240" w:h="15840"/>
          <w:pgMar w:left="1800" w:right="1800" w:gutter="0" w:header="720" w:top="1440" w:footer="720" w:bottom="1440"/>
          <w:pgNumType w:fmt="lowerRoman"/>
          <w:formProt w:val="false"/>
          <w:textDirection w:val="lrTb"/>
          <w:docGrid w:type="default" w:linePitch="360" w:charSpace="0"/>
        </w:sectPr>
        <w:pStyle w:val="Normal"/>
        <w:tabs>
          <w:tab w:val="clear" w:pos="720"/>
          <w:tab w:val="left" w:pos="8640" w:leader="dot"/>
        </w:tabs>
        <w:rPr/>
      </w:pPr>
      <w:r>
        <w:rPr/>
      </w:r>
    </w:p>
    <w:p>
      <w:pPr>
        <w:pStyle w:val="Heading1"/>
        <w:ind w:hanging="0" w:start="0"/>
        <w:jc w:val="center"/>
        <w:rPr>
          <w:b/>
          <w:u w:val="single"/>
        </w:rPr>
      </w:pPr>
      <w:bookmarkStart w:id="0" w:name="__RefHeading___Toc495768952"/>
      <w:bookmarkEnd w:id="0"/>
      <w:r>
        <w:rPr>
          <w:b/>
          <w:u w:val="single"/>
        </w:rPr>
        <w:t>TABLE OF AUTHORITIES</w:t>
      </w:r>
    </w:p>
    <w:p>
      <w:pPr>
        <w:pStyle w:val="Normal"/>
        <w:jc w:val="center"/>
        <w:rPr>
          <w:b/>
          <w:u w:val="single"/>
        </w:rPr>
      </w:pPr>
      <w:r>
        <w:rPr>
          <w:b/>
          <w:u w:val="single"/>
        </w:rPr>
      </w:r>
    </w:p>
    <w:p>
      <w:pPr>
        <w:pStyle w:val="Normal"/>
        <w:jc w:val="center"/>
        <w:rPr/>
      </w:pPr>
      <w:r>
        <w:rPr/>
      </w:r>
    </w:p>
    <w:p>
      <w:pPr>
        <w:sectPr>
          <w:headerReference w:type="default" r:id="rId14"/>
          <w:headerReference w:type="first" r:id="rId15"/>
          <w:footerReference w:type="default" r:id="rId16"/>
          <w:footerReference w:type="first" r:id="rId17"/>
          <w:footnotePr>
            <w:numFmt w:val="decimal"/>
            <w:numRestart w:val="eachSect"/>
          </w:footnotePr>
          <w:type w:val="nextPage"/>
          <w:pgSz w:w="12240" w:h="15840"/>
          <w:pgMar w:left="1800" w:right="1800" w:gutter="0" w:header="720" w:top="1440" w:footer="720" w:bottom="1440"/>
          <w:pgNumType w:fmt="lowerRoman"/>
          <w:formProt w:val="false"/>
          <w:textDirection w:val="lrTb"/>
          <w:docGrid w:type="default" w:linePitch="360" w:charSpace="0"/>
        </w:sectPr>
        <w:pStyle w:val="Normal"/>
        <w:jc w:val="center"/>
        <w:rPr/>
      </w:pPr>
      <w:r>
        <w:rPr/>
      </w:r>
    </w:p>
    <w:p>
      <w:pPr>
        <w:pStyle w:val="Heading1"/>
        <w:ind w:hanging="0" w:start="0"/>
        <w:jc w:val="center"/>
        <w:rPr>
          <w:b/>
          <w:u w:val="single"/>
        </w:rPr>
      </w:pPr>
      <w:bookmarkStart w:id="1" w:name="__RefHeading___Toc495768953"/>
      <w:bookmarkEnd w:id="1"/>
      <w:r>
        <w:rPr>
          <w:b/>
          <w:u w:val="single"/>
        </w:rPr>
        <w:t>GLOSSARY</w:t>
      </w:r>
    </w:p>
    <w:p>
      <w:pPr>
        <w:pStyle w:val="Normal"/>
        <w:jc w:val="center"/>
        <w:rPr>
          <w:b/>
          <w:u w:val="single"/>
        </w:rPr>
      </w:pPr>
      <w:r>
        <w:rPr>
          <w:b/>
          <w:u w:val="single"/>
        </w:rPr>
      </w:r>
    </w:p>
    <w:p>
      <w:pPr>
        <w:pStyle w:val="Normal"/>
        <w:jc w:val="center"/>
        <w:rPr/>
      </w:pPr>
      <w:r>
        <w:rPr/>
      </w:r>
    </w:p>
    <w:p>
      <w:pPr>
        <w:pStyle w:val="Normal"/>
        <w:ind w:hanging="2880" w:start="2880" w:end="0"/>
        <w:rPr/>
      </w:pPr>
      <w:r>
        <w:rPr/>
        <w:t>FERC</w:t>
        <w:tab/>
        <w:t>Federal Energy Regulatory Commission</w:t>
      </w:r>
    </w:p>
    <w:p>
      <w:pPr>
        <w:pStyle w:val="Normal"/>
        <w:ind w:hanging="2880" w:start="2880" w:end="0"/>
        <w:rPr/>
      </w:pPr>
      <w:r>
        <w:rPr/>
      </w:r>
    </w:p>
    <w:p>
      <w:pPr>
        <w:pStyle w:val="Normal"/>
        <w:ind w:hanging="2880" w:start="2880" w:end="0"/>
        <w:rPr/>
      </w:pPr>
      <w:r>
        <w:rPr/>
        <w:t>FERC Orders</w:t>
        <w:tab/>
        <w:t>The FERC orders on review in these consolidated proceedings:</w:t>
      </w:r>
    </w:p>
    <w:p>
      <w:pPr>
        <w:pStyle w:val="Normal"/>
        <w:ind w:hanging="2880" w:start="2880" w:end="0"/>
        <w:rPr/>
      </w:pPr>
      <w:r>
        <w:rPr/>
      </w:r>
    </w:p>
    <w:p>
      <w:pPr>
        <w:pStyle w:val="Normal"/>
        <w:ind w:hanging="2880" w:start="2880" w:end="0"/>
        <w:rPr/>
      </w:pPr>
      <w:r>
        <w:rPr/>
        <w:tab/>
      </w:r>
      <w:r>
        <w:rPr>
          <w:i/>
        </w:rPr>
        <w:t>Cook Inlet Energy Supply, L.P.</w:t>
      </w:r>
      <w:r>
        <w:rPr/>
        <w:t>, FERC Docket No. ER98-4348-000, Letter Order dated September 18, 1998.</w:t>
      </w:r>
    </w:p>
    <w:p>
      <w:pPr>
        <w:pStyle w:val="Normal"/>
        <w:ind w:hanging="2880" w:start="2880" w:end="0"/>
        <w:rPr/>
      </w:pPr>
      <w:r>
        <w:rPr/>
      </w:r>
    </w:p>
    <w:p>
      <w:pPr>
        <w:pStyle w:val="Normal"/>
        <w:ind w:hanging="2880" w:start="2880" w:end="0"/>
        <w:rPr/>
      </w:pPr>
      <w:r>
        <w:rPr/>
        <w:tab/>
      </w:r>
      <w:r>
        <w:rPr>
          <w:i/>
        </w:rPr>
        <w:t>New York State Electric &amp; Gas Corp. and NGE Generation, Inc., et al.</w:t>
      </w:r>
      <w:r>
        <w:rPr/>
        <w:t xml:space="preserve">, Docket Nos. ER98-2179-001, </w:t>
      </w:r>
      <w:r>
        <w:rPr>
          <w:i/>
        </w:rPr>
        <w:t>et al.</w:t>
      </w:r>
      <w:r>
        <w:rPr/>
        <w:t>, "Order Denying Late Intervention and Rejecting Requests for Rehearing", 85 FERC ¶ 61,196 (November 9, 1998).</w:t>
      </w:r>
    </w:p>
    <w:p>
      <w:pPr>
        <w:pStyle w:val="Normal"/>
        <w:ind w:hanging="2880" w:start="2880" w:end="0"/>
        <w:rPr/>
      </w:pPr>
      <w:r>
        <w:rPr/>
      </w:r>
    </w:p>
    <w:p>
      <w:pPr>
        <w:pStyle w:val="Normal"/>
        <w:ind w:hanging="2880" w:start="2880" w:end="0"/>
        <w:rPr/>
      </w:pPr>
      <w:r>
        <w:rPr/>
        <w:tab/>
      </w:r>
      <w:r>
        <w:rPr>
          <w:i/>
        </w:rPr>
        <w:t>New York State Electric &amp; Gas Corp. and NGE Generation, Inc., et al.</w:t>
      </w:r>
      <w:r>
        <w:rPr/>
        <w:t xml:space="preserve">, Docket Nos. ER98-2179-002 </w:t>
      </w:r>
      <w:r>
        <w:rPr>
          <w:i/>
        </w:rPr>
        <w:t>et al.</w:t>
      </w:r>
      <w:r>
        <w:rPr/>
        <w:t>, "Order Denying Rehearing" (June 21, 1999).</w:t>
      </w:r>
    </w:p>
    <w:p>
      <w:pPr>
        <w:pStyle w:val="Normal"/>
        <w:ind w:hanging="2880" w:start="2880" w:end="0"/>
        <w:rPr>
          <w:i/>
          <w:i/>
        </w:rPr>
      </w:pPr>
      <w:r>
        <w:rPr>
          <w:i/>
        </w:rPr>
      </w:r>
    </w:p>
    <w:p>
      <w:pPr>
        <w:pStyle w:val="Normal"/>
        <w:ind w:hanging="2880" w:start="2880" w:end="0"/>
        <w:rPr/>
      </w:pPr>
      <w:r>
        <w:rPr>
          <w:i/>
        </w:rPr>
        <w:tab/>
        <w:t>PG&amp;E Energy Trading-Power, L.P.</w:t>
      </w:r>
      <w:r>
        <w:rPr/>
        <w:t xml:space="preserve">, FERC Docket No. ER98-4040-002 and </w:t>
      </w:r>
      <w:r>
        <w:rPr>
          <w:i/>
        </w:rPr>
        <w:t>El Paso Power Services Company</w:t>
      </w:r>
      <w:r>
        <w:rPr/>
        <w:t>, FERC Docket No. ER98-4176-002, "Order Granting Rehearing", 86 FERC ¶ 61,303 (March 29, 1999).</w:t>
      </w:r>
    </w:p>
    <w:p>
      <w:pPr>
        <w:pStyle w:val="Normal"/>
        <w:ind w:hanging="2880" w:start="2880" w:end="0"/>
        <w:rPr/>
      </w:pPr>
      <w:r>
        <w:rPr/>
      </w:r>
    </w:p>
    <w:p>
      <w:pPr>
        <w:pStyle w:val="Normal"/>
        <w:ind w:hanging="2880" w:start="2880" w:end="0"/>
        <w:rPr/>
      </w:pPr>
      <w:r>
        <w:rPr/>
        <w:tab/>
      </w:r>
      <w:r>
        <w:rPr>
          <w:i/>
        </w:rPr>
        <w:t>Southern Co. Energy Marketing, L.P., et al.</w:t>
      </w:r>
      <w:r>
        <w:rPr/>
        <w:t>, unconsolidated FERC Docket Nos. ER98-4040-000 and ER98-4176-000, "Order Dismissing Filings", 84 FERC ¶ 61,199 (August 28, 1998).</w:t>
      </w:r>
    </w:p>
    <w:p>
      <w:pPr>
        <w:pStyle w:val="Normal"/>
        <w:ind w:hanging="2880" w:start="2880" w:end="0"/>
        <w:rPr/>
      </w:pPr>
      <w:r>
        <w:rPr/>
      </w:r>
    </w:p>
    <w:p>
      <w:pPr>
        <w:pStyle w:val="Normal"/>
        <w:ind w:hanging="2880" w:start="2880" w:end="0"/>
        <w:rPr/>
      </w:pPr>
      <w:r>
        <w:rPr>
          <w:i/>
        </w:rPr>
        <w:tab/>
        <w:t>Southern Co. Energy Marketing, L.P., et al.</w:t>
      </w:r>
      <w:r>
        <w:rPr/>
        <w:t>, unconsolidated FERC Docket Nos. ER98-4040-001 and ER98-4176-001, "Order Dismissing Filings", 86 FERC ¶ 61,131 (February 10, 1999).</w:t>
      </w:r>
    </w:p>
    <w:p>
      <w:pPr>
        <w:pStyle w:val="Normal"/>
        <w:ind w:hanging="2880" w:start="2880" w:end="0"/>
        <w:rPr/>
      </w:pPr>
      <w:r>
        <w:rPr/>
      </w:r>
    </w:p>
    <w:p>
      <w:pPr>
        <w:pStyle w:val="Normal"/>
        <w:ind w:hanging="2880" w:start="2880" w:end="0"/>
        <w:rPr/>
      </w:pPr>
      <w:r>
        <w:rPr/>
        <w:tab/>
      </w:r>
      <w:r>
        <w:rPr>
          <w:i/>
        </w:rPr>
        <w:t>Vitol Gas and Electric, L.L.C.</w:t>
      </w:r>
      <w:r>
        <w:rPr/>
        <w:t>, FERC Docket No. ER98-4275-000, Letter Order dated September 16, 1998.</w:t>
      </w:r>
    </w:p>
    <w:p>
      <w:pPr>
        <w:pStyle w:val="Normal"/>
        <w:ind w:hanging="2880" w:start="2880" w:end="0"/>
        <w:rPr/>
      </w:pPr>
      <w:r>
        <w:rPr/>
      </w:r>
    </w:p>
    <w:p>
      <w:pPr>
        <w:pStyle w:val="Normal"/>
        <w:ind w:hanging="2880" w:start="2880" w:end="0"/>
        <w:rPr/>
      </w:pPr>
      <w:r>
        <w:rPr/>
        <w:t>FPA</w:t>
        <w:tab/>
        <w:t>Federal Power Act</w:t>
      </w:r>
    </w:p>
    <w:p>
      <w:pPr>
        <w:pStyle w:val="Normal"/>
        <w:ind w:hanging="2880" w:start="2880" w:end="0"/>
        <w:rPr/>
      </w:pPr>
      <w:r>
        <w:rPr/>
      </w:r>
    </w:p>
    <w:p>
      <w:pPr>
        <w:pStyle w:val="Normal"/>
        <w:ind w:hanging="2880" w:start="2880" w:end="0"/>
        <w:rPr/>
      </w:pPr>
      <w:r>
        <w:rPr/>
        <w:t>INTERVENORS</w:t>
        <w:tab/>
        <w:t>Intervenors in support of Respondent:</w:t>
      </w:r>
    </w:p>
    <w:p>
      <w:pPr>
        <w:pStyle w:val="Normal"/>
        <w:ind w:hanging="2880" w:start="2880" w:end="0"/>
        <w:rPr/>
      </w:pPr>
      <w:r>
        <w:rPr/>
      </w:r>
    </w:p>
    <w:p>
      <w:pPr>
        <w:pStyle w:val="Normal"/>
        <w:ind w:hanging="2880" w:start="2880" w:end="0"/>
        <w:rPr/>
      </w:pPr>
      <w:r>
        <w:rPr/>
        <w:tab/>
        <w:t>Cook Inlet Energy Supply, L.P., Docket No. ER98-4348</w:t>
      </w:r>
    </w:p>
    <w:p>
      <w:pPr>
        <w:pStyle w:val="Normal"/>
        <w:ind w:hanging="2880" w:start="2880" w:end="0"/>
        <w:rPr/>
      </w:pPr>
      <w:r>
        <w:rPr/>
        <w:tab/>
        <w:t>El Paso Merchant Energy, L.P., Docket No. ER98-4176</w:t>
      </w:r>
    </w:p>
    <w:p>
      <w:pPr>
        <w:pStyle w:val="Normal"/>
        <w:ind w:hanging="2880" w:start="2880" w:end="0"/>
        <w:rPr/>
      </w:pPr>
      <w:r>
        <w:rPr/>
        <w:tab/>
        <w:t>Enron Power Marketing, Inc., Docket No. ER98-3966</w:t>
      </w:r>
    </w:p>
    <w:p>
      <w:pPr>
        <w:pStyle w:val="Normal"/>
        <w:ind w:hanging="2880" w:start="2880" w:end="0"/>
        <w:rPr/>
      </w:pPr>
      <w:r>
        <w:rPr/>
        <w:tab/>
        <w:t>PG&amp;E Energy Trading-Power, L.P., Docket No. ER99-4040</w:t>
      </w:r>
    </w:p>
    <w:p>
      <w:pPr>
        <w:pStyle w:val="Normal"/>
        <w:ind w:hanging="2880" w:start="2880" w:end="0"/>
        <w:rPr/>
      </w:pPr>
      <w:r>
        <w:rPr/>
        <w:tab/>
        <w:t>South Jersey Energy Company, Docket No. ER98-4131</w:t>
      </w:r>
    </w:p>
    <w:p>
      <w:pPr>
        <w:pStyle w:val="Normal"/>
        <w:ind w:hanging="2880" w:start="2880" w:end="0"/>
        <w:rPr/>
      </w:pPr>
      <w:r>
        <w:rPr/>
      </w:r>
    </w:p>
    <w:p>
      <w:pPr>
        <w:pStyle w:val="Normal"/>
        <w:ind w:hanging="2880" w:start="2880" w:end="0"/>
        <w:rPr/>
      </w:pPr>
      <w:r>
        <w:rPr/>
        <w:t>MARKET-BASED</w:t>
      </w:r>
    </w:p>
    <w:p>
      <w:pPr>
        <w:pStyle w:val="Normal"/>
        <w:ind w:hanging="2880" w:start="2880" w:end="0"/>
        <w:rPr/>
      </w:pPr>
      <w:r>
        <w:rPr/>
        <w:t>TARIFF</w:t>
        <w:tab/>
        <w:t>The accepted rate schedule on file with the FERC pursuant to which a power marketer engages in sales of power at market-based rates.</w:t>
      </w:r>
    </w:p>
    <w:p>
      <w:pPr>
        <w:pStyle w:val="Normal"/>
        <w:ind w:hanging="2880" w:start="2880" w:end="0"/>
        <w:rPr/>
      </w:pPr>
      <w:r>
        <w:rPr/>
      </w:r>
    </w:p>
    <w:p>
      <w:pPr>
        <w:pStyle w:val="Normal"/>
        <w:ind w:hanging="2880" w:start="2880" w:end="0"/>
        <w:rPr/>
      </w:pPr>
      <w:r>
        <w:rPr/>
        <w:t>PCA</w:t>
        <w:tab/>
        <w:t>The Power Company of America, L.P.</w:t>
      </w:r>
    </w:p>
    <w:p>
      <w:pPr>
        <w:pStyle w:val="Normal"/>
        <w:ind w:hanging="2880" w:start="2880" w:end="0"/>
        <w:rPr/>
      </w:pPr>
      <w:r>
        <w:rPr/>
      </w:r>
    </w:p>
    <w:p>
      <w:pPr>
        <w:pStyle w:val="Normal"/>
        <w:ind w:hanging="2880" w:start="2880" w:end="0"/>
        <w:rPr/>
      </w:pPr>
      <w:r>
        <w:rPr/>
        <w:t>POWER MARKETER</w:t>
        <w:tab/>
        <w:t>An entity that FERC has found does not possess, or has adequately mitigated, market power and has thus been authorized by the FERC to sell power to willing buyers at market-based (negotiated) rates.  As used herein, it refers to those power marketers that do not own generation assets.</w:t>
      </w:r>
    </w:p>
    <w:p>
      <w:pPr>
        <w:pStyle w:val="Normal"/>
        <w:ind w:hanging="2880" w:start="2880" w:end="0"/>
        <w:rPr/>
      </w:pPr>
      <w:r>
        <w:rPr/>
      </w:r>
    </w:p>
    <w:p>
      <w:pPr>
        <w:pStyle w:val="Normal"/>
        <w:ind w:hanging="2880" w:start="2880" w:end="0"/>
        <w:rPr/>
      </w:pPr>
      <w:r>
        <w:rPr/>
        <w:t>TRANSACTION</w:t>
        <w:tab/>
        <w:t>A specific agreement — whether oral or written — entered into under the umbrella service agreement between the seller and purchaser whereby the parties have agreed to a particular sale at an agreed upon rate.</w:t>
      </w:r>
    </w:p>
    <w:p>
      <w:pPr>
        <w:pStyle w:val="Normal"/>
        <w:ind w:hanging="2880" w:start="2880" w:end="0"/>
        <w:rPr/>
      </w:pPr>
      <w:r>
        <w:rPr/>
      </w:r>
    </w:p>
    <w:p>
      <w:pPr>
        <w:pStyle w:val="Normal"/>
        <w:ind w:hanging="2880" w:start="2880" w:end="0"/>
        <w:rPr/>
      </w:pPr>
      <w:r>
        <w:rPr/>
        <w:t>UMBRELLA SERVICE</w:t>
      </w:r>
    </w:p>
    <w:p>
      <w:pPr>
        <w:pStyle w:val="Normal"/>
        <w:ind w:hanging="2880" w:start="2880" w:end="0"/>
        <w:rPr/>
      </w:pPr>
      <w:r>
        <w:rPr/>
        <w:t>AGREEMENT</w:t>
        <w:tab/>
        <w:t>The agreement between a seller and purchaser--entered into under the seller's filed and accepted umbrella tariff--where the parties have agreed to general terms and conditions that will govern any future power sales transactions that the parties may agree to.</w:t>
      </w:r>
    </w:p>
    <w:p>
      <w:pPr>
        <w:pStyle w:val="Normal"/>
        <w:ind w:hanging="2880" w:start="2880" w:end="0"/>
        <w:rPr/>
      </w:pPr>
      <w:r>
        <w:rPr/>
      </w:r>
    </w:p>
    <w:p>
      <w:pPr>
        <w:pStyle w:val="Normal"/>
        <w:ind w:hanging="2880" w:start="2880" w:end="0"/>
        <w:rPr/>
      </w:pPr>
      <w:r>
        <w:rPr/>
      </w:r>
    </w:p>
    <w:p>
      <w:pPr>
        <w:sectPr>
          <w:headerReference w:type="default" r:id="rId18"/>
          <w:headerReference w:type="first" r:id="rId19"/>
          <w:footerReference w:type="default" r:id="rId20"/>
          <w:footerReference w:type="first" r:id="rId21"/>
          <w:footnotePr>
            <w:numFmt w:val="decimal"/>
            <w:numRestart w:val="eachSect"/>
          </w:footnotePr>
          <w:type w:val="nextPage"/>
          <w:pgSz w:w="12240" w:h="15840"/>
          <w:pgMar w:left="1800" w:right="1800" w:gutter="0" w:header="720" w:top="1440" w:footer="720" w:bottom="1440"/>
          <w:pgNumType w:fmt="lowerRoman"/>
          <w:formProt w:val="false"/>
          <w:textDirection w:val="lrTb"/>
          <w:docGrid w:type="default" w:linePitch="360" w:charSpace="0"/>
        </w:sectPr>
        <w:pStyle w:val="Normal"/>
        <w:ind w:hanging="2880" w:start="2880" w:end="0"/>
        <w:rPr/>
      </w:pPr>
      <w:r>
        <w:rPr/>
      </w:r>
    </w:p>
    <w:p>
      <w:pPr>
        <w:pStyle w:val="Normal"/>
        <w:rPr>
          <w:b/>
        </w:rPr>
      </w:pPr>
      <w:r>
        <w:rPr>
          <w:b/>
        </w:rPr>
        <w:t>________________________________________________________________________</w:t>
      </w:r>
    </w:p>
    <w:p>
      <w:pPr>
        <w:pStyle w:val="Normal"/>
        <w:jc w:val="center"/>
        <w:rPr>
          <w:b/>
        </w:rPr>
      </w:pPr>
      <w:r>
        <w:rPr>
          <w:b/>
        </w:rPr>
      </w:r>
    </w:p>
    <w:p>
      <w:pPr>
        <w:pStyle w:val="Normal"/>
        <w:jc w:val="center"/>
        <w:rPr>
          <w:b/>
        </w:rPr>
      </w:pPr>
      <w:r>
        <w:rPr>
          <w:b/>
        </w:rPr>
        <w:t>SCHEDULED FOR ORAL ARGUMENT JANUARY 16, 2001</w:t>
      </w:r>
    </w:p>
    <w:p>
      <w:pPr>
        <w:pStyle w:val="Normal"/>
        <w:jc w:val="center"/>
        <w:rPr>
          <w:b/>
        </w:rPr>
      </w:pPr>
      <w:r>
        <w:rPr>
          <w:b/>
        </w:rPr>
        <w:t>________________________________________________________________________</w:t>
      </w:r>
    </w:p>
    <w:p>
      <w:pPr>
        <w:pStyle w:val="Normal"/>
        <w:jc w:val="center"/>
        <w:rPr/>
      </w:pPr>
      <w:r>
        <w:rPr/>
      </w:r>
    </w:p>
    <w:p>
      <w:pPr>
        <w:pStyle w:val="Normal"/>
        <w:jc w:val="center"/>
        <w:rPr>
          <w:b/>
        </w:rPr>
      </w:pPr>
      <w:r>
        <w:rPr>
          <w:b/>
        </w:rPr>
        <w:t>UNITED STATES COURT OF APPEALS</w:t>
      </w:r>
    </w:p>
    <w:p>
      <w:pPr>
        <w:pStyle w:val="Normal"/>
        <w:jc w:val="center"/>
        <w:rPr>
          <w:b/>
        </w:rPr>
      </w:pPr>
      <w:r>
        <w:rPr>
          <w:b/>
        </w:rPr>
        <w:t>FOR THE DISTRICT OF COLUMBIA CIRCUIT</w:t>
      </w:r>
    </w:p>
    <w:p>
      <w:pPr>
        <w:pStyle w:val="Normal"/>
        <w:jc w:val="center"/>
        <w:rPr>
          <w:b/>
        </w:rPr>
      </w:pPr>
      <w:r>
        <w:rPr>
          <w:b/>
        </w:rPr>
        <w:t>____________________</w:t>
      </w:r>
    </w:p>
    <w:p>
      <w:pPr>
        <w:pStyle w:val="Normal"/>
        <w:jc w:val="center"/>
        <w:rPr>
          <w:b/>
        </w:rPr>
      </w:pPr>
      <w:r>
        <w:rPr>
          <w:b/>
        </w:rPr>
      </w:r>
    </w:p>
    <w:p>
      <w:pPr>
        <w:pStyle w:val="Normal"/>
        <w:jc w:val="center"/>
        <w:rPr>
          <w:b/>
        </w:rPr>
      </w:pPr>
      <w:r>
        <w:rPr>
          <w:b/>
        </w:rPr>
        <w:t xml:space="preserve">Case Nos. 99-1263 </w:t>
      </w:r>
      <w:r>
        <w:rPr>
          <w:b/>
          <w:i/>
        </w:rPr>
        <w:t>et al.</w:t>
      </w:r>
    </w:p>
    <w:p>
      <w:pPr>
        <w:pStyle w:val="Normal"/>
        <w:jc w:val="center"/>
        <w:rPr>
          <w:b/>
        </w:rPr>
      </w:pPr>
      <w:r>
        <w:rPr>
          <w:b/>
        </w:rPr>
        <w:t>____________________</w:t>
      </w:r>
    </w:p>
    <w:p>
      <w:pPr>
        <w:pStyle w:val="Normal"/>
        <w:jc w:val="center"/>
        <w:rPr>
          <w:b/>
        </w:rPr>
      </w:pPr>
      <w:r>
        <w:rPr>
          <w:b/>
        </w:rPr>
      </w:r>
    </w:p>
    <w:p>
      <w:pPr>
        <w:pStyle w:val="Normal"/>
        <w:jc w:val="center"/>
        <w:rPr>
          <w:b/>
        </w:rPr>
      </w:pPr>
      <w:r>
        <w:rPr>
          <w:b/>
        </w:rPr>
        <w:t>THE POWER COMPANY OF AMERICA, L.P.,</w:t>
      </w:r>
    </w:p>
    <w:p>
      <w:pPr>
        <w:pStyle w:val="Normal"/>
        <w:jc w:val="center"/>
        <w:rPr>
          <w:b/>
        </w:rPr>
      </w:pPr>
      <w:r>
        <w:rPr>
          <w:b/>
        </w:rPr>
        <w:t>PETITIONER</w:t>
      </w:r>
    </w:p>
    <w:p>
      <w:pPr>
        <w:pStyle w:val="Normal"/>
        <w:jc w:val="center"/>
        <w:rPr>
          <w:b/>
        </w:rPr>
      </w:pPr>
      <w:r>
        <w:rPr>
          <w:b/>
        </w:rPr>
      </w:r>
    </w:p>
    <w:p>
      <w:pPr>
        <w:pStyle w:val="Normal"/>
        <w:jc w:val="center"/>
        <w:rPr>
          <w:b/>
        </w:rPr>
      </w:pPr>
      <w:r>
        <w:rPr>
          <w:b/>
        </w:rPr>
        <w:t>v.</w:t>
      </w:r>
    </w:p>
    <w:p>
      <w:pPr>
        <w:pStyle w:val="Normal"/>
        <w:jc w:val="center"/>
        <w:rPr>
          <w:b/>
        </w:rPr>
      </w:pPr>
      <w:r>
        <w:rPr>
          <w:b/>
        </w:rPr>
      </w:r>
    </w:p>
    <w:p>
      <w:pPr>
        <w:pStyle w:val="Normal"/>
        <w:jc w:val="center"/>
        <w:rPr>
          <w:b/>
        </w:rPr>
      </w:pPr>
      <w:r>
        <w:rPr>
          <w:b/>
        </w:rPr>
        <w:t>FEDERAL ENERGY REGULATORY COMMISSION,</w:t>
      </w:r>
    </w:p>
    <w:p>
      <w:pPr>
        <w:pStyle w:val="Normal"/>
        <w:jc w:val="center"/>
        <w:rPr>
          <w:b/>
        </w:rPr>
      </w:pPr>
      <w:r>
        <w:rPr>
          <w:b/>
        </w:rPr>
        <w:t>RESPONDENT</w:t>
      </w:r>
    </w:p>
    <w:p>
      <w:pPr>
        <w:pStyle w:val="Normal"/>
        <w:jc w:val="center"/>
        <w:rPr>
          <w:b/>
        </w:rPr>
      </w:pPr>
      <w:r>
        <w:rPr>
          <w:b/>
        </w:rPr>
        <w:t>____________________</w:t>
      </w:r>
    </w:p>
    <w:p>
      <w:pPr>
        <w:pStyle w:val="Normal"/>
        <w:jc w:val="center"/>
        <w:rPr>
          <w:b/>
        </w:rPr>
      </w:pPr>
      <w:r>
        <w:rPr>
          <w:b/>
        </w:rPr>
      </w:r>
    </w:p>
    <w:p>
      <w:pPr>
        <w:pStyle w:val="Normal"/>
        <w:jc w:val="center"/>
        <w:rPr>
          <w:b/>
        </w:rPr>
      </w:pPr>
      <w:r>
        <w:rPr>
          <w:b/>
        </w:rPr>
        <w:t>ON PETITION FOR REVIEW OF ORDERS OF THE</w:t>
      </w:r>
    </w:p>
    <w:p>
      <w:pPr>
        <w:pStyle w:val="Normal"/>
        <w:jc w:val="center"/>
        <w:rPr>
          <w:b/>
        </w:rPr>
      </w:pPr>
      <w:r>
        <w:rPr>
          <w:b/>
        </w:rPr>
        <w:t>FEDERAL ENERGY REGULATORY COMMISSION</w:t>
      </w:r>
    </w:p>
    <w:p>
      <w:pPr>
        <w:pStyle w:val="Normal"/>
        <w:jc w:val="center"/>
        <w:rPr>
          <w:b/>
        </w:rPr>
      </w:pPr>
      <w:r>
        <w:rPr>
          <w:b/>
        </w:rPr>
        <w:t>____________________</w:t>
      </w:r>
    </w:p>
    <w:p>
      <w:pPr>
        <w:pStyle w:val="Normal"/>
        <w:jc w:val="center"/>
        <w:rPr>
          <w:b/>
        </w:rPr>
      </w:pPr>
      <w:r>
        <w:rPr>
          <w:b/>
        </w:rPr>
      </w:r>
    </w:p>
    <w:p>
      <w:pPr>
        <w:pStyle w:val="Normal"/>
        <w:jc w:val="center"/>
        <w:rPr>
          <w:b/>
        </w:rPr>
      </w:pPr>
      <w:r>
        <w:rPr>
          <w:b/>
        </w:rPr>
        <w:t>JOINT BRIEF FOR INTERVENORS</w:t>
      </w:r>
    </w:p>
    <w:p>
      <w:pPr>
        <w:pStyle w:val="Normal"/>
        <w:jc w:val="center"/>
        <w:rPr>
          <w:b/>
        </w:rPr>
      </w:pPr>
      <w:r>
        <w:rPr>
          <w:b/>
        </w:rPr>
        <w:t>IN SUPPORT OF RESPONDENT</w:t>
      </w:r>
    </w:p>
    <w:p>
      <w:pPr>
        <w:pStyle w:val="Normal"/>
        <w:jc w:val="center"/>
        <w:rPr>
          <w:b/>
        </w:rPr>
      </w:pPr>
      <w:r>
        <w:rPr>
          <w:b/>
        </w:rPr>
        <w:t>____________________</w:t>
      </w:r>
    </w:p>
    <w:p>
      <w:pPr>
        <w:pStyle w:val="Normal"/>
        <w:jc w:val="center"/>
        <w:rPr/>
      </w:pPr>
      <w:r>
        <w:rPr/>
      </w:r>
    </w:p>
    <w:p>
      <w:pPr>
        <w:pStyle w:val="Normal"/>
        <w:jc w:val="center"/>
        <w:rPr/>
      </w:pPr>
      <w:r>
        <w:rPr/>
      </w:r>
    </w:p>
    <w:p>
      <w:pPr>
        <w:pStyle w:val="Heading1"/>
        <w:ind w:hanging="0" w:start="0"/>
        <w:jc w:val="center"/>
        <w:rPr>
          <w:b/>
          <w:u w:val="single"/>
        </w:rPr>
      </w:pPr>
      <w:bookmarkStart w:id="2" w:name="__RefHeading___Toc495768954"/>
      <w:bookmarkEnd w:id="2"/>
      <w:r>
        <w:rPr>
          <w:b/>
          <w:u w:val="single"/>
        </w:rPr>
        <w:t>STATEMENT OF JURISDICTION</w:t>
      </w:r>
    </w:p>
    <w:p>
      <w:pPr>
        <w:pStyle w:val="Normal"/>
        <w:spacing w:lineRule="auto" w:line="480"/>
        <w:ind w:firstLine="1440" w:end="0"/>
        <w:rPr>
          <w:b/>
          <w:u w:val="single"/>
        </w:rPr>
      </w:pPr>
      <w:r>
        <w:rPr>
          <w:b/>
          <w:u w:val="single"/>
        </w:rPr>
      </w:r>
    </w:p>
    <w:p>
      <w:pPr>
        <w:pStyle w:val="Normal"/>
        <w:spacing w:lineRule="auto" w:line="480"/>
        <w:ind w:firstLine="1440" w:end="0"/>
        <w:rPr/>
      </w:pPr>
      <w:r>
        <w:rPr/>
        <w:t>Intervenors adopt the Counterstatement of Jurisdiction set forth in the Brief for Respondent, Federal Energy Regulatory Commission ("FERC").</w:t>
      </w:r>
    </w:p>
    <w:p>
      <w:pPr>
        <w:pStyle w:val="Heading1"/>
        <w:ind w:hanging="0" w:start="0"/>
        <w:jc w:val="center"/>
        <w:rPr>
          <w:b/>
          <w:u w:val="single"/>
        </w:rPr>
      </w:pPr>
      <w:bookmarkStart w:id="3" w:name="__RefHeading___Toc495768955"/>
      <w:bookmarkEnd w:id="3"/>
      <w:r>
        <w:rPr>
          <w:b/>
          <w:u w:val="single"/>
        </w:rPr>
        <w:t>STATEMENT REGARDING ISSUES</w:t>
      </w:r>
    </w:p>
    <w:p>
      <w:pPr>
        <w:pStyle w:val="Normal"/>
        <w:keepNext w:val="true"/>
        <w:rPr>
          <w:b/>
          <w:u w:val="single"/>
        </w:rPr>
      </w:pPr>
      <w:r>
        <w:rPr>
          <w:b/>
          <w:u w:val="single"/>
        </w:rPr>
      </w:r>
    </w:p>
    <w:p>
      <w:pPr>
        <w:pStyle w:val="Normal"/>
        <w:keepNext w:val="true"/>
        <w:spacing w:lineRule="auto" w:line="480"/>
        <w:ind w:firstLine="1440" w:end="0"/>
        <w:rPr/>
      </w:pPr>
      <w:r>
        <w:rPr/>
        <w:t>Intervenors adopt FERC's statement of the issues.</w:t>
      </w:r>
    </w:p>
    <w:p>
      <w:pPr>
        <w:pStyle w:val="Normal"/>
        <w:jc w:val="center"/>
        <w:rPr/>
      </w:pPr>
      <w:r>
        <w:rPr/>
      </w:r>
    </w:p>
    <w:p>
      <w:pPr>
        <w:pStyle w:val="Heading1"/>
        <w:ind w:hanging="0" w:start="0"/>
        <w:jc w:val="center"/>
        <w:rPr>
          <w:b/>
          <w:u w:val="single"/>
        </w:rPr>
      </w:pPr>
      <w:bookmarkStart w:id="4" w:name="__RefHeading___Toc495768956"/>
      <w:bookmarkEnd w:id="4"/>
      <w:r>
        <w:rPr>
          <w:b/>
          <w:u w:val="single"/>
        </w:rPr>
        <w:t>PERTINENT STATUTES AND REGULATIONS</w:t>
      </w:r>
    </w:p>
    <w:p>
      <w:pPr>
        <w:pStyle w:val="Normal"/>
        <w:keepNext w:val="true"/>
        <w:keepLines/>
        <w:jc w:val="center"/>
        <w:rPr>
          <w:b/>
          <w:u w:val="single"/>
        </w:rPr>
      </w:pPr>
      <w:r>
        <w:rPr>
          <w:b/>
          <w:u w:val="single"/>
        </w:rPr>
      </w:r>
    </w:p>
    <w:p>
      <w:pPr>
        <w:pStyle w:val="Normal"/>
        <w:keepNext w:val="true"/>
        <w:keepLines/>
        <w:spacing w:lineRule="auto" w:line="480"/>
        <w:ind w:firstLine="1440" w:end="0"/>
        <w:rPr/>
      </w:pPr>
      <w:r>
        <w:rPr/>
        <w:t>Except for the following, all applicable statutes, etc. are contained in the Brief for Respondent:</w:t>
      </w:r>
    </w:p>
    <w:p>
      <w:pPr>
        <w:pStyle w:val="Normal"/>
        <w:spacing w:lineRule="auto" w:line="480"/>
        <w:ind w:firstLine="1440" w:end="0"/>
        <w:rPr/>
      </w:pPr>
      <w:r>
        <w:rPr/>
        <w:t>[FPA:</w:t>
        <w:tab/>
        <w:tab/>
        <w:tab/>
        <w:t>Sections 204, 301 and 305</w:t>
      </w:r>
    </w:p>
    <w:p>
      <w:pPr>
        <w:pStyle w:val="Normal"/>
        <w:spacing w:lineRule="auto" w:line="480"/>
        <w:ind w:firstLine="1440" w:end="0"/>
        <w:rPr/>
      </w:pPr>
      <w:r>
        <w:rPr/>
        <w:t>18 C.F.R.:</w:t>
        <w:tab/>
        <w:tab/>
        <w:t>Parts 34, 35, 41, 45 and 46 and Section 141.1]</w:t>
      </w:r>
    </w:p>
    <w:p>
      <w:pPr>
        <w:pStyle w:val="Normal"/>
        <w:rPr/>
      </w:pPr>
      <w:r>
        <w:rPr/>
      </w:r>
    </w:p>
    <w:p>
      <w:pPr>
        <w:pStyle w:val="Heading1"/>
        <w:ind w:hanging="0" w:start="0"/>
        <w:jc w:val="center"/>
        <w:rPr>
          <w:b/>
          <w:u w:val="single"/>
        </w:rPr>
      </w:pPr>
      <w:bookmarkStart w:id="5" w:name="__RefHeading___Toc495768957"/>
      <w:bookmarkEnd w:id="5"/>
      <w:r>
        <w:rPr>
          <w:b/>
          <w:u w:val="single"/>
        </w:rPr>
        <w:t>STATEMENT OF THE CASE</w:t>
      </w:r>
    </w:p>
    <w:p>
      <w:pPr>
        <w:pStyle w:val="Normal"/>
        <w:rPr>
          <w:b/>
          <w:u w:val="single"/>
        </w:rPr>
      </w:pPr>
      <w:r>
        <w:rPr>
          <w:b/>
          <w:u w:val="single"/>
        </w:rPr>
      </w:r>
    </w:p>
    <w:p>
      <w:pPr>
        <w:pStyle w:val="Normal"/>
        <w:spacing w:lineRule="auto" w:line="480"/>
        <w:ind w:firstLine="1440" w:end="0"/>
        <w:rPr/>
      </w:pPr>
      <w:r>
        <w:rPr/>
        <w:t>Intervenors adopt FERC's Statement of the Case.</w:t>
      </w:r>
    </w:p>
    <w:p>
      <w:pPr>
        <w:pStyle w:val="Heading1"/>
        <w:ind w:hanging="0" w:start="0"/>
        <w:jc w:val="center"/>
        <w:rPr>
          <w:b/>
          <w:u w:val="single"/>
        </w:rPr>
      </w:pPr>
      <w:bookmarkStart w:id="6" w:name="__RefHeading___Toc495768958"/>
      <w:bookmarkEnd w:id="6"/>
      <w:r>
        <w:rPr>
          <w:b/>
          <w:u w:val="single"/>
        </w:rPr>
        <w:t>SUMMARY OF THE ARGUMENT</w:t>
      </w:r>
    </w:p>
    <w:p>
      <w:pPr>
        <w:pStyle w:val="Normal"/>
        <w:rPr>
          <w:b/>
          <w:u w:val="single"/>
        </w:rPr>
      </w:pPr>
      <w:r>
        <w:rPr>
          <w:b/>
          <w:u w:val="single"/>
        </w:rPr>
      </w:r>
    </w:p>
    <w:p>
      <w:pPr>
        <w:pStyle w:val="Normal"/>
        <w:spacing w:lineRule="auto" w:line="480"/>
        <w:ind w:firstLine="1440" w:end="0"/>
        <w:rPr/>
      </w:pPr>
      <w:r>
        <w:rPr/>
        <w:t>The orders under review ("FERC Orders") implement FERC’s long-standing market-based rate policies.  FERC has established many policies and procedures specifically designed to promote a flexible and efficient short-term, market-based, competitive electric power market.  Because FERC has determined that all power marketers (such as Intervenors) do not possess market power, FERC has applied "light-handed regulation" and instituted rules that provide power marketers with greater flexibility than those who sell power at cost-based rates to engage in robust competition.  For example, power marketers are not required to file transaction documents, and power marketers such as Intervenors (which do not own generating assets), need not file the umbrella service agreements under which market-based, short-term power sales occur.  This process stands in stark contrast to the pervasive level of regulation and filing requirements imposed on traditional, franchised public utilities that sell power at cost-based rates.  The notice of cancellation requirement in Section 35.15 has been necessary to provide a means of ensuring that the traditional, franchised public utility does not exert market power by canceling service to customers that have no alternate source of power supply and thus must purchase from the utility.</w:t>
      </w:r>
    </w:p>
    <w:p>
      <w:pPr>
        <w:pStyle w:val="Normal"/>
        <w:spacing w:lineRule="auto" w:line="480"/>
        <w:ind w:firstLine="1440" w:end="0"/>
        <w:rPr/>
      </w:pPr>
      <w:r>
        <w:rPr/>
        <w:t xml:space="preserve">FERC correctly determined that Section 35.15 is inapplicable to the facts involving PCA.  First, extension of Section 35.15 to transaction documents is inconsistent with Section 35.15 which by its terms only applies to "rate schedules … required to be on file" with FERC.  18 C.F.R. § 35.15.  In decisions issued over many years, FERC has determined that these types of market-based transaction documents need not be on file with the FERC.  Thus there is nothing on file to cancel.  PCA has been a power marketer since 1995 and was in a position to be well aware of FERC's policies that market-based transactions are not "required to be on file" with the FERC.  Second, because power marketers do not have market power and because power transactions are "discretionary," </w:t>
      </w:r>
      <w:r>
        <w:rPr>
          <w:i/>
        </w:rPr>
        <w:t>i.e</w:t>
      </w:r>
      <w:r>
        <w:rPr/>
        <w:t xml:space="preserve">., the purchaser has multiple power supply options and has voluntarily chosen to enter into market-based transactions with the seller, the protection Section 35.15 provides is unnecessary.  Third, a 60-day advance notice of cancellation requirement is incompatible with the realities of the often fast-paced, short-term electric power market in which sales may be consummated orally as late as an hour ahead of the sale or for periods as short as an hour.  </w:t>
      </w:r>
    </w:p>
    <w:p>
      <w:pPr>
        <w:pStyle w:val="Normal"/>
        <w:spacing w:lineRule="auto" w:line="480"/>
        <w:ind w:firstLine="1440" w:end="0"/>
        <w:rPr/>
      </w:pPr>
      <w:r>
        <w:rPr/>
        <w:t xml:space="preserve">FERC has never held that Section 35.15 applies to unfiled market-based transaction documents.  Because this case was a matter of first impression (albeit one that was clearly foreshadowed by the plain words of the regulation) FERC, therefore, properly applied its interpretation to PCA.  The normal standard is to apply a decision interpreting the law to the parties in the proceeding in which the issue is raised.  PCA’s reliance argument does not support a prospective exception.  All the transactions and agreements at issue in these proceedings involve </w:t>
      </w:r>
      <w:r>
        <w:rPr>
          <w:u w:val="single"/>
        </w:rPr>
        <w:t>market-based</w:t>
      </w:r>
      <w:r>
        <w:rPr/>
        <w:t xml:space="preserve"> sales.  In </w:t>
      </w:r>
      <w:r>
        <w:rPr>
          <w:i/>
        </w:rPr>
        <w:t>Portland</w:t>
      </w:r>
      <w:r>
        <w:rPr/>
        <w:t xml:space="preserve">, FERC addressed the applicability of the notice of cancellation requirements in Section 35.15 in the context of </w:t>
      </w:r>
      <w:r>
        <w:rPr>
          <w:u w:val="single"/>
        </w:rPr>
        <w:t>cost-based</w:t>
      </w:r>
      <w:r>
        <w:rPr/>
        <w:t xml:space="preserve"> sales and where the seller already had on file the umbrella service agreement under which such cost-based sales would be made–facts that do not apply to PCA.  FERC prospectively modified its treatment of transactions made pursuant to filed service agreements by reversing </w:t>
      </w:r>
      <w:r>
        <w:rPr>
          <w:i/>
        </w:rPr>
        <w:t>Portland</w:t>
      </w:r>
      <w:r>
        <w:rPr/>
        <w:t xml:space="preserve">, in part, on rehearing.  But, because PCA's facts were not addressed in </w:t>
      </w:r>
      <w:r>
        <w:rPr>
          <w:i/>
        </w:rPr>
        <w:t>Portland</w:t>
      </w:r>
      <w:r>
        <w:rPr/>
        <w:t>, this modification had no bearing on PCA.</w:t>
      </w:r>
    </w:p>
    <w:p>
      <w:pPr>
        <w:pStyle w:val="Normal"/>
        <w:spacing w:lineRule="auto" w:line="480"/>
        <w:ind w:firstLine="1440" w:end="0"/>
        <w:rPr/>
      </w:pPr>
      <w:r>
        <w:rPr/>
        <w:t>Finally, because PCA utterly failed to comply with FERC's rules to become a party, FERC correctly determined that PCA was not a party in the specific FERC proceedings initiated by the Intervenors.  Thus, at a minimum, the Court should dismiss the petition as to the Intervenors.</w:t>
      </w:r>
    </w:p>
    <w:p>
      <w:pPr>
        <w:pStyle w:val="Heading1"/>
        <w:ind w:hanging="0" w:start="0"/>
        <w:jc w:val="center"/>
        <w:rPr>
          <w:b/>
          <w:u w:val="single"/>
        </w:rPr>
      </w:pPr>
      <w:bookmarkStart w:id="7" w:name="__RefHeading___Toc495768959"/>
      <w:bookmarkEnd w:id="7"/>
      <w:r>
        <w:rPr>
          <w:b/>
          <w:u w:val="single"/>
        </w:rPr>
        <w:t>ARGUMENT</w:t>
      </w:r>
    </w:p>
    <w:p>
      <w:pPr>
        <w:pStyle w:val="Normal"/>
        <w:rPr>
          <w:b/>
          <w:u w:val="single"/>
        </w:rPr>
      </w:pPr>
      <w:r>
        <w:rPr>
          <w:b/>
          <w:u w:val="single"/>
        </w:rPr>
      </w:r>
    </w:p>
    <w:p>
      <w:pPr>
        <w:pStyle w:val="Heading2"/>
        <w:ind w:hanging="720" w:start="720" w:end="0"/>
        <w:rPr>
          <w:b/>
        </w:rPr>
      </w:pPr>
      <w:bookmarkStart w:id="8" w:name="__RefHeading___Toc495768960"/>
      <w:bookmarkEnd w:id="8"/>
      <w:r>
        <w:rPr>
          <w:b/>
        </w:rPr>
        <w:t>I.</w:t>
        <w:tab/>
        <w:t>THE FERC ORDERS ARE CONSISTENT WITH THE FPA, FERC'S LONG-STANDING POLICIES AND WITHIN THE SCOPE OF ITS DISCRETION.</w:t>
      </w:r>
    </w:p>
    <w:p>
      <w:pPr>
        <w:pStyle w:val="Normal"/>
        <w:rPr>
          <w:b/>
        </w:rPr>
      </w:pPr>
      <w:r>
        <w:rPr>
          <w:b/>
        </w:rPr>
      </w:r>
    </w:p>
    <w:p>
      <w:pPr>
        <w:pStyle w:val="Heading3"/>
        <w:ind w:hanging="720" w:start="1440" w:end="0"/>
        <w:rPr>
          <w:b/>
        </w:rPr>
      </w:pPr>
      <w:bookmarkStart w:id="9" w:name="__RefHeading___Toc495768961"/>
      <w:bookmarkEnd w:id="9"/>
      <w:r>
        <w:rPr>
          <w:b/>
        </w:rPr>
        <w:t>A.</w:t>
        <w:tab/>
        <w:t>FERC'S DECISION IS ENTITLED TO DEFERENCE.</w:t>
      </w:r>
    </w:p>
    <w:p>
      <w:pPr>
        <w:pStyle w:val="Normal"/>
        <w:rPr>
          <w:b/>
        </w:rPr>
      </w:pPr>
      <w:r>
        <w:rPr>
          <w:b/>
        </w:rPr>
      </w:r>
    </w:p>
    <w:p>
      <w:pPr>
        <w:pStyle w:val="Normal"/>
        <w:spacing w:lineRule="auto" w:line="480"/>
        <w:ind w:firstLine="1440" w:end="0"/>
        <w:rPr/>
      </w:pPr>
      <w:r>
        <w:rPr/>
        <w:t>The standard of review here is well-established:</w:t>
      </w:r>
    </w:p>
    <w:p>
      <w:pPr>
        <w:pStyle w:val="Normal"/>
        <w:ind w:start="1440" w:end="720"/>
        <w:rPr/>
      </w:pPr>
      <w:r>
        <w:rPr/>
        <w:t>If Congress has explicitly left a gap for the agency to fill, there is an express delegation of authority to the agency to elucidate a specific provision of the statute by regulation.  Such legislative regulations are given controlling weight unless they are arbitrary, capricious, or manifestly contrary to the statute.</w:t>
      </w:r>
    </w:p>
    <w:p>
      <w:pPr>
        <w:pStyle w:val="Normal"/>
        <w:ind w:start="720" w:end="720"/>
        <w:rPr/>
      </w:pPr>
      <w:r>
        <w:rPr/>
      </w:r>
    </w:p>
    <w:p>
      <w:pPr>
        <w:pStyle w:val="Normal"/>
        <w:spacing w:lineRule="auto" w:line="480"/>
        <w:rPr/>
      </w:pPr>
      <w:r>
        <w:rPr>
          <w:i/>
        </w:rPr>
        <w:t>INS v. Cardoza-Fonseca</w:t>
      </w:r>
      <w:r>
        <w:rPr/>
        <w:t>, 480 U.S. 421, 445 (1986).</w:t>
      </w:r>
    </w:p>
    <w:p>
      <w:pPr>
        <w:pStyle w:val="Normal"/>
        <w:spacing w:lineRule="auto" w:line="480"/>
        <w:ind w:firstLine="1440" w:end="0"/>
        <w:rPr/>
      </w:pPr>
      <w:r>
        <w:rPr/>
        <w:t>Here, Congress explicitly left a gap for the FERC to fill:  Section 205(c) provides that "</w:t>
      </w:r>
      <w:r>
        <w:rPr>
          <w:i/>
        </w:rPr>
        <w:t>[u]nder such rules and regulations as the Commission may prescribe</w:t>
      </w:r>
      <w:r>
        <w:rPr/>
        <w:t>, every public utility shall file with the Commission . . .  schedules showing all rates . . . together with all contracts which in any manner affect or relate to such rates . . . ."  Congress further provided that "</w:t>
      </w:r>
      <w:r>
        <w:rPr>
          <w:i/>
        </w:rPr>
        <w:t>[u]nless the Commission otherwise orders</w:t>
      </w:r>
      <w:r>
        <w:rPr/>
        <w:t xml:space="preserve">, no change shall be made . . . in any such rates . . . except after sixty days' notice."  FPA Section 205(d).  Thus, FERC has broad discretion to establish and interpret regulations governing the filing and cancellation of rate schedules.  FERC's determination here that Section 35.15 does not apply to transactions at issue in this case is a further elucidation of the policy governing the filing and implementation of market-based rates.  The holding is entitled to deference so long as it is not "plainly erroneous or inconsistent with the regulation" and FERC demonstrated "a rational connection between the facts found and the choice made. . . , considered all the relevant factors, and provided an adequate explanation."  </w:t>
      </w:r>
      <w:r>
        <w:rPr>
          <w:i/>
        </w:rPr>
        <w:t>See</w:t>
      </w:r>
      <w:r>
        <w:rPr/>
        <w:t xml:space="preserve"> </w:t>
      </w:r>
      <w:r>
        <w:rPr>
          <w:i/>
        </w:rPr>
        <w:t>Thomas Jefferson University v. Shalala</w:t>
      </w:r>
      <w:r>
        <w:rPr/>
        <w:t xml:space="preserve">, 512 U.S. 504, 512 (1994) (citation omitted); </w:t>
      </w:r>
      <w:r>
        <w:rPr>
          <w:i/>
        </w:rPr>
        <w:t>Northern Municipal Distributors Group v. FERC</w:t>
      </w:r>
      <w:r>
        <w:rPr/>
        <w:t>, 165 F.3d 935, 941 (D.C. Cir. 1998) (citations omitted).</w:t>
      </w:r>
    </w:p>
    <w:p>
      <w:pPr>
        <w:pStyle w:val="Heading3"/>
        <w:ind w:hanging="720" w:start="1440" w:end="0"/>
        <w:rPr>
          <w:b/>
        </w:rPr>
      </w:pPr>
      <w:bookmarkStart w:id="10" w:name="__RefHeading___Toc495768962"/>
      <w:bookmarkEnd w:id="10"/>
      <w:r>
        <w:rPr>
          <w:b/>
        </w:rPr>
        <w:t>B.</w:t>
        <w:tab/>
        <w:t>THE ORDERS ON REVIEW INVOLVE MARKET-BASED RATE SALES FOR WHICH THE FERC APPLIES LIGHT-HANDED REGULATION DUE TO A DEMONSTRATED LACK OF MARKET POWER.</w:t>
      </w:r>
    </w:p>
    <w:p>
      <w:pPr>
        <w:pStyle w:val="Normal"/>
        <w:rPr>
          <w:b/>
        </w:rPr>
      </w:pPr>
      <w:r>
        <w:rPr>
          <w:b/>
        </w:rPr>
      </w:r>
    </w:p>
    <w:p>
      <w:pPr>
        <w:pStyle w:val="Normal"/>
        <w:spacing w:lineRule="auto" w:line="480"/>
        <w:ind w:firstLine="1440" w:end="0"/>
        <w:rPr/>
      </w:pPr>
      <w:r>
        <w:rPr/>
        <w:t>It is undisputed that all of the transactions and agreements at issue here deal with sales of power at market-based rates, not at cost-based rates.  Although PCA seeks to blur the distinction, it is crucial.  FERC has jurisdiction over sales of electric energy at wholesale in interstate commerce regardless of whether such sales are cost-based or market-based, (</w:t>
      </w:r>
      <w:r>
        <w:rPr>
          <w:i/>
        </w:rPr>
        <w:t>see</w:t>
      </w:r>
      <w:r>
        <w:rPr/>
        <w:t xml:space="preserve"> FPA §§ 201 and 205), but FERC has long regulated market-based rate sales differently than cost-based rate sales.  This distinction, as demonstrated below, is driven by the market power (or lack thereof) that different sellers possess.</w:t>
      </w:r>
    </w:p>
    <w:p>
      <w:pPr>
        <w:pStyle w:val="Normal"/>
        <w:spacing w:lineRule="auto" w:line="480"/>
        <w:ind w:firstLine="1440" w:end="0"/>
        <w:rPr/>
      </w:pPr>
      <w:r>
        <w:rPr/>
        <w:t xml:space="preserve">Section 205(c) of the FPA requires a "public utility" to file "schedules showing all rates" with the FERC for sales of electric power at wholesale.  FERC's regulations at 18 C.F.R. §§ 35.12 and 35.13 require cost-based sellers of power to file extensive supporting data to justify proposed rates.  The FERC scrutinizes this supporting data to determine whether the proposed rates are indeed designed to recover the seller's costs and are thus "just and reasonable" rates.  The FPA authorizes the FERC to convene a hearing, if necessary, for the utility to establish that its proposed rates reflect its costs.  </w:t>
      </w:r>
      <w:r>
        <w:rPr>
          <w:i/>
        </w:rPr>
        <w:t xml:space="preserve">See </w:t>
      </w:r>
      <w:r>
        <w:rPr/>
        <w:t xml:space="preserve">FPA §§ 205(d), 206.  If the FERC determines that the rates are cost-justified, the seller is authorized to sell power to its customers at this filed-rate.  Because, historically, ratepayers have had access to no other supplier of power other than the franchised utility, the "filed-rate doctrine" protects customers from an abuse of market power by requiring the utility to charge no other rate than this filed and accepted rate.  </w:t>
      </w:r>
      <w:r>
        <w:rPr>
          <w:i/>
        </w:rPr>
        <w:t>See Transmission Access Policy Study Group, et al. v. FERC</w:t>
      </w:r>
      <w:r>
        <w:rPr/>
        <w:t>, 2000 U.S. App. LEXIS 15362 at *90-100; (D.C. Cir. June 30, 2000) ("</w:t>
      </w:r>
      <w:r>
        <w:rPr>
          <w:i/>
        </w:rPr>
        <w:t>Transmission Access</w:t>
      </w:r>
      <w:r>
        <w:rPr/>
        <w:t xml:space="preserve">"); </w:t>
      </w:r>
      <w:r>
        <w:rPr>
          <w:i/>
        </w:rPr>
        <w:t>see also</w:t>
      </w:r>
      <w:r>
        <w:rPr/>
        <w:t xml:space="preserve"> R. Item Nos. 94 at 12-13; 41 at 4; 142 at 6.  </w:t>
      </w:r>
    </w:p>
    <w:p>
      <w:pPr>
        <w:pStyle w:val="Normal"/>
        <w:spacing w:lineRule="auto" w:line="480"/>
        <w:ind w:firstLine="1440" w:end="0"/>
        <w:rPr/>
      </w:pPr>
      <w:r>
        <w:rPr/>
        <w:t xml:space="preserve">In order to change the cost-based rate on file with the FERC, the seller of power must again file supporting data with the FERC.  </w:t>
      </w:r>
      <w:r>
        <w:rPr>
          <w:i/>
        </w:rPr>
        <w:t>See</w:t>
      </w:r>
      <w:r>
        <w:rPr/>
        <w:t xml:space="preserve"> Section 205(d) of the FPA; 18 C.F.R. § 35.13(a)(1).  In order to cancel service to customers under its filed rate schedule or tariff, the cost-based seller is required to file a 60-day advance notice of cancellation with the FERC.  </w:t>
      </w:r>
      <w:r>
        <w:rPr>
          <w:i/>
        </w:rPr>
        <w:t>See</w:t>
      </w:r>
      <w:r>
        <w:rPr/>
        <w:t xml:space="preserve"> Section 35.15 of the FERC's rules.  FERC has made clear that, as to cost-based sellers, this regulation is necessary to "protect wholesale purchasers–and, by extension, ultimate consumers–from losing service unjustly," </w:t>
      </w:r>
      <w:r>
        <w:rPr>
          <w:i/>
        </w:rPr>
        <w:t>Portland Elec. Co.</w:t>
      </w:r>
      <w:r>
        <w:rPr/>
        <w:t>, 77 FERC ¶ 61,171 at 61,639 (1996) ("</w:t>
      </w:r>
      <w:r>
        <w:rPr>
          <w:i/>
        </w:rPr>
        <w:t>Portland</w:t>
      </w:r>
      <w:r>
        <w:rPr/>
        <w:t xml:space="preserve">") (citation omitted).  [Cost-based sellers are also subject to a host of information and reporting requirements prescribed by the FPA and FERC's rules.  </w:t>
      </w:r>
      <w:r>
        <w:rPr>
          <w:i/>
        </w:rPr>
        <w:t>See, e.g.</w:t>
      </w:r>
      <w:r>
        <w:rPr/>
        <w:t xml:space="preserve">, FPA § 204 and 18 C.F.R. Part 34 (approval to issue debt); FPA § 205 and 18 C.F.R. Part 35 (rate schedule filing requirements); FPA § 301 and 18 C.F.R. Part 41 (maintain accounts and records); FPA § 305 and 18 C.F.R. Parts 45 and 46 (interlocking directorates); 18 C.F.R. § 141.1 (annual requirement to file FERC Form No. 1).]  These rules serve one overarching purpose:  to ensure that the utility, by virtue of its historical monopoly position, does not exercise unbridled market power.  </w:t>
      </w:r>
    </w:p>
    <w:p>
      <w:pPr>
        <w:pStyle w:val="Normal"/>
        <w:spacing w:lineRule="auto" w:line="480"/>
        <w:ind w:firstLine="1440" w:end="0"/>
        <w:rPr/>
      </w:pPr>
      <w:r>
        <w:rPr/>
        <w:t xml:space="preserve">In contrast to this pervasive cost-based regulation, FERC's treatment of entities that sell power at market-based rates is entirely different.  Because such entities sell electric power for resale in interstate commerce, they, like cost-based sellers of power, are "public utilities" within the meaning of Section 201(e) of the FPA.  Thus, they must file a "schedule" with the FERC as required in Section 205 of the FPA.  However, unlike the detailed required to support a cost-justified rate schedule, FERC does not require the detailed rates, terms and conditions that will govern such sales to be specified in the filed market-based tariff. [ADD SUPPORT]  FERC merely requires a rate schedule (a "market-based tariff") frequently as short as a single page which states that sales of power will be at market-based rates, </w:t>
      </w:r>
      <w:r>
        <w:rPr>
          <w:i/>
        </w:rPr>
        <w:t>i.e</w:t>
      </w:r>
      <w:r>
        <w:rPr/>
        <w:t>., rates to be negotiated by the seller and buyer of power, identifies the applicability of the rate schedule, including restrictions, if any, as to who may be served and the type of products that the seller intends to sell.  [SUPPORT].</w:t>
      </w:r>
    </w:p>
    <w:p>
      <w:pPr>
        <w:pStyle w:val="Normal"/>
        <w:spacing w:lineRule="auto" w:line="480"/>
        <w:ind w:firstLine="1440" w:end="0"/>
        <w:rPr>
          <w:i/>
          <w:i/>
        </w:rPr>
      </w:pPr>
      <w:r>
        <w:rPr/>
        <w:t xml:space="preserve">If an entity demonstrates to the FERC that it and its affiliates do not possess, or have adequately mitigated, market power in generation and transmission and cannot erect barriers to entry in relevant sales markets, FERC will authorize the entity to sell power at market-based rates under its filed market-based tariff.  </w:t>
      </w:r>
      <w:r>
        <w:rPr>
          <w:i/>
        </w:rPr>
        <w:t>See Louisiana Energy and Power Auth. v. FERC</w:t>
      </w:r>
      <w:r>
        <w:rPr/>
        <w:t xml:space="preserve">, 141 F.3d 364, 365 (1998) ("Where there is a competitive market, the [FERC] may rely on market rates in lieu of cost-of-service regulation to ensure the rates satisfy [the] "just and reasonable" requirement.") (citation omitted).  Further, because of its demonstrated lack of market power, FERC routinely grants "light handed regulation" to power marketers, waiving or providing pre-approval with regard to most of the information and reporting requirements listed above that apply to traditional public utilities that sell power at cost-based rates.  </w:t>
      </w:r>
      <w:r>
        <w:rPr>
          <w:i/>
        </w:rPr>
        <w:t>See Enron Power Mktg., Inc.</w:t>
      </w:r>
      <w:r>
        <w:rPr/>
        <w:t>, 65 FERC ¶ 61,305 at 62,407 (1993); R. Item Nos. 94 at 2 &amp; n.3; 50 at 2.</w:t>
      </w:r>
    </w:p>
    <w:p>
      <w:pPr>
        <w:pStyle w:val="Normal"/>
        <w:spacing w:lineRule="auto" w:line="480"/>
        <w:ind w:firstLine="1440" w:end="0"/>
        <w:rPr/>
      </w:pPr>
      <w:r>
        <w:rPr/>
        <w:t>Once it has obtained authorization to sell power at market-based rates, a power marketer typically executes an "umbrella service agreement" with an individual purchaser that contains the general terms and conditions that will govern future short-term sales and purchases, if any, between the two parties (such as billing, default, notices, etc.).</w:t>
      </w:r>
      <w:r>
        <w:rPr>
          <w:rStyle w:val="FootnoteCharacters"/>
          <w:rStyle w:val="FootnoteReference"/>
        </w:rPr>
        <w:footnoteReference w:id="4"/>
      </w:r>
      <w:r>
        <w:rPr/>
        <w:t xml:space="preserve">  However, the umbrella service agreement does not list the rate or specifications of the sale, such as quantity, delivery point, term, etc.  Rather, as needs arise, the parties agree to terms for individual, specific transactions in a "transaction agreement" or "confirmation agreement," which is sometimes entered into after the transaction has been agreed to orally and sometimes, if the sale is short term, after the sale has occurred.  The parties may execute a host of transaction or confirmation agreements for sales during </w:t>
      </w:r>
      <w:r>
        <w:br w:type="page"/>
      </w:r>
    </w:p>
    <w:p>
      <w:pPr>
        <w:pStyle w:val="Normal"/>
        <w:spacing w:lineRule="auto" w:line="480"/>
        <w:rPr/>
      </w:pPr>
      <w:r>
        <w:rPr/>
        <w:t>different time periods, in different markets and at different negotiated, market-based rates.  As can be seen, the key, here, to both parties is the flexibility to structure the sale so as to meet the rapidly changing needs of both parties in the market.</w:t>
      </w:r>
    </w:p>
    <w:p>
      <w:pPr>
        <w:pStyle w:val="Normal"/>
        <w:keepNext w:val="true"/>
        <w:keepLines/>
        <w:spacing w:lineRule="auto" w:line="480"/>
        <w:rPr/>
      </w:pPr>
      <w:r>
        <w:rPr/>
        <w:tab/>
        <w:tab/>
        <w:t xml:space="preserve">Under FERC's established "light-handed" filing requirements, power marketers are not required to file "umbrella service agreements" or "transaction agreements."  Instead, power marketers without generation assets (like Intervenors) must only file after-the-fact "quarterly transaction reports" to keep the FERC apprised of specific sales.  </w:t>
      </w:r>
      <w:r>
        <w:rPr>
          <w:i/>
        </w:rPr>
        <w:t>See SCSI</w:t>
      </w:r>
      <w:r>
        <w:rPr/>
        <w:t xml:space="preserve">; </w:t>
      </w:r>
      <w:r>
        <w:rPr>
          <w:i/>
        </w:rPr>
        <w:t>Southern Company</w:t>
      </w:r>
      <w:r>
        <w:rPr/>
        <w:t>, 86 FERC at 61,458 n.32.  These filing requirements were established in as early as 1989 and are no longer subject review.</w:t>
      </w:r>
      <w:r>
        <w:rPr>
          <w:rStyle w:val="FootnoteCharacters"/>
          <w:rStyle w:val="FootnoteReference"/>
        </w:rPr>
        <w:footnoteReference w:id="5"/>
      </w:r>
      <w:r>
        <w:rPr/>
        <w:t xml:space="preserve">  In each of the orders granting market-based rates to the Intervenors FERC has held that they need not file transaction documents, or (as applicable here), the umbrella service agreements under which PCA was served. </w:t>
      </w:r>
    </w:p>
    <w:p>
      <w:pPr>
        <w:pStyle w:val="Normal"/>
        <w:spacing w:lineRule="auto" w:line="480"/>
        <w:ind w:firstLine="1440" w:end="0"/>
        <w:rPr/>
      </w:pPr>
      <w:r>
        <w:rPr/>
        <w:t>FERC has stated that these light-handed filing requirements provide the flexibility needed to foster competition in short-term electric power markets.</w:t>
      </w:r>
    </w:p>
    <w:p>
      <w:pPr>
        <w:pStyle w:val="Normal"/>
        <w:ind w:start="1440" w:end="720"/>
        <w:rPr>
          <w:lang w:eastAsia="en-US"/>
        </w:rPr>
      </w:pPr>
      <w:r>
        <w:rPr>
          <w:lang w:eastAsia="en-US"/>
        </w:rPr>
        <w:tab/>
        <w:t>The current general practice of sellers in the industry, both traditional public utilities and power marketers, is to engage in short-term transactions that frequently are not the subject of separate written agreements.  To require traditional utilities and power marketers to prepare, negotiate and file a written agreement for every short-term transaction would seriously diminish the flexibility and efficiency of the short-term market and burden the resources of both the reporting parties and the Commission.  We continue to believe, therefore, that our policy of allowing all short-term market-based rate transactions to be reported in quarterly summaries correctly balances the goal of an efficient and competitive marketplace with the Commission’s responsibility to ensure that such transactions comply with the requirements of the Federal Power Act.</w:t>
      </w:r>
    </w:p>
    <w:p>
      <w:pPr>
        <w:pStyle w:val="Normal"/>
        <w:ind w:start="720" w:end="720"/>
        <w:rPr>
          <w:lang w:eastAsia="en-US"/>
        </w:rPr>
      </w:pPr>
      <w:r>
        <w:rPr>
          <w:lang w:eastAsia="en-US"/>
        </w:rPr>
      </w:r>
    </w:p>
    <w:p>
      <w:pPr>
        <w:pStyle w:val="Normal"/>
        <w:spacing w:lineRule="auto" w:line="480"/>
        <w:ind w:end="720"/>
        <w:rPr/>
      </w:pPr>
      <w:r>
        <w:rPr>
          <w:i/>
        </w:rPr>
        <w:t>See Southern Co. Servs., Inc.</w:t>
      </w:r>
      <w:r>
        <w:rPr/>
        <w:t xml:space="preserve">, 87 FERC ¶ 61,214 at 61,848 (1999) (footnote omitted), </w:t>
      </w:r>
      <w:r>
        <w:rPr>
          <w:i/>
        </w:rPr>
        <w:t>reh'g pending</w:t>
      </w:r>
      <w:r>
        <w:rPr/>
        <w:t xml:space="preserve"> ("</w:t>
      </w:r>
      <w:r>
        <w:rPr>
          <w:i/>
        </w:rPr>
        <w:t>Southern Company Services</w:t>
      </w:r>
      <w:r>
        <w:rPr/>
        <w:t>").</w:t>
      </w:r>
    </w:p>
    <w:p>
      <w:pPr>
        <w:pStyle w:val="Normal"/>
        <w:spacing w:lineRule="auto" w:line="480"/>
        <w:ind w:firstLine="1440" w:end="0"/>
        <w:rPr>
          <w:lang w:eastAsia="en-US"/>
        </w:rPr>
      </w:pPr>
      <w:r>
        <w:rPr/>
        <w:t xml:space="preserve">FERC has made clear that the reason it can provide this light-handed regulation is because the seller does not possess market power and sales are "discretionary," </w:t>
      </w:r>
      <w:r>
        <w:rPr>
          <w:i/>
        </w:rPr>
        <w:t>i.e</w:t>
      </w:r>
      <w:r>
        <w:rPr/>
        <w:t xml:space="preserve">., "neither party is obligated under the terms of their rate schedules on file to sell or purchase power according to any particular, set schedule.  Rather, they choose to do so from time to time as the transaction economics make it worthwhile to do so."  84 FERC at 61,986 n.3.  This contrasts to the captive customer that does not have supply options and must purchase power from the traditional franchised public utility. </w:t>
      </w:r>
    </w:p>
    <w:p>
      <w:pPr>
        <w:pStyle w:val="Normal"/>
        <w:spacing w:lineRule="auto" w:line="480"/>
        <w:ind w:firstLine="1440" w:end="0"/>
        <w:rPr/>
      </w:pPr>
      <w:r>
        <w:rPr/>
        <w:t xml:space="preserve">This Court recently recognized the emergence of the competitive electric power marketplace in affirming FERC's landmark Order No. 888 which prescribed rules for the non-discriminatory provision of transmission service by traditional franchised public utilities to competitors.  </w:t>
      </w:r>
      <w:r>
        <w:rPr>
          <w:i/>
        </w:rPr>
        <w:t>See Transmission Access</w:t>
      </w:r>
      <w:r>
        <w:rPr/>
        <w:t xml:space="preserve"> at ____.  FERC's determination in the FERC Orders that Section 35.15 is inapplicable to short-term market-based transactions is consonant with its policy of providing flexibility to develop a robust and competitive electric power marketplace.</w:t>
      </w:r>
    </w:p>
    <w:p>
      <w:pPr>
        <w:pStyle w:val="Normal"/>
        <w:spacing w:lineRule="auto" w:line="480"/>
        <w:ind w:firstLine="1440" w:end="0"/>
        <w:rPr/>
      </w:pPr>
      <w:r>
        <w:rPr/>
        <w:t>The short-term competitive marketplace is a fast-paced environment.  Market prices may change drastically in a single hour from fluctuations in supply (</w:t>
      </w:r>
      <w:r>
        <w:rPr>
          <w:i/>
        </w:rPr>
        <w:t>e.g.</w:t>
      </w:r>
      <w:r>
        <w:rPr/>
        <w:t xml:space="preserve">, due an unscheduled outage of a large generator) or demand (sudden changes in weather in the region or even neighboring regions).  In any given day, a myriad of hourly, daily, weekly and monthly transactions are consummated--many of which occur pursuant to an oral agreement.  </w:t>
      </w:r>
      <w:r>
        <w:rPr>
          <w:i/>
        </w:rPr>
        <w:t>See Southern Company Services</w:t>
      </w:r>
      <w:r>
        <w:rPr/>
        <w:t>, 87 FERC at 61,847 ("Southern asserted, as we agreed, that short-term transactions should be treated differently, because they frequently are not the subject of separate written agreements and may be negotiated orally and documented only by log entries.").  Participants might agree today to a power transaction that will take place three months from now, or participants might agree to a transaction for the next hour to be completed in that hour.  The hallmark of this robust, competitive electric power marketplace, is flexibility to determine the term, price, product (</w:t>
      </w:r>
      <w:r>
        <w:rPr>
          <w:i/>
        </w:rPr>
        <w:t>e.g.</w:t>
      </w:r>
      <w:r>
        <w:rPr/>
        <w:t>, energy, capacity, ancillary services) and duration of the sales that maximize the benefit to both buyer and seller.  Sales occur based on the forecast of market prices (which, in turn, are based on forecasts of supply and demand, transmission availability and similar conditions) of each party over the agreed upon term.  If the parties cannot freely agree on key terms because of FERC regulation, the flexibility and efficiencies of the market will necessarily be constrained.  As Portland General pointed out to FERC:  "The right to terminate is an essential provision of the voluntary contract between power marketers, and its enforcement is necessary to answer each party receiving the benefit and burden of its bargain.  By not permitting parties to receive both the benefit and burden of their duly bargained for contractual obligations, the Commission undermines its commitment to facilitate market competition."  R. Item No. 142 at 7.</w:t>
      </w:r>
    </w:p>
    <w:p>
      <w:pPr>
        <w:pStyle w:val="Normal"/>
        <w:spacing w:lineRule="auto" w:line="480"/>
        <w:ind w:firstLine="1440" w:end="0"/>
        <w:rPr/>
      </w:pPr>
      <w:r>
        <w:rPr/>
        <w:t xml:space="preserve">The duration of a transaction is key to both parties.  If FERC's regulations artificially change the term, the ability of both parties to negotiate an agreement that accomplishes their business objectives is impaired in a crucial respect.  Sellers faced with this risk may change their price (to reflect higher risk) or refuse to transact with certain parties, such as those with weaker credit.  Inevitably, "requiring prior notice would severely inhibit the flexibility of power marketers, and ultimately charge consumers."  R. Item No. 94 at 16.  In the FERC Orders, FERC wisely refused to permit PCA's self serving request to bind sellers to transactions that PCA could not perform because of the significant adverse impact such a policy would have on the functioning of the market.  In short, if the filing requirements that apply to cost-based sales applied in this competitive marketplace, a significant portion of the short-term market would likely come to a grinding halt. </w:t>
      </w:r>
    </w:p>
    <w:p>
      <w:pPr>
        <w:pStyle w:val="Normal"/>
        <w:spacing w:lineRule="auto" w:line="480"/>
        <w:ind w:firstLine="1440" w:end="0"/>
        <w:rPr/>
      </w:pPr>
      <w:r>
        <w:rPr/>
        <w:t>Section 35.15 requires 60 days advance notice to cancel service without regard to the termination provisions in the event of breach to which the parties have agreed.  If a purchaser agreed to, but cannot, provide adequate assurance to the seller that it can pay for sales of power under a transaction agreement, the seller needs the flexibility to cancel transactions with that entity.  If Section 35.15 applied, the seller would be required to continue to sell power to that entity for at least 60 more days until FERC approves its request to cancel service to that entity even when the purchaser has previously agreed to early termination.  Thus, although the seller has been found not to have market power, the regulation would serve to skew the bargaining power of the seller and buyer by requiring the seller to be bound to the negotiated agreement until FERC acted, but not the buyer.  Moreover, sellers would lose the opportunity to obtain a waiver of Section 35.15 because while the waiver request is pending at FERC (with interested parties provided an opportunity to comment), the seller would still be required to sell power until FERC decided the matter even if the sellers asks for an effective date as of the day of filing.  Several intervenors presented evidence to FERC in a timely manner regarding the incompatibility of applying Section 35.15 to short-term, unfiled transactions and the possibility of increased risk.</w:t>
      </w:r>
      <w:r>
        <w:rPr>
          <w:rStyle w:val="FootnoteCharacters"/>
          <w:rStyle w:val="FootnoteReference"/>
        </w:rPr>
        <w:footnoteReference w:id="6"/>
      </w:r>
      <w:r>
        <w:rPr/>
        <w:t xml:space="preserve">  Several entities also noted that given the volume of market-based trading, if Section 35.15 applied to short-term transactions, the FERC would be flooded with unnecessary paperwork</w:t>
      </w:r>
      <w:r>
        <w:rPr>
          <w:b/>
        </w:rPr>
        <w:t>.</w:t>
      </w:r>
      <w:r>
        <w:rPr/>
        <w:t xml:space="preserve">  </w:t>
      </w:r>
      <w:r>
        <w:rPr>
          <w:i/>
        </w:rPr>
        <w:t>See</w:t>
      </w:r>
      <w:r>
        <w:rPr/>
        <w:t xml:space="preserve"> R. Item Nos. 19 at 4; 50 at 3; 9 at 24-26.  FERC considered this evidence in reaching its determination that application of Section 35.15 in the context of market-based transactions would inhibit the operation of the bulk power markets:</w:t>
      </w:r>
    </w:p>
    <w:p>
      <w:pPr>
        <w:pStyle w:val="Normal"/>
        <w:ind w:start="1440" w:end="720"/>
        <w:rPr>
          <w:lang w:eastAsia="en-US"/>
        </w:rPr>
      </w:pPr>
      <w:r>
        <w:rPr>
          <w:lang w:eastAsia="en-US"/>
        </w:rPr>
        <w:t>[T]he sales at issue are short-term power sales made at the discretion of the parties, with neither party obligated under the terms of any rate schedule on file (whether umbrella service agreement or tariff) to sell or purchase power on any particular terms. Thus, by the very nature of the transactions, the parties need the flexibility to manage their own affairs and make quick decisions based on their own economic situations in determining whether to engage in a particular transaction and at what terms and conditions.</w:t>
      </w:r>
    </w:p>
    <w:p>
      <w:pPr>
        <w:pStyle w:val="Normal"/>
        <w:ind w:start="720" w:end="720"/>
        <w:rPr>
          <w:lang w:eastAsia="en-US"/>
        </w:rPr>
      </w:pPr>
      <w:r>
        <w:rPr>
          <w:lang w:eastAsia="en-US"/>
        </w:rPr>
      </w:r>
    </w:p>
    <w:p>
      <w:pPr>
        <w:pStyle w:val="Normal"/>
        <w:spacing w:lineRule="auto" w:line="480"/>
        <w:rPr/>
      </w:pPr>
      <w:r>
        <w:rPr/>
        <w:t>86 FERC at 61,458.</w:t>
      </w:r>
    </w:p>
    <w:p>
      <w:pPr>
        <w:pStyle w:val="Normal"/>
        <w:spacing w:lineRule="auto" w:line="480"/>
        <w:rPr/>
      </w:pPr>
      <w:r>
        <w:rPr/>
        <w:tab/>
        <w:tab/>
        <w:t>FERC's decision, thus, is consistent with its existing market-based sales policies and procedures, and consistent with the practical operation of the competitive electric power market.</w:t>
      </w:r>
    </w:p>
    <w:p>
      <w:pPr>
        <w:pStyle w:val="Heading3"/>
        <w:ind w:hanging="720" w:start="1440" w:end="0"/>
        <w:rPr/>
      </w:pPr>
      <w:bookmarkStart w:id="11" w:name="__RefHeading___Toc495768963"/>
      <w:bookmarkEnd w:id="11"/>
      <w:r>
        <w:rPr>
          <w:b/>
        </w:rPr>
        <w:t>C.</w:t>
        <w:tab/>
      </w:r>
      <w:r>
        <w:rPr>
          <w:b/>
          <w:i/>
        </w:rPr>
        <w:t xml:space="preserve">PORTLAND </w:t>
      </w:r>
      <w:r>
        <w:rPr>
          <w:b/>
        </w:rPr>
        <w:t>IS DISTINGUISHABLE AND INAPPLICABLE TO THE CASES AT ISSUE HERE.</w:t>
      </w:r>
    </w:p>
    <w:p>
      <w:pPr>
        <w:pStyle w:val="Normal"/>
        <w:rPr>
          <w:b/>
        </w:rPr>
      </w:pPr>
      <w:r>
        <w:rPr>
          <w:b/>
        </w:rPr>
      </w:r>
    </w:p>
    <w:p>
      <w:pPr>
        <w:pStyle w:val="Normal"/>
        <w:spacing w:lineRule="auto" w:line="480"/>
        <w:ind w:firstLine="1440" w:end="0"/>
        <w:rPr/>
      </w:pPr>
      <w:r>
        <w:rPr/>
        <w:t xml:space="preserve">In </w:t>
      </w:r>
      <w:r>
        <w:rPr>
          <w:i/>
        </w:rPr>
        <w:t>Portland</w:t>
      </w:r>
      <w:r>
        <w:rPr/>
        <w:t xml:space="preserve">, a utility, which owned generating assets, filed a </w:t>
      </w:r>
      <w:r>
        <w:rPr>
          <w:u w:val="single"/>
        </w:rPr>
        <w:t>cost-based</w:t>
      </w:r>
      <w:r>
        <w:rPr/>
        <w:t xml:space="preserve"> power sales tariff.  The utility also voluntarily filed a service agreement (</w:t>
      </w:r>
      <w:r>
        <w:rPr>
          <w:i/>
        </w:rPr>
        <w:t>i.e</w:t>
      </w:r>
      <w:r>
        <w:rPr/>
        <w:t>., umbrella service agreement) that would serve as the model for all service agreements with the utility's customers under the tariff.  FERC denied the utility's request for waiver of Section 35.15 to permit the utility to terminate service upon customer default without 60 days' notice at FERC, explaining:</w:t>
      </w:r>
    </w:p>
    <w:p>
      <w:pPr>
        <w:pStyle w:val="Normal"/>
        <w:ind w:start="1440" w:end="720"/>
        <w:rPr/>
      </w:pPr>
      <w:r>
        <w:rPr/>
        <w:t>The parties claim that PGE would not be terminating a rate schedule on file, as the regulations provide, but merely a transaction under an umbrella power sales tariff.  PGE filed the model service agreement with the umbrella power sales tariff, however, and termination of a transaction would represent a change in a filed rate schedule.</w:t>
      </w:r>
    </w:p>
    <w:p>
      <w:pPr>
        <w:pStyle w:val="Normal"/>
        <w:ind w:start="720" w:end="720"/>
        <w:rPr>
          <w:i/>
          <w:i/>
        </w:rPr>
      </w:pPr>
      <w:r>
        <w:rPr>
          <w:i/>
        </w:rPr>
      </w:r>
    </w:p>
    <w:p>
      <w:pPr>
        <w:pStyle w:val="Normal"/>
        <w:spacing w:lineRule="auto" w:line="480"/>
        <w:rPr/>
      </w:pPr>
      <w:r>
        <w:rPr>
          <w:i/>
        </w:rPr>
        <w:t>Portland</w:t>
      </w:r>
      <w:r>
        <w:rPr/>
        <w:t>, 77 FERC at 61,640 (citations omitted).</w:t>
      </w:r>
    </w:p>
    <w:p>
      <w:pPr>
        <w:pStyle w:val="Normal"/>
        <w:spacing w:lineRule="auto" w:line="480"/>
        <w:ind w:firstLine="1440" w:end="0"/>
        <w:rPr/>
      </w:pPr>
      <w:r>
        <w:rPr>
          <w:i/>
        </w:rPr>
        <w:t>Portland</w:t>
      </w:r>
      <w:r>
        <w:rPr/>
        <w:t xml:space="preserve"> stood for the proposition that when a generation-owning utility already has on file with the FERC the underlying umbrella service agreement pursuant to which cost-based sales transactions will occur, the selling utility must comply with Section 35.15 in order to cancel those transactions.  The situation here, with regard to the facts as applied to PCA, is far different.  First, without exception, all the sales at issue here were market-based.  </w:t>
      </w:r>
      <w:r>
        <w:rPr>
          <w:i/>
        </w:rPr>
        <w:t xml:space="preserve">Portland </w:t>
      </w:r>
      <w:r>
        <w:rPr/>
        <w:t xml:space="preserve">involved cost-based sales.  Second, even if </w:t>
      </w:r>
      <w:r>
        <w:rPr>
          <w:i/>
        </w:rPr>
        <w:t xml:space="preserve">Portland </w:t>
      </w:r>
      <w:r>
        <w:rPr/>
        <w:t xml:space="preserve">were applied to market-based sales, the premise in </w:t>
      </w:r>
      <w:r>
        <w:rPr>
          <w:i/>
        </w:rPr>
        <w:t xml:space="preserve">Portland </w:t>
      </w:r>
      <w:r>
        <w:rPr/>
        <w:t xml:space="preserve">upon which the FERC determined that Section 35.15 applied to the cancellation of transactions is absent here, namely:  the transactions sought to be canceled in </w:t>
      </w:r>
      <w:r>
        <w:rPr>
          <w:i/>
        </w:rPr>
        <w:t xml:space="preserve">Portland </w:t>
      </w:r>
      <w:r>
        <w:rPr/>
        <w:t xml:space="preserve">were entered into pursuant to an umbrella service agreement on file with the FERC.  </w:t>
      </w:r>
    </w:p>
    <w:p>
      <w:pPr>
        <w:pStyle w:val="Normal"/>
        <w:spacing w:lineRule="auto" w:line="480"/>
        <w:ind w:firstLine="1440" w:end="0"/>
        <w:rPr/>
      </w:pPr>
      <w:r>
        <w:rPr/>
        <w:t xml:space="preserve">PCA identifies 17 parties on pages 20-23 of its Brief (which includes each of the Intervenors) and claims that the party either canceled the umbrella service agreement with PCA or canceled transactions with PCA which is the "functional equivalent" of canceling the umbrella service agreement.  PCA fails to state, or even to demonstrate, however, that any of these 17 umbrella service agreements were on file at the time with the FERC, as was the case in </w:t>
      </w:r>
      <w:r>
        <w:rPr>
          <w:i/>
        </w:rPr>
        <w:t>Portland</w:t>
      </w:r>
      <w:r>
        <w:rPr/>
        <w:t>.  Indeed, PCA could not make this argument because, without exception, not one of these umbrella service agreements was on file with the FERC.</w:t>
      </w:r>
      <w:r>
        <w:rPr>
          <w:rStyle w:val="FootnoteCharacters"/>
          <w:rStyle w:val="FootnoteReference"/>
        </w:rPr>
        <w:footnoteReference w:id="7"/>
      </w:r>
      <w:r>
        <w:rPr/>
        <w:t xml:space="preserve">  </w:t>
      </w:r>
      <w:r>
        <w:rPr>
          <w:i/>
        </w:rPr>
        <w:t>See</w:t>
      </w:r>
      <w:r>
        <w:rPr/>
        <w:t xml:space="preserve"> FERC Brief 51-53.  Moreover, without exception, all 17 entities are power marketers that, consistent with long-standing FERC policy, are not required to file, and did not at the time have on file, the transactions that were canceled.</w:t>
      </w:r>
    </w:p>
    <w:p>
      <w:pPr>
        <w:pStyle w:val="Normal"/>
        <w:spacing w:lineRule="auto" w:line="480"/>
        <w:ind w:firstLine="1440" w:end="0"/>
        <w:rPr/>
      </w:pPr>
      <w:r>
        <w:rPr/>
        <w:t xml:space="preserve">As FERC points out, </w:t>
      </w:r>
      <w:r>
        <w:rPr>
          <w:i/>
        </w:rPr>
        <w:t>Portland</w:t>
      </w:r>
      <w:r>
        <w:rPr/>
        <w:t xml:space="preserve"> appears to be the only order addressing termination of a short-term power sales agreement since Order No. 888 (FERC Br. at 7).  However, </w:t>
      </w:r>
      <w:r>
        <w:rPr>
          <w:i/>
        </w:rPr>
        <w:t xml:space="preserve">Portland </w:t>
      </w:r>
      <w:r>
        <w:rPr/>
        <w:t xml:space="preserve">applies to a different set of facts than were before the FERC in these proceedings on review.  In the FERC Orders, FERC noted that </w:t>
      </w:r>
      <w:r>
        <w:rPr>
          <w:i/>
        </w:rPr>
        <w:t>Portland</w:t>
      </w:r>
      <w:r>
        <w:rPr/>
        <w:t xml:space="preserve"> addressed "a cost-based, umbrella power sales tariff and an associated agreement filed by a public utility." 86 FERC at 61,458.  It determined that in light of its holding in the initial PCA order to "reconsider and reverse any contrary language in </w:t>
      </w:r>
      <w:r>
        <w:rPr>
          <w:i/>
        </w:rPr>
        <w:t xml:space="preserve">Portland </w:t>
      </w:r>
      <w:r>
        <w:rPr/>
        <w:t xml:space="preserve">indicating that Section 35.15 might apply to short-term discretionary power sales that are not on file."  FERC did not need to, and did not, reverse portions of </w:t>
      </w:r>
      <w:r>
        <w:rPr>
          <w:i/>
        </w:rPr>
        <w:t xml:space="preserve">Portland </w:t>
      </w:r>
      <w:r>
        <w:rPr/>
        <w:t>in order to decide PCA's case, but rather to reconcile its treatment of unfiled transactions under cost-based, filed service agreements (</w:t>
      </w:r>
      <w:r>
        <w:rPr>
          <w:i/>
        </w:rPr>
        <w:t>Portland</w:t>
      </w:r>
      <w:r>
        <w:rPr/>
        <w:t>) with its finding that is regulations did not require filing notices of cancellation for unfiled transactions entered in under market-based unfiled service agreements (PCA).  FERC notes that this revision was appropriately based on a more careful analysis or the regulation's wording as well as the necessity of accommodating the "rapidly increasing volume of short-term power sales transactions."  FERC Br. at 29, citing 86 FERC at 61,458.</w:t>
      </w:r>
    </w:p>
    <w:p>
      <w:pPr>
        <w:pStyle w:val="Normal"/>
        <w:spacing w:lineRule="auto" w:line="480"/>
        <w:ind w:firstLine="1440" w:end="0"/>
        <w:rPr/>
      </w:pPr>
      <w:r>
        <w:rPr/>
        <w:t xml:space="preserve">Thus, FERC's holding in the FERC Orders was not contrary to </w:t>
      </w:r>
      <w:r>
        <w:rPr>
          <w:i/>
        </w:rPr>
        <w:t xml:space="preserve">Portland – </w:t>
      </w:r>
      <w:r>
        <w:rPr/>
        <w:t xml:space="preserve">it addressed different facts – but it was the impetus for FERC to revise </w:t>
      </w:r>
      <w:r>
        <w:rPr>
          <w:i/>
        </w:rPr>
        <w:t>Portland</w:t>
      </w:r>
      <w:r>
        <w:rPr/>
        <w:t xml:space="preserve"> as it applied to cost-based sellers to accord with the logical, literal, reading of its regulations as provided in the FERC Orders.  PCA has not and cannot show that the modification of </w:t>
      </w:r>
      <w:r>
        <w:rPr>
          <w:i/>
        </w:rPr>
        <w:t>Portland</w:t>
      </w:r>
      <w:r>
        <w:rPr/>
        <w:t xml:space="preserve"> in the FERC Order has any applicability to its facts.  Thus, it has no standing to challenge this aspect of the FERC Orders.  </w:t>
      </w:r>
      <w:r>
        <w:rPr>
          <w:b/>
        </w:rPr>
        <w:t>[Cite]</w:t>
      </w:r>
    </w:p>
    <w:p>
      <w:pPr>
        <w:pStyle w:val="Heading3"/>
        <w:ind w:hanging="0" w:start="0"/>
        <w:rPr/>
      </w:pPr>
      <w:r>
        <w:rPr/>
        <w:tab/>
      </w:r>
      <w:bookmarkStart w:id="12" w:name="__RefHeading___Toc495768964"/>
      <w:r>
        <w:rPr>
          <w:b/>
        </w:rPr>
        <w:t>D.</w:t>
        <w:tab/>
        <w:t>FERC ADEQUATELY EXPLAINED ITS RATIONALE.</w:t>
      </w:r>
      <w:bookmarkEnd w:id="12"/>
    </w:p>
    <w:p>
      <w:pPr>
        <w:pStyle w:val="Normal"/>
        <w:rPr>
          <w:b/>
        </w:rPr>
      </w:pPr>
      <w:r>
        <w:rPr>
          <w:b/>
        </w:rPr>
      </w:r>
    </w:p>
    <w:p>
      <w:pPr>
        <w:pStyle w:val="Normal"/>
        <w:spacing w:lineRule="auto" w:line="480"/>
        <w:ind w:end="720"/>
        <w:rPr/>
      </w:pPr>
      <w:r>
        <w:rPr>
          <w:lang w:eastAsia="en-US"/>
        </w:rPr>
        <w:tab/>
        <w:tab/>
        <w:t xml:space="preserve">Even if the FERC Orders are viewed as a change in policy as to PCA from that applied in </w:t>
      </w:r>
      <w:r>
        <w:rPr>
          <w:i/>
          <w:lang w:eastAsia="en-US"/>
        </w:rPr>
        <w:t>Portland</w:t>
      </w:r>
      <w:r>
        <w:rPr>
          <w:lang w:eastAsia="en-US"/>
        </w:rPr>
        <w:t>, which is not the case, FERC satisfied the requisite standard:</w:t>
      </w:r>
    </w:p>
    <w:p>
      <w:pPr>
        <w:pStyle w:val="Normal"/>
        <w:ind w:start="1440" w:end="720"/>
        <w:rPr/>
      </w:pPr>
      <w:r>
        <w:rPr/>
        <w:t>When an agency departs from preexisting policy in an administrative adjudication, it must provide "a reasoned analysis indicating that prior policies and standards are being deliberately changed, not casually ignored."  If, however, an agency merely implements prior policy, an explanation that allows this court to discern "the agency's path will suffice."</w:t>
      </w:r>
    </w:p>
    <w:p>
      <w:pPr>
        <w:pStyle w:val="Normal"/>
        <w:ind w:start="720" w:end="720"/>
        <w:rPr/>
      </w:pPr>
      <w:r>
        <w:rPr/>
      </w:r>
    </w:p>
    <w:p>
      <w:pPr>
        <w:pStyle w:val="Normal"/>
        <w:spacing w:lineRule="auto" w:line="480"/>
        <w:rPr/>
      </w:pPr>
      <w:r>
        <w:rPr>
          <w:i/>
        </w:rPr>
        <w:t>WLOS TV, Inc. v. FCC</w:t>
      </w:r>
      <w:r>
        <w:rPr/>
        <w:t>, 932 F.2d 993, 995 (D.C. Cir. 1991) (citations omitted).</w:t>
      </w:r>
    </w:p>
    <w:p>
      <w:pPr>
        <w:pStyle w:val="Normal"/>
        <w:ind w:start="1440" w:end="720"/>
        <w:rPr/>
      </w:pPr>
      <w:r>
        <w:rPr/>
        <w:t>The agency may flatly repudiate [prior] norms, deciding, for example, that changed circumstances mean that they are no longer required in order to effectuate congressional policy.  Or it may narrow the zone in which some rule will be applied, because it appears that a more discriminating invocation of the rule will best serve congressional policy. . . . Whatever the ground for the departure from prior norms, however, it must be clearly set forth so that the reviewing court may understand the basis of the agency's action and so may judge the consistency of that action with the agency's mandate.</w:t>
      </w:r>
    </w:p>
    <w:p>
      <w:pPr>
        <w:pStyle w:val="Normal"/>
        <w:ind w:start="720" w:end="720"/>
        <w:rPr/>
      </w:pPr>
      <w:r>
        <w:rPr/>
      </w:r>
    </w:p>
    <w:p>
      <w:pPr>
        <w:pStyle w:val="Normal"/>
        <w:spacing w:lineRule="auto" w:line="480"/>
        <w:ind w:firstLine="1440" w:end="0"/>
        <w:rPr/>
      </w:pPr>
      <w:r>
        <w:rPr>
          <w:i/>
        </w:rPr>
        <w:t>Atchison, Topeka &amp; Santa Fe Railway Co. et al. v. Wichita Board of Trade et al</w:t>
      </w:r>
      <w:r>
        <w:rPr/>
        <w:t>., 412 U.S. 800, 808 (1973).</w:t>
      </w:r>
    </w:p>
    <w:p>
      <w:pPr>
        <w:pStyle w:val="Normal"/>
        <w:spacing w:lineRule="auto" w:line="480"/>
        <w:ind w:firstLine="1440" w:end="0"/>
        <w:rPr/>
      </w:pPr>
      <w:r>
        <w:rPr>
          <w:lang w:eastAsia="en-US"/>
        </w:rPr>
        <w:t xml:space="preserve">FERC provided a "reasoned analysis" because, as it explained, it interpreted the application of Section 35.15 in a context different from that which was the subject of </w:t>
      </w:r>
      <w:r>
        <w:rPr>
          <w:i/>
          <w:lang w:eastAsia="en-US"/>
        </w:rPr>
        <w:t>Portland</w:t>
      </w:r>
      <w:r>
        <w:rPr>
          <w:lang w:eastAsia="en-US"/>
        </w:rPr>
        <w:t xml:space="preserve">.  PCA addressed market-based transactions under an unfiled service agreement, not cost-based transactions under a filed service agreement.  FERC's interpretation was a logical application of its existing policies regarding the administration and promotion of competitive market-based rates under the FPA and FERC explained in detail how the workings of a competitive market informed and guided its decision.  86 FERC at 61,458.  </w:t>
      </w:r>
    </w:p>
    <w:p>
      <w:pPr>
        <w:pStyle w:val="Heading2"/>
        <w:keepLines/>
        <w:ind w:hanging="0" w:start="0"/>
        <w:rPr>
          <w:b/>
        </w:rPr>
      </w:pPr>
      <w:bookmarkStart w:id="13" w:name="__RefHeading___Toc495768965"/>
      <w:bookmarkEnd w:id="13"/>
      <w:r>
        <w:rPr>
          <w:b/>
        </w:rPr>
        <w:t>II.</w:t>
        <w:tab/>
        <w:t>PCA'S CLAIMED ERRORS MUST BE REJECTED.</w:t>
      </w:r>
    </w:p>
    <w:p>
      <w:pPr>
        <w:pStyle w:val="Normal"/>
        <w:keepNext w:val="true"/>
        <w:keepLines/>
        <w:rPr>
          <w:b/>
        </w:rPr>
      </w:pPr>
      <w:r>
        <w:rPr>
          <w:b/>
        </w:rPr>
      </w:r>
    </w:p>
    <w:p>
      <w:pPr>
        <w:pStyle w:val="Heading3"/>
        <w:ind w:hanging="720" w:start="1440" w:end="0"/>
        <w:rPr>
          <w:b/>
        </w:rPr>
      </w:pPr>
      <w:bookmarkStart w:id="14" w:name="__RefHeading___Toc495768966"/>
      <w:bookmarkEnd w:id="14"/>
      <w:r>
        <w:rPr>
          <w:b/>
        </w:rPr>
        <w:t>A.</w:t>
        <w:tab/>
        <w:t>FERC'S FINDING WAS SUPPORTED BY SUBSTANTIAL EVIDENCE.</w:t>
      </w:r>
    </w:p>
    <w:p>
      <w:pPr>
        <w:pStyle w:val="Normal"/>
        <w:rPr>
          <w:b/>
        </w:rPr>
      </w:pPr>
      <w:r>
        <w:rPr>
          <w:b/>
        </w:rPr>
      </w:r>
    </w:p>
    <w:p>
      <w:pPr>
        <w:pStyle w:val="Normal"/>
        <w:spacing w:lineRule="auto" w:line="480"/>
        <w:rPr/>
      </w:pPr>
      <w:r>
        <w:rPr/>
        <w:tab/>
        <w:tab/>
        <w:t xml:space="preserve">FERC's first Order was grounded on a finding that "[t]he filings at issue here involve suspensions of particular discretionary power sales transactions, and not of rate schedules or umbrella service agreements on file."  84 FERC at 61,986-87.  On rehearing, PCA claimed FERC erred in characterizing the transactions as "suspend[ed] and discretionary."  However, FERC explained in its second Order:  </w:t>
      </w:r>
    </w:p>
    <w:p>
      <w:pPr>
        <w:pStyle w:val="Normal"/>
        <w:ind w:start="1440" w:end="720"/>
        <w:rPr/>
      </w:pPr>
      <w:r>
        <w:rPr/>
        <w:t>We described the individual transactions as discretionary because they were entered into voluntarily by the parties.  Furthermore, while the August 28 Order referred to utilities that had suspended transactions, the order nonetheless clearly reflected the Commission's understanding that the individual transactions at issue were being terminated.</w:t>
      </w:r>
    </w:p>
    <w:p>
      <w:pPr>
        <w:pStyle w:val="Normal"/>
        <w:ind w:start="1440" w:end="720"/>
        <w:rPr/>
      </w:pPr>
      <w:r>
        <w:rPr/>
      </w:r>
    </w:p>
    <w:p>
      <w:pPr>
        <w:pStyle w:val="Normal"/>
        <w:spacing w:lineRule="auto" w:line="480"/>
        <w:rPr/>
      </w:pPr>
      <w:r>
        <w:rPr/>
        <w:t xml:space="preserve">86 FERC at 61,460. </w:t>
      </w:r>
    </w:p>
    <w:p>
      <w:pPr>
        <w:pStyle w:val="Normal"/>
        <w:spacing w:lineRule="auto" w:line="480"/>
        <w:ind w:firstLine="1440" w:end="0"/>
        <w:rPr/>
      </w:pPr>
      <w:r>
        <w:rPr/>
        <w:t xml:space="preserve">PCA's claim that FERC failed to recognize that in some cases all transactions, or even agreements, were cancelled, similarly misses the point.  Pet. Br. at __.  FERC's factual finding drew a distinction between "transactions" and documents "on file."  FERC explicitly ruled that "[o]ur regulations require a filing [of a notice of cancellation] . . . only if what is being terminated is 'required to be on file.'"  As demonstrated above, neither the umbrella service agreements nor transactions at issue here were on file with the FERC.  </w:t>
      </w:r>
      <w:r>
        <w:rPr>
          <w:i/>
        </w:rPr>
        <w:t>See</w:t>
      </w:r>
      <w:r>
        <w:rPr/>
        <w:t xml:space="preserve"> 84 FERC at 61,986.  Further, whether or not the umbrella service agreements were canceled is irrelevant because, as the FERC found, the transactions were "discretionary."  Absent transactions, the existence of the agreement was without purpose, and FERC appropriately addressed the essential issue – the cancellation of "transactions."  Therefore, the Court should reject PCA's substantial evidence argument.  </w:t>
      </w:r>
      <w:r>
        <w:rPr>
          <w:i/>
        </w:rPr>
        <w:t>See</w:t>
      </w:r>
      <w:r>
        <w:rPr/>
        <w:t xml:space="preserve"> FPA Section 313(b) ("The finding of the Commission as to the facts, if supported by substantial evidence, shall be conclusive.").</w:t>
      </w:r>
    </w:p>
    <w:p>
      <w:pPr>
        <w:pStyle w:val="Heading3"/>
        <w:keepLines/>
        <w:ind w:hanging="720" w:start="1440" w:end="0"/>
        <w:rPr>
          <w:b/>
        </w:rPr>
      </w:pPr>
      <w:bookmarkStart w:id="15" w:name="__RefHeading___Toc495768967"/>
      <w:bookmarkEnd w:id="15"/>
      <w:r>
        <w:rPr>
          <w:b/>
        </w:rPr>
        <w:t>B.</w:t>
        <w:tab/>
        <w:t>FERC DID NOT ABANDON ITS STATUTORY AUTHORITY TO REGULATE SALES.</w:t>
      </w:r>
    </w:p>
    <w:p>
      <w:pPr>
        <w:pStyle w:val="Normal"/>
        <w:keepNext w:val="true"/>
        <w:keepLines/>
        <w:rPr>
          <w:b/>
        </w:rPr>
      </w:pPr>
      <w:r>
        <w:rPr>
          <w:b/>
        </w:rPr>
      </w:r>
    </w:p>
    <w:p>
      <w:pPr>
        <w:pStyle w:val="Normal"/>
        <w:spacing w:lineRule="auto" w:line="480"/>
        <w:ind w:firstLine="1440" w:end="0"/>
        <w:rPr/>
      </w:pPr>
      <w:r>
        <w:rPr/>
        <w:t>On review, PCA argues for the first time that FERC must require notice of cancellation of transactions under FPA Section 205 because it is the "transaction" that constitutes a "sale" not the filed rate schedule (</w:t>
      </w:r>
      <w:r>
        <w:rPr>
          <w:i/>
        </w:rPr>
        <w:t>i.e.</w:t>
      </w:r>
      <w:r>
        <w:rPr/>
        <w:t xml:space="preserve">, market-based tariff) and FPA Section 201 gives FERC jurisdiction over sales.  However, this argument rests on a specious scrambling of the words of FPA Section 201 and FPA Section 205 and thereby the new "statutory" requirement claimed by PCA must be rejected.  Although FPA Section 201 does grant FERC jurisdiction over sales, Section 205 only requires the filing of rate schedules (and changes in rate schedules) pursuant to which sales may be made.  As explained above, the market-based tariff establishes the authority to make sales, and FERC has long held in orders not now subject to rehearing that transaction documents need not be filed.  </w:t>
      </w:r>
      <w:r>
        <w:rPr>
          <w:i/>
        </w:rPr>
        <w:t>See, e.g.</w:t>
      </w:r>
      <w:r>
        <w:rPr/>
        <w:t>, cases cited in Resp. Br. at 52 n.13.  As explained above, FERC regulates market-based sales, albeit differently than it regulates cost-based sales.  Thus, PCA's argument is both time barred and inaccurate.</w:t>
      </w:r>
    </w:p>
    <w:p>
      <w:pPr>
        <w:pStyle w:val="Heading3"/>
        <w:ind w:hanging="0" w:start="0"/>
        <w:rPr/>
      </w:pPr>
      <w:r>
        <w:rPr/>
        <w:tab/>
      </w:r>
      <w:bookmarkStart w:id="16" w:name="__RefHeading___Toc495768968"/>
      <w:r>
        <w:rPr>
          <w:b/>
        </w:rPr>
        <w:t>C.</w:t>
        <w:tab/>
        <w:t>FERC DID NOT BREAK WITH PAST PRECEDENT.</w:t>
      </w:r>
      <w:bookmarkEnd w:id="16"/>
    </w:p>
    <w:p>
      <w:pPr>
        <w:pStyle w:val="Normal"/>
        <w:rPr/>
      </w:pPr>
      <w:r>
        <w:rPr/>
      </w:r>
    </w:p>
    <w:p>
      <w:pPr>
        <w:pStyle w:val="Normal"/>
        <w:spacing w:lineRule="auto" w:line="480"/>
        <w:ind w:firstLine="1440" w:end="0"/>
        <w:rPr/>
      </w:pPr>
      <w:r>
        <w:rPr>
          <w:lang w:eastAsia="en-US"/>
        </w:rPr>
        <w:t xml:space="preserve">PCA claims that until the FERC Orders, the FERC routinely refused to grant a waiver of Section 35.15.  PCA cites to </w:t>
      </w:r>
      <w:r>
        <w:rPr>
          <w:i/>
          <w:lang w:eastAsia="en-US"/>
        </w:rPr>
        <w:t>Virginia Elec. and Power Co.</w:t>
      </w:r>
      <w:r>
        <w:rPr>
          <w:lang w:eastAsia="en-US"/>
        </w:rPr>
        <w:t xml:space="preserve">, 80 FERC ¶ 61,275 (1997); </w:t>
      </w:r>
      <w:r>
        <w:rPr>
          <w:i/>
          <w:lang w:eastAsia="en-US"/>
        </w:rPr>
        <w:t>Central La. Elec. Co</w:t>
      </w:r>
      <w:r>
        <w:rPr>
          <w:lang w:eastAsia="en-US"/>
        </w:rPr>
        <w:t xml:space="preserve">., 77 FERC ¶ 61,020 (1996); </w:t>
      </w:r>
      <w:r>
        <w:rPr>
          <w:i/>
          <w:lang w:eastAsia="en-US"/>
        </w:rPr>
        <w:t>The Washington Water Power Co</w:t>
      </w:r>
      <w:r>
        <w:rPr>
          <w:lang w:eastAsia="en-US"/>
        </w:rPr>
        <w:t>., 77 FERC ¶ 61,233 (1996).  These cases do not support PCA's claim.</w:t>
      </w:r>
    </w:p>
    <w:p>
      <w:pPr>
        <w:pStyle w:val="Normal"/>
        <w:spacing w:lineRule="auto" w:line="480"/>
        <w:ind w:firstLine="1440" w:end="0"/>
        <w:rPr/>
      </w:pPr>
      <w:r>
        <w:rPr>
          <w:lang w:eastAsia="en-US"/>
        </w:rPr>
        <w:t xml:space="preserve">In these cases, the FERC required these utilities to remove a provision from their filed market-based rate tariff that would permit the termination of service without regard to the requirements of Section 35.15 (similar to what was requested in </w:t>
      </w:r>
      <w:r>
        <w:rPr>
          <w:i/>
          <w:lang w:eastAsia="en-US"/>
        </w:rPr>
        <w:t>Portland</w:t>
      </w:r>
      <w:r>
        <w:rPr>
          <w:lang w:eastAsia="en-US"/>
        </w:rPr>
        <w:t>).  FERC refused to grant a blanket waiver of Section 35.15 as these power marketers requested.  However, nowhere in those orders did FERC state that Section 35.15 applied to unfiled market-based rate transactions, the specific issue that FERC decided in the FERC Orders on review here.  In the FERC Orders, FERC clarified that when unfiled market-based transactions are being canceled, Section 35.15 does not apply.</w:t>
      </w:r>
    </w:p>
    <w:p>
      <w:pPr>
        <w:pStyle w:val="Normal"/>
        <w:spacing w:lineRule="auto" w:line="480"/>
        <w:ind w:firstLine="1440" w:end="0"/>
        <w:rPr/>
      </w:pPr>
      <w:r>
        <w:rPr/>
        <w:t xml:space="preserve">Assuming </w:t>
      </w:r>
      <w:r>
        <w:rPr>
          <w:i/>
        </w:rPr>
        <w:t xml:space="preserve">arguendo </w:t>
      </w:r>
      <w:r>
        <w:rPr/>
        <w:t xml:space="preserve">that FERC did depart from precedent, FERC provided a "reasoned analysis" and a clear "path" for this Court to discern.  </w:t>
      </w:r>
      <w:r>
        <w:rPr>
          <w:lang w:eastAsia="en-US"/>
        </w:rPr>
        <w:t xml:space="preserve">FERC explained that any perceived discrepancy between its decisions in the FERC Orders and past cases rested on the application of the policy to new facts, and it fully explained its rationale, with specific references to and discussions of the application of Section 35.15 to competitive bulk markets.  </w:t>
      </w:r>
      <w:r>
        <w:rPr>
          <w:i/>
          <w:lang w:eastAsia="en-US"/>
        </w:rPr>
        <w:t>See</w:t>
      </w:r>
      <w:r>
        <w:rPr>
          <w:lang w:eastAsia="en-US"/>
        </w:rPr>
        <w:t xml:space="preserve"> 86 FERC at 61,458.</w:t>
      </w:r>
    </w:p>
    <w:p>
      <w:pPr>
        <w:pStyle w:val="Heading3"/>
        <w:tabs>
          <w:tab w:val="decimal" w:pos="720" w:leader="none"/>
        </w:tabs>
        <w:ind w:hanging="1440" w:start="1440" w:end="0"/>
        <w:rPr/>
      </w:pPr>
      <w:r>
        <w:rPr/>
        <w:tab/>
      </w:r>
      <w:bookmarkStart w:id="17" w:name="__RefHeading___Toc495768969"/>
      <w:r>
        <w:rPr>
          <w:b/>
        </w:rPr>
        <w:t>D.</w:t>
        <w:tab/>
        <w:t>FERC WAS NOT REQUIRED TO ACT THROUGH RULEMAKING PROCEDURES.</w:t>
      </w:r>
      <w:bookmarkEnd w:id="17"/>
    </w:p>
    <w:p>
      <w:pPr>
        <w:pStyle w:val="Normal"/>
        <w:rPr>
          <w:b/>
        </w:rPr>
      </w:pPr>
      <w:r>
        <w:rPr>
          <w:b/>
        </w:rPr>
      </w:r>
    </w:p>
    <w:p>
      <w:pPr>
        <w:pStyle w:val="Normal"/>
        <w:spacing w:lineRule="auto" w:line="480"/>
        <w:ind w:firstLine="1440" w:end="0"/>
        <w:rPr>
          <w:b/>
        </w:rPr>
      </w:pPr>
      <w:r>
        <w:rPr/>
        <w:t xml:space="preserve">PCA's claim that FERC "re-wrote" Section 35.15 without following the rulemaking procedures required under the Administrative Procedure Act is without merit.  It is well established that an agency can interpret and fill in gaps in a rule through an adjudication.  </w:t>
      </w:r>
      <w:r>
        <w:rPr>
          <w:i/>
        </w:rPr>
        <w:t>See, e.g.</w:t>
      </w:r>
      <w:r>
        <w:rPr/>
        <w:t xml:space="preserve">, </w:t>
      </w:r>
      <w:r>
        <w:rPr>
          <w:i/>
        </w:rPr>
        <w:t>National Labor Relations Board v. Bell Aerospace Co.</w:t>
      </w:r>
      <w:r>
        <w:rPr/>
        <w:t xml:space="preserve">, 416 U.S. 267, 291 (1974) ("[An Agency] is not precluded from announcing new principles in an adjudicative proceeding and the choice between rulemaking and adjudication lies in the first instance within the [Agency's] discretion."); </w:t>
      </w:r>
      <w:r>
        <w:rPr>
          <w:i/>
        </w:rPr>
        <w:t>National Labor Relations Board v. Wyman-Gordon Co.</w:t>
      </w:r>
      <w:r>
        <w:rPr/>
        <w:t xml:space="preserve">, 394 U.S. 759, 765 (1969) ("Adjudicated cases may and do, of course, serve as vehicles for the formulation of agency policies, which are applied and announced therein."); </w:t>
      </w:r>
      <w:r>
        <w:rPr>
          <w:i/>
        </w:rPr>
        <w:t>see also</w:t>
      </w:r>
      <w:r>
        <w:rPr/>
        <w:t xml:space="preserve"> </w:t>
      </w:r>
      <w:r>
        <w:rPr>
          <w:i/>
        </w:rPr>
        <w:t>Southern California Edison Co. v. FERC</w:t>
      </w:r>
      <w:r>
        <w:rPr/>
        <w:t>, 805 F.2d 1068, 1071 &amp; n.4 (noting a lack of "prior Commission statement or position on the precise issue" and yet "it was not improper for the Commission to resolve this new issue in the adjudicatory setting").</w:t>
      </w:r>
      <w:r>
        <w:rPr>
          <w:b/>
        </w:rPr>
        <w:t xml:space="preserve"> </w:t>
      </w:r>
      <w:r>
        <w:rPr/>
        <w:t xml:space="preserve"> In contrast, PCA's quote from </w:t>
      </w:r>
      <w:r>
        <w:rPr>
          <w:i/>
        </w:rPr>
        <w:t>American Fed'n of Gov't Employees, AFL-CIO v. FLRB</w:t>
      </w:r>
      <w:r>
        <w:rPr/>
        <w:t xml:space="preserve">, 777 F.2d 751, 760 (D.C. Cir. 1985), is of no significance here because the FERC has not repealed Section 35.15 but interpreted the rule as applied to PCA's facts.  Finally, PCA's argument must also be rejected because it was not raised on rehearing before the FERC.  </w:t>
      </w:r>
      <w:r>
        <w:rPr>
          <w:i/>
        </w:rPr>
        <w:t>See</w:t>
      </w:r>
      <w:r>
        <w:rPr/>
        <w:t xml:space="preserve"> 16 U.S.C. § 825</w:t>
      </w:r>
      <w:r>
        <w:rPr>
          <w:i/>
        </w:rPr>
        <w:t>l</w:t>
      </w:r>
      <w:r>
        <w:rPr/>
        <w:t>;</w:t>
      </w:r>
      <w:r>
        <w:rPr>
          <w:i/>
        </w:rPr>
        <w:t xml:space="preserve"> Town of Norwood</w:t>
      </w:r>
      <w:r>
        <w:rPr/>
        <w:t>.</w:t>
      </w:r>
    </w:p>
    <w:p>
      <w:pPr>
        <w:pStyle w:val="Heading3"/>
        <w:ind w:hanging="720" w:start="1440" w:end="0"/>
        <w:rPr>
          <w:b/>
        </w:rPr>
      </w:pPr>
      <w:bookmarkStart w:id="18" w:name="__RefHeading___Toc495768970"/>
      <w:bookmarkEnd w:id="18"/>
      <w:r>
        <w:rPr>
          <w:b/>
        </w:rPr>
        <w:t>E.</w:t>
        <w:tab/>
        <w:t>FERC CORRECTLY DETERMINED THAT ITS HOLDING APPLIED TO PCA.</w:t>
      </w:r>
    </w:p>
    <w:p>
      <w:pPr>
        <w:pStyle w:val="Normal"/>
        <w:keepNext w:val="true"/>
        <w:keepLines/>
        <w:rPr>
          <w:b/>
        </w:rPr>
      </w:pPr>
      <w:r>
        <w:rPr>
          <w:b/>
        </w:rPr>
      </w:r>
    </w:p>
    <w:p>
      <w:pPr>
        <w:pStyle w:val="Normal"/>
        <w:keepNext w:val="true"/>
        <w:keepLines/>
        <w:spacing w:lineRule="auto" w:line="480"/>
        <w:ind w:firstLine="1440" w:end="0"/>
        <w:rPr/>
      </w:pPr>
      <w:r>
        <w:rPr/>
        <w:t xml:space="preserve">PCA argues that the determination in the FERC Orders to PCA constituted a retroactive application of a new rule to PCA and was therefore arbitrary, capricious and an abuse of discretion.  PCA's retroactivity argument is unfounded.  Supreme Court cases such as </w:t>
      </w:r>
      <w:r>
        <w:rPr>
          <w:i/>
        </w:rPr>
        <w:t>Harper v. Virginia Dep't of Taxation</w:t>
      </w:r>
      <w:r>
        <w:rPr/>
        <w:t xml:space="preserve">, 509 U.S. 86, 97-98 (1993) and </w:t>
      </w:r>
      <w:r>
        <w:rPr>
          <w:i/>
        </w:rPr>
        <w:t>James B. Beam Distilling Co. v. Georgia</w:t>
      </w:r>
      <w:r>
        <w:rPr/>
        <w:t>, 501 U.S. 529, 539 (1991), establish that: (1) there is a "normal rule of retroactive application," and (2) an agency or court determination applies to "the litigants then before the Court," and even to other "cases pending on direct review."  PCA argues as if prospective application is the norm.  PCA is wrong.  Prospective application is the exception to the rule of retroactivity.</w:t>
      </w:r>
    </w:p>
    <w:p>
      <w:pPr>
        <w:pStyle w:val="Normal"/>
        <w:spacing w:lineRule="auto" w:line="480"/>
        <w:ind w:firstLine="1440" w:end="0"/>
        <w:rPr/>
      </w:pPr>
      <w:r>
        <w:rPr/>
        <w:t xml:space="preserve">Here, FERC interpreted an existing regulation as a matter of first impression to PCA and consistent with "the normal rule of retroactive application," applied its determination to PCA.  FERC's action is consonant with this Court's determination in </w:t>
      </w:r>
      <w:r>
        <w:rPr>
          <w:i/>
        </w:rPr>
        <w:t>New England Telephone and Telegraph Co., et al. v. FCC</w:t>
      </w:r>
      <w:r>
        <w:rPr/>
        <w:t>, 826 F.2d 1101, 1110 (D.C. Cir. 1987), where, in upholding retroactive application of a new policy announced in an adjudication, the Court stated that "the most petitioners can claim is that the order under review instituted a new policy for a new situation.  This action is something very different from a departure from a clear prior policy."</w:t>
      </w:r>
    </w:p>
    <w:p>
      <w:pPr>
        <w:pStyle w:val="Normal"/>
        <w:spacing w:lineRule="auto" w:line="480"/>
        <w:ind w:firstLine="1440" w:end="0"/>
        <w:rPr/>
      </w:pPr>
      <w:r>
        <w:rPr/>
        <w:t xml:space="preserve">Although PCA claimed on rehearing, in one clause of one sentence, that FERC's holding should be applied prospectively, PCA now, for the first time, argues that </w:t>
      </w:r>
      <w:r>
        <w:rPr>
          <w:i/>
        </w:rPr>
        <w:t>Williams Natural Gas</w:t>
      </w:r>
      <w:r>
        <w:rPr/>
        <w:t>, 3 F.3d at 1553-1554, requires that the FERC Orders be applied to it only prospectively.  It's argument should be rejected as not having been argued on rehearing, and thus not properly before this Court.  16 U.S.C. § 825</w:t>
      </w:r>
      <w:r>
        <w:rPr>
          <w:i/>
        </w:rPr>
        <w:t>l</w:t>
      </w:r>
      <w:r>
        <w:rPr/>
        <w:t xml:space="preserve">(b).  PCA's statement in its rehearing request that FERC must apply its holding prospectively, was based on the faulty premise that FERC was changing settled precedent in its ruling as to PCA.  Pet. Br. at ___.  But, as already noted, FERC had not previously ruled on the issue posed by PCA. The modification enunciated by FERC applied to cost-based sellers, not sellers under market-based rates.  As FERC explained, "PCA knew that these individual power sales agreements were not on file with the Commission … [and] … could not have reasonably relied on the Commission reviewing their termination."  86 FERC at 61,459.  Indeed, PCA notes in its Brief at page 3 &amp; n.2 that it has been a power marketer since 1995 -- before </w:t>
      </w:r>
      <w:r>
        <w:rPr>
          <w:i/>
        </w:rPr>
        <w:t xml:space="preserve">Portland </w:t>
      </w:r>
      <w:r>
        <w:rPr/>
        <w:t xml:space="preserve">and Order No. 888.  To the extent PCA believed that </w:t>
      </w:r>
      <w:r>
        <w:rPr>
          <w:i/>
        </w:rPr>
        <w:t>Portland</w:t>
      </w:r>
      <w:r>
        <w:rPr/>
        <w:t xml:space="preserve"> would be applicable to other than transactions entered into under cost-based filed agreements, such belief was not justifiable and a mere assertion of reliance does not make it so.  PCA provided no affidavits or evidence to support its claim of reliance.  PCA's claims are thus nothing more than "post hoc rationalizations" which must be rejected.  </w:t>
      </w:r>
      <w:r>
        <w:rPr>
          <w:i/>
        </w:rPr>
        <w:t>See Graceba Total Communications, Inc. v. FCC</w:t>
      </w:r>
      <w:r>
        <w:rPr/>
        <w:t>, 115 F.3d 1038, 1041 (D.C. Cir. 1997) (citation omitted).</w:t>
      </w:r>
    </w:p>
    <w:p>
      <w:pPr>
        <w:pStyle w:val="Normal"/>
        <w:spacing w:lineRule="auto" w:line="480"/>
        <w:ind w:firstLine="1440" w:end="0"/>
        <w:rPr/>
      </w:pPr>
      <w:r>
        <w:rPr/>
        <w:t>FERC also found noted that "</w:t>
      </w:r>
      <w:r>
        <w:rPr>
          <w:lang w:eastAsia="en-US"/>
        </w:rPr>
        <w:t xml:space="preserve">PCA suffers no detriment whatsoever from the application of our interpretation of Section 35.15.  The breach of contract issues raised by PCA are matters better dealt with by courts of competent jurisdiction rather than through Commission review under Section 35.15." 86 FERC at 61,459.  FERC noted that PCA could file under Sections 205 or 206 "if it has concerns regarding alleged inappropriate termination of a service by a power provider."  </w:t>
      </w:r>
      <w:r>
        <w:rPr>
          <w:i/>
          <w:lang w:eastAsia="en-US"/>
        </w:rPr>
        <w:t>Id</w:t>
      </w:r>
      <w:r>
        <w:rPr>
          <w:lang w:eastAsia="en-US"/>
        </w:rPr>
        <w:t>. at n.33.  Lastly, FERC found that to refrain from application of its holding to PCA would not serve its regulatory purpose.</w:t>
      </w:r>
    </w:p>
    <w:p>
      <w:pPr>
        <w:pStyle w:val="Normal"/>
        <w:ind w:start="1440" w:end="720"/>
        <w:rPr>
          <w:lang w:eastAsia="en-US"/>
        </w:rPr>
      </w:pPr>
      <w:r>
        <w:rPr>
          <w:lang w:eastAsia="en-US"/>
        </w:rPr>
        <w:t>[W]e do not believe that our review of the termination of such discretionary power sales would further the primary purposes of Section 35.15, which are to assure that customers are nonetheless provided with power under conditions of potential market power and that parties are not exerting market power in the termination of power sales contracts, considerations not likely to be relevant with respect to such discretionary transactions.  In fact, to do otherwise would not only invite confusion on the part of the industry, but possibly damage the continued growth of the competitive bulk power market which is dependent on these flexible, short-term, discretionary transactions.</w:t>
      </w:r>
    </w:p>
    <w:p>
      <w:pPr>
        <w:pStyle w:val="Normal"/>
        <w:ind w:start="720" w:end="720"/>
        <w:rPr>
          <w:lang w:eastAsia="en-US"/>
        </w:rPr>
      </w:pPr>
      <w:r>
        <w:rPr>
          <w:lang w:eastAsia="en-US"/>
        </w:rPr>
      </w:r>
    </w:p>
    <w:p>
      <w:pPr>
        <w:pStyle w:val="Normal"/>
        <w:spacing w:lineRule="auto" w:line="480"/>
        <w:rPr/>
      </w:pPr>
      <w:r>
        <w:rPr>
          <w:i/>
        </w:rPr>
        <w:t>See</w:t>
      </w:r>
      <w:r>
        <w:rPr/>
        <w:t xml:space="preserve"> </w:t>
      </w:r>
      <w:r>
        <w:rPr>
          <w:i/>
        </w:rPr>
        <w:t>id.</w:t>
      </w:r>
      <w:r>
        <w:rPr/>
        <w:t xml:space="preserve"> FERC at 61,458-59.  Thus, despite PCA's failure to argue its retroactivity claim in its request for rehearing, FERC considered the factors necessary to assess whether only prospective application was required.  FERC found against PCA because there was no clear law on which PCA could have, or should have, relied, other avenues of redress assured PCA was not unduly burdened and sound policy required immediate application of FERC's holdings.  </w:t>
      </w:r>
      <w:r>
        <w:rPr>
          <w:i/>
        </w:rPr>
        <w:t>Cf. Williams</w:t>
      </w:r>
      <w:r>
        <w:rPr/>
        <w:t xml:space="preserve"> </w:t>
      </w:r>
      <w:r>
        <w:rPr>
          <w:b/>
        </w:rPr>
        <w:t>[cite]</w:t>
      </w:r>
      <w:r>
        <w:rPr/>
        <w:t xml:space="preserve">.  </w:t>
      </w:r>
    </w:p>
    <w:p>
      <w:pPr>
        <w:pStyle w:val="Normal"/>
        <w:spacing w:lineRule="auto" w:line="480"/>
        <w:rPr/>
      </w:pPr>
      <w:r>
        <w:rPr/>
        <w:tab/>
        <w:tab/>
        <w:t>FERC fully explained why the norm of retroactive application was appropriate.  Thus, its action was not arbitrary, capricious, or an abuse of discretion.</w:t>
      </w:r>
    </w:p>
    <w:p>
      <w:pPr>
        <w:pStyle w:val="Heading2"/>
        <w:tabs>
          <w:tab w:val="clear" w:pos="720"/>
          <w:tab w:val="left" w:pos="-2250" w:leader="none"/>
        </w:tabs>
        <w:ind w:hanging="720" w:start="720" w:end="0"/>
        <w:rPr>
          <w:b/>
        </w:rPr>
      </w:pPr>
      <w:bookmarkStart w:id="19" w:name="__RefHeading___Toc495768971"/>
      <w:bookmarkEnd w:id="19"/>
      <w:r>
        <w:rPr>
          <w:b/>
        </w:rPr>
        <w:t>III.</w:t>
        <w:tab/>
        <w:t>FERC'S DENIAL OF PARTY STATUS TO PCA IN THOSE PROCEEDINGS IN WHICH IT FAILED TO INTERVENE IN A TIMELY MANNER MUST BE UPHELD.</w:t>
      </w:r>
    </w:p>
    <w:p>
      <w:pPr>
        <w:pStyle w:val="Normal"/>
        <w:rPr>
          <w:b/>
        </w:rPr>
      </w:pPr>
      <w:r>
        <w:rPr>
          <w:b/>
        </w:rPr>
      </w:r>
    </w:p>
    <w:p>
      <w:pPr>
        <w:pStyle w:val="Normal"/>
        <w:spacing w:lineRule="auto" w:line="480"/>
        <w:rPr/>
      </w:pPr>
      <w:r>
        <w:rPr/>
        <w:tab/>
        <w:tab/>
        <w:t>The five Intervenors each initiated one of the unconsolidated proceedings before the FERC that are the subject of the Commission orders under review in this case.  The Commission dismissed the El Paso, Enron, PGET and South Jersey proceedings in its August 28 Order.  84 FERC ¶ 61,199.  The Commission dismissed the Cook Inlet proceeding by the September 18, 1998 letter order of its Director, Division of Applications ("September 18 Letter Order").  R. 58.  On October 16, 1998, eighteen days after seeking rehearing of the August 28 Order, PCA filed late motions to intervene in each of the Intervenors’ proceedings. R. 59, 149, 100, 7 and ___.  PCA filed for rehearing of the Cook Inlet proceeding on October 19, 1998.</w:t>
      </w:r>
    </w:p>
    <w:p>
      <w:pPr>
        <w:pStyle w:val="Normal"/>
        <w:spacing w:lineRule="auto" w:line="480"/>
        <w:rPr/>
      </w:pPr>
      <w:r>
        <w:rPr/>
        <w:tab/>
        <w:tab/>
        <w:t>The Commission held that PCA was not a party to the South Jersey proceeding in its February 10 order on rehearing.  86 FERC at 61,457, n. 23.  The Commission held that PCA was not a party to the Cook Inlet proceeding in its November 9 order on rehearing.  85 FERC at 61,805.  On further rehearing requested by El Paso and PGET, the Commission held that PCA was not a party to those proceedings in its March 29 Order.  86 FERC at 62,056.</w:t>
      </w:r>
      <w:r>
        <w:rPr>
          <w:rStyle w:val="FootnoteCharacters"/>
          <w:rStyle w:val="FootnoteReference"/>
        </w:rPr>
        <w:footnoteReference w:id="8"/>
      </w:r>
      <w:r>
        <w:rPr/>
        <w:t xml:space="preserve">  FERC later confirmed that PCA was not a party to the Cook Inlet, El Paso and PGET proceedings in response to PCA’s request for rehearing of the Commission’s November 9 and March 29 Orders.  June 21 Order, 87 FERC at 62,322-24.</w:t>
      </w:r>
      <w:r>
        <w:rPr>
          <w:rStyle w:val="FootnoteCharacters"/>
          <w:rStyle w:val="FootnoteReference"/>
        </w:rPr>
        <w:footnoteReference w:id="9"/>
      </w:r>
      <w:r>
        <w:rPr/>
        <w:t xml:space="preserve">  The majority of Intervenors argued to this Court that it lacked jurisdiction over their proceedings due to PCA's lack of party status in various timely-filed motions to dismiss which were referred to the merits panel by the Court's December 22, 1999 Order in this case.</w:t>
      </w:r>
    </w:p>
    <w:p>
      <w:pPr>
        <w:pStyle w:val="Normal"/>
        <w:tabs>
          <w:tab w:val="clear" w:pos="720"/>
          <w:tab w:val="left" w:pos="0" w:leader="none"/>
        </w:tabs>
        <w:spacing w:lineRule="auto" w:line="480"/>
        <w:ind w:firstLine="1440" w:end="0"/>
        <w:rPr/>
      </w:pPr>
      <w:r>
        <w:rPr/>
        <w:t xml:space="preserve">Section 313(b) of  the FPA provides, in pertinent part:  "[a]ny </w:t>
      </w:r>
      <w:r>
        <w:rPr>
          <w:i/>
        </w:rPr>
        <w:t>party</w:t>
      </w:r>
      <w:r>
        <w:rPr/>
        <w:t xml:space="preserve"> to a proceeding under this Act aggrieved by an order issued by the Commission in such proceeding may obtain a review of such order in . . . the United States Court of Appeals for the District of Columbia . . . ."  16 U.S.C. § 825</w:t>
      </w:r>
      <w:r>
        <w:rPr>
          <w:i/>
        </w:rPr>
        <w:t>l</w:t>
      </w:r>
      <w:r>
        <w:rPr/>
        <w:t xml:space="preserve">(b) (emphasis added).  This Court has held that determining whether a party has standing to seek judicial review involves two successive steps, first requiring a determination of whether the petitioner was a party to the proceeding below before considering whether petitioner is aggrieved. </w:t>
      </w:r>
      <w:r>
        <w:rPr>
          <w:i/>
        </w:rPr>
        <w:t xml:space="preserve"> Water Transport Ass'n v. ICC,</w:t>
      </w:r>
      <w:r>
        <w:rPr/>
        <w:t xml:space="preserve"> 819 F.2d 1189 (D.C. Cir. 1982).  </w:t>
      </w:r>
      <w:r>
        <w:rPr>
          <w:spacing w:val="-3"/>
        </w:rPr>
        <w:t xml:space="preserve">"[T]his circuit has consistently interpreted the phrase 'party aggrieved' to require as a general matter that petitioners be parties to any proceedings before the agency preliminary to issuance of its order."  </w:t>
      </w:r>
      <w:r>
        <w:rPr>
          <w:i/>
          <w:spacing w:val="-3"/>
        </w:rPr>
        <w:t>Simmons v. ICC</w:t>
      </w:r>
      <w:r>
        <w:rPr>
          <w:spacing w:val="-3"/>
        </w:rPr>
        <w:t>, 716 F.2d 40, 42 (D.C. Cir. 1983) (citation omitted); s</w:t>
      </w:r>
      <w:r>
        <w:rPr>
          <w:i/>
          <w:spacing w:val="-3"/>
        </w:rPr>
        <w:t>ee Easton Utils. Comm'n v. AEC</w:t>
      </w:r>
      <w:r>
        <w:rPr>
          <w:spacing w:val="-3"/>
        </w:rPr>
        <w:t xml:space="preserve">, 424 F.2d 847 (D.C. Cir. 1970); </w:t>
      </w:r>
      <w:r>
        <w:rPr>
          <w:i/>
          <w:spacing w:val="-3"/>
        </w:rPr>
        <w:t>Covelo Indian Community v. FERC</w:t>
      </w:r>
      <w:r>
        <w:rPr>
          <w:spacing w:val="-3"/>
        </w:rPr>
        <w:t xml:space="preserve">, 895 F.2d 581, 586 (9th Cir. 1990).  </w:t>
      </w:r>
      <w:r>
        <w:rPr/>
        <w:t xml:space="preserve">The FERC orders under review in this case clearly state FERC's decision that PCA is not a party to Intervenors' proceedings.  </w:t>
      </w:r>
      <w:r>
        <w:rPr>
          <w:i/>
        </w:rPr>
        <w:t>See, e.g.,</w:t>
      </w:r>
      <w:r>
        <w:rPr/>
        <w:t xml:space="preserve"> June 21 Order, 87 FERC ¶ 61,342.  Therefore, PCA fails the first step of the Court's determination as announced in </w:t>
      </w:r>
      <w:r>
        <w:rPr>
          <w:i/>
        </w:rPr>
        <w:t>Water Transport</w:t>
      </w:r>
      <w:r>
        <w:rPr/>
        <w:t>.  A</w:t>
      </w:r>
      <w:r>
        <w:rPr>
          <w:spacing w:val="-3"/>
        </w:rPr>
        <w:t>s in</w:t>
      </w:r>
      <w:r>
        <w:rPr>
          <w:i/>
          <w:spacing w:val="-3"/>
        </w:rPr>
        <w:t xml:space="preserve"> S.C. Loveland Co. v. United States, </w:t>
      </w:r>
      <w:r>
        <w:rPr>
          <w:spacing w:val="-3"/>
        </w:rPr>
        <w:t>"the only issue properly before this court is the propriety of the Commission's denial of the right to intervene."  534 F.2d 958 at 960 (D.C. Cir. 1976) (footnote omitted).</w:t>
      </w:r>
    </w:p>
    <w:p>
      <w:pPr>
        <w:pStyle w:val="Normal"/>
        <w:tabs>
          <w:tab w:val="clear" w:pos="720"/>
          <w:tab w:val="left" w:pos="0" w:leader="none"/>
        </w:tabs>
        <w:spacing w:lineRule="auto" w:line="480"/>
        <w:ind w:firstLine="1440" w:end="0"/>
        <w:rPr/>
      </w:pPr>
      <w:r>
        <w:rPr>
          <w:spacing w:val="-3"/>
        </w:rPr>
        <w:t xml:space="preserve">This Court has questioned an agency's denial of party status only in extraordinary circumstances.  </w:t>
      </w:r>
      <w:r>
        <w:rPr>
          <w:i/>
          <w:spacing w:val="-3"/>
        </w:rPr>
        <w:t>E.g.</w:t>
      </w:r>
      <w:r>
        <w:rPr>
          <w:spacing w:val="-3"/>
        </w:rPr>
        <w:t xml:space="preserve">, </w:t>
      </w:r>
      <w:r>
        <w:rPr>
          <w:i/>
        </w:rPr>
        <w:t>Northern Colorado Water and Conservancy Dist. v. FERC</w:t>
      </w:r>
      <w:r>
        <w:rPr/>
        <w:t xml:space="preserve">, 730 F.2d 1509 (D.C. Cir. 1984) (the Court found that the Commission had breached its statutory duty to provide individualized notice); </w:t>
      </w:r>
      <w:r>
        <w:rPr>
          <w:i/>
          <w:spacing w:val="-3"/>
        </w:rPr>
        <w:t>S .C. Loveland Co. v. United States</w:t>
      </w:r>
      <w:r>
        <w:rPr>
          <w:spacing w:val="-3"/>
        </w:rPr>
        <w:t xml:space="preserve">, 534 F.2d 958 (D.C. Cir. 1976) (petitioner did not receive notice); </w:t>
      </w:r>
      <w:r>
        <w:rPr>
          <w:i/>
          <w:spacing w:val="-3"/>
        </w:rPr>
        <w:t>Pacific Gas &amp; Elec. Co. v. FPC</w:t>
      </w:r>
      <w:r>
        <w:rPr>
          <w:spacing w:val="-3"/>
        </w:rPr>
        <w:t xml:space="preserve">, 506 F.2d 33 (D.C. Cir. 1974) (proceeding did not provide for intervention).  </w:t>
      </w:r>
      <w:r>
        <w:rPr/>
        <w:t xml:space="preserve">Extraordinary circumstances do not exist here.  </w:t>
      </w:r>
      <w:r>
        <w:rPr>
          <w:spacing w:val="-3"/>
        </w:rPr>
        <w:t xml:space="preserve">PCA has not alleged a lack of notice or lack of intervention procedures.  On the contrary, the FERC has promulgated formal intervention procedures, 18 C.F.R. § 385.214; the notices published by the FERC directed interested persons to file motions to intervene in the Intervenors' proceedings pursuant to those procedures by dates ranging from August 24 through September 14, 1998, R. 57, 20, 95, 2 and 141; and FERC found that PCA had adequate opportunity to timely file motions to intervene in Intervenors' proceedings.  </w:t>
      </w:r>
      <w:r>
        <w:rPr>
          <w:i/>
          <w:spacing w:val="-3"/>
        </w:rPr>
        <w:t>See, e.g.,</w:t>
      </w:r>
      <w:r>
        <w:rPr>
          <w:spacing w:val="-3"/>
        </w:rPr>
        <w:t xml:space="preserve"> June 21 Order, 87 FERC ¶ 61,342.  Although PCA has alleged delay due to the automatic stay imposed by bankruptcy court proceedings, it has failed to explain why it delayed intervention for five weeks beyond the date on which regulatory counsel was authorized by the bankruptcy court or 18 days beyond the date on which it filed a request for rehearing of the August 28 Order.  </w:t>
      </w:r>
      <w:r>
        <w:rPr/>
        <w:t>The fact that PCA was able to timely move for intervention in other dockets that are the subject of the orders under review, and file letters requesting an extension of time to file in some of the Intervenors' proceedings, (</w:t>
      </w:r>
      <w:r>
        <w:rPr>
          <w:i/>
        </w:rPr>
        <w:t>see, e.g.</w:t>
      </w:r>
      <w:r>
        <w:rPr/>
        <w:t>, R. 3 and 22), demonstrates that PCA had adequate notice and opportunity to move for intervention in Intervenors' proceedings had it not elected to sit on its rights.</w:t>
      </w:r>
    </w:p>
    <w:p>
      <w:pPr>
        <w:pStyle w:val="Normal"/>
        <w:tabs>
          <w:tab w:val="clear" w:pos="720"/>
          <w:tab w:val="left" w:pos="0" w:leader="none"/>
        </w:tabs>
        <w:spacing w:lineRule="auto" w:line="480"/>
        <w:ind w:firstLine="1440" w:end="0"/>
        <w:rPr>
          <w:spacing w:val="-3"/>
        </w:rPr>
      </w:pPr>
      <w:r>
        <w:rPr>
          <w:spacing w:val="-3"/>
        </w:rPr>
        <w:t xml:space="preserve">Under FPA § 313 a prerequisite to a party seeking judicial review is that the party seek rehearing before FERC of the alleged errors.  The Commission noted that the critical factor in denying PCA's requests for rehearing was its lack of party status because it did not timely seek to intervene.  </w:t>
      </w:r>
      <w:r>
        <w:rPr>
          <w:i/>
          <w:spacing w:val="-3"/>
        </w:rPr>
        <w:t>See</w:t>
      </w:r>
      <w:r>
        <w:rPr>
          <w:spacing w:val="-3"/>
        </w:rPr>
        <w:t xml:space="preserve"> </w:t>
      </w:r>
      <w:r>
        <w:rPr/>
        <w:t>June 21 Order,</w:t>
      </w:r>
      <w:r>
        <w:rPr>
          <w:i/>
          <w:spacing w:val="-3"/>
        </w:rPr>
        <w:t xml:space="preserve"> </w:t>
      </w:r>
      <w:r>
        <w:rPr>
          <w:spacing w:val="-3"/>
        </w:rPr>
        <w:t>87 FERC ¶ 61,342 at 62,323 (1999).</w:t>
      </w:r>
      <w:r>
        <w:rPr/>
        <w:t xml:space="preserve">  PCA was not a party at the time it sought rehearing in the El Paso, Enron, PGET and South Jersey proceedings; PCA had not even </w:t>
      </w:r>
      <w:r>
        <w:rPr>
          <w:u w:val="single"/>
        </w:rPr>
        <w:t>requested</w:t>
      </w:r>
      <w:r>
        <w:rPr/>
        <w:t xml:space="preserve"> party status as of the statutory due date.  PCA, thus, was barred from seeking rehearing by Section 313(a) of the FPA, 16 U.S.C. § 825</w:t>
      </w:r>
      <w:r>
        <w:rPr>
          <w:i/>
        </w:rPr>
        <w:t>l</w:t>
      </w:r>
      <w:r>
        <w:rPr/>
        <w:t xml:space="preserve">(a), and Rule 713(b) of the Commission's Rules of Practice and Procedure.  18 C.F.R. 385.713(b).  FERC has no authority to extend the rehearing deadline, </w:t>
      </w:r>
      <w:r>
        <w:rPr>
          <w:i/>
        </w:rPr>
        <w:t>Boston Gas Co. v. FERC</w:t>
      </w:r>
      <w:r>
        <w:rPr/>
        <w:t>, 575 F.2d 975 (1st Cir. 1978), and thus FERC had no jurisdiction to hear PCA's requests for rehearing in these four Intervenors' proceedings.  Even if FERC had granted PCA's motion to intervene in these four Intervenors' proceedings on the date filed, PCA would have missed the statutory deadline for filing requests for rehearing by several weeks.</w:t>
      </w:r>
    </w:p>
    <w:p>
      <w:pPr>
        <w:pStyle w:val="Normal"/>
        <w:tabs>
          <w:tab w:val="clear" w:pos="720"/>
          <w:tab w:val="left" w:pos="-720" w:leader="none"/>
          <w:tab w:val="left" w:pos="0" w:leader="none"/>
          <w:tab w:val="left" w:pos="1440" w:leader="none"/>
        </w:tabs>
        <w:suppressAutoHyphens w:val="true"/>
        <w:spacing w:lineRule="auto" w:line="480"/>
        <w:ind w:firstLine="1440" w:end="0"/>
        <w:rPr/>
      </w:pPr>
      <w:r>
        <w:rPr/>
        <w:t xml:space="preserve">As discussed above, the Court reviews FERC's decisions under an arbitrary and capricious standard.  The arbitrary and capricious standard has been held to be even more deferential where the Court is reviewing an agency's application of its own rules.  </w:t>
      </w:r>
      <w:r>
        <w:rPr>
          <w:i/>
        </w:rPr>
        <w:t>Citizens for Fair Utility Regulation v. NRC</w:t>
      </w:r>
      <w:r>
        <w:rPr/>
        <w:t xml:space="preserve">, 898 F.2d 51, 54 (5th Cir.), </w:t>
      </w:r>
      <w:r>
        <w:rPr>
          <w:i/>
        </w:rPr>
        <w:t>cert. denied</w:t>
      </w:r>
      <w:r>
        <w:rPr/>
        <w:t>, 498 U.S. 896 (1990).  The Commission's orders under review clearly demonstrate FERC's reasoned decision-making in denying PCA's late motions to intervene on the basis of PCA's dilatory conduct, thus its decision that PCA is not a party to any of the Intervenors' proceedings is not arbitrary and capricious and, in light of the deference which this Court affords an agency's application of its own rules, must not be disturbed.</w:t>
      </w:r>
    </w:p>
    <w:p>
      <w:pPr>
        <w:pStyle w:val="Normal"/>
        <w:tabs>
          <w:tab w:val="clear" w:pos="720"/>
          <w:tab w:val="left" w:pos="-720" w:leader="none"/>
          <w:tab w:val="left" w:pos="0" w:leader="none"/>
          <w:tab w:val="left" w:pos="1440" w:leader="none"/>
        </w:tabs>
        <w:suppressAutoHyphens w:val="true"/>
        <w:spacing w:lineRule="auto" w:line="480"/>
        <w:ind w:firstLine="1440" w:end="0"/>
        <w:rPr/>
      </w:pPr>
      <w:r>
        <w:rPr/>
        <w:t xml:space="preserve">FERC has promulgated rules governing intervention in proceedings before the Commission.  18 C.F.R. § 385.214.  The Commission's Regulations require that "[i]f a motion to intervene is filed after the end of the time period established [for timely intervention], such a motion </w:t>
      </w:r>
      <w:r>
        <w:rPr>
          <w:i/>
        </w:rPr>
        <w:t>must . . . show good cause</w:t>
      </w:r>
      <w:r>
        <w:rPr/>
        <w:t xml:space="preserve"> why the time limitation should be waived."  </w:t>
      </w:r>
      <w:r>
        <w:rPr>
          <w:spacing w:val="-3"/>
        </w:rPr>
        <w:t xml:space="preserve">18 C.F.R. §385.214(b)(3) (emphasis added).  The Commission found that PCA had not provided "good cause" for its late interventions.  </w:t>
      </w:r>
      <w:r>
        <w:rPr>
          <w:i/>
          <w:spacing w:val="-3"/>
        </w:rPr>
        <w:t>See, e.g.</w:t>
      </w:r>
      <w:r>
        <w:rPr>
          <w:spacing w:val="-3"/>
        </w:rPr>
        <w:t xml:space="preserve">, June 21 Order at 62,323.  An agency is bound to follow its own rules.  </w:t>
      </w:r>
      <w:r>
        <w:rPr>
          <w:i/>
          <w:spacing w:val="-3"/>
        </w:rPr>
        <w:t>See, e.g.</w:t>
      </w:r>
      <w:r>
        <w:rPr>
          <w:spacing w:val="-3"/>
        </w:rPr>
        <w:t>,</w:t>
      </w:r>
      <w:r>
        <w:rPr>
          <w:i/>
          <w:spacing w:val="-3"/>
        </w:rPr>
        <w:t xml:space="preserve"> United States v. Nixon</w:t>
      </w:r>
      <w:r>
        <w:rPr>
          <w:spacing w:val="-3"/>
        </w:rPr>
        <w:t xml:space="preserve">, 418 U.S. 683, 695-96 (1974).  </w:t>
      </w:r>
      <w:r>
        <w:rPr/>
        <w:t xml:space="preserve">PCA's entire legal argument that FERC erred in not granting its late motions to intervene is based on its assertion that FERC was required to consider each of five factors set forth in its rule governing late intervention.  Pet. Br. at 36-39.  PCA argues that the Commission relied on only its unexplained lateness to the exclusion of the other four factors.  </w:t>
      </w:r>
      <w:r>
        <w:rPr>
          <w:i/>
        </w:rPr>
        <w:t>Id</w:t>
      </w:r>
      <w:r>
        <w:rPr/>
        <w:t xml:space="preserve">.  PCA's analysis is, however, flawed.  The relevant portion of FERC's rule states:  "[i]n acting on any motion to intervene filed after the period prescribed [for timely intervention], the decisional authority </w:t>
      </w:r>
      <w:r>
        <w:rPr>
          <w:i/>
        </w:rPr>
        <w:t>may consider</w:t>
      </w:r>
      <w:r>
        <w:rPr/>
        <w:t xml:space="preserve"> . . . [five enumerated factors]."  18 C.F.R. § 385.214(d)(1) (emphasis added).  Contrary to PCA, by the express wording of the rule, the factors are permissive — "may consider" — rather than mandatory.  </w:t>
      </w:r>
      <w:r>
        <w:rPr>
          <w:i/>
        </w:rPr>
        <w:t>See</w:t>
      </w:r>
      <w:r>
        <w:rPr/>
        <w:t xml:space="preserve"> Resp. Br. at 23.  One of the five factors is whether the movant has shown good cause for failing the file the motion within the time prescribed.  18 C.F.R. § 385.214(d)(1)(i).  On October 16, 1998, seven weeks after the August 28 Order, four weeks after the September 18 Letter Order, and five weeks after it stated it was authorized by the bankruptcy court to participate, PCA for the first time requested intervention in the Intervenors' proceedings.  The Commission was well within its discretion under its rules in deciding that, in light of PCA's unexplained delay, PCA had not met its obligation to show good cause. </w:t>
      </w:r>
    </w:p>
    <w:p>
      <w:pPr>
        <w:pStyle w:val="Normal"/>
        <w:tabs>
          <w:tab w:val="clear" w:pos="720"/>
          <w:tab w:val="left" w:pos="0" w:leader="none"/>
        </w:tabs>
        <w:spacing w:lineRule="auto" w:line="480"/>
        <w:ind w:firstLine="1440" w:end="0"/>
        <w:rPr/>
      </w:pPr>
      <w:r>
        <w:rPr/>
        <w:t xml:space="preserve">Although FERC's rules allow timely, unopposed motions to intervene to automatically confer party status, the Commission noted in the orders on review: "a late movant 'becomes a party only when the motion is expressly granted,'" an event which did not occur in proceedings.  </w:t>
      </w:r>
      <w:r>
        <w:rPr>
          <w:i/>
        </w:rPr>
        <w:t>See</w:t>
      </w:r>
      <w:r>
        <w:rPr/>
        <w:t xml:space="preserve"> March 29 Order, 86 FERC at 62,056 (quoting 18 C.F.R. § 385.214(c)(2)) (footnote omitted); </w:t>
      </w:r>
      <w:r>
        <w:rPr>
          <w:spacing w:val="-3"/>
        </w:rPr>
        <w:t>FERC's denial of PCA's late motions is consistent with prior FERC decisions in view of PCA's unexplained delays.</w:t>
      </w:r>
      <w:r>
        <w:rPr>
          <w:rStyle w:val="FootnoteCharacters"/>
          <w:rStyle w:val="FootnoteReference"/>
          <w:spacing w:val="-3"/>
        </w:rPr>
        <w:footnoteReference w:id="10"/>
      </w:r>
      <w:r>
        <w:rPr>
          <w:spacing w:val="-3"/>
        </w:rPr>
        <w:t xml:space="preserve">  In particular, "'[i]t is the longstanding policy of the Commission not to grant untimely motions to intervene after a final order has been issued.'" </w:t>
      </w:r>
      <w:r>
        <w:rPr>
          <w:i/>
          <w:spacing w:val="-3"/>
        </w:rPr>
        <w:t>Western Resources, Inc</w:t>
      </w:r>
      <w:r>
        <w:rPr>
          <w:spacing w:val="-3"/>
        </w:rPr>
        <w:t xml:space="preserve">., 83 FERC ¶ 61,077 (1998)(quoting </w:t>
      </w:r>
      <w:r>
        <w:rPr>
          <w:i/>
          <w:spacing w:val="-3"/>
        </w:rPr>
        <w:t>Williams Natural Gas Co.</w:t>
      </w:r>
      <w:r>
        <w:rPr>
          <w:spacing w:val="-3"/>
        </w:rPr>
        <w:t xml:space="preserve">, 54 FERC ¶ 61,190 at 61,572, </w:t>
      </w:r>
      <w:r>
        <w:rPr>
          <w:i/>
          <w:spacing w:val="-3"/>
        </w:rPr>
        <w:t>reh'g denied</w:t>
      </w:r>
      <w:r>
        <w:rPr>
          <w:spacing w:val="-3"/>
        </w:rPr>
        <w:t>, 55 FERC ¶ 61,141 (1991)).  Thus, denial of PCA's late motions to intervene, which it submitted after the issuance of the August 28 Order and the September 18 Letter Order, was in accordance with "long-standing" FERC policy not to grant untimely motions to intervene after a final order is issued.</w:t>
      </w:r>
      <w:r>
        <w:rPr>
          <w:rStyle w:val="FootnoteCharacters"/>
          <w:rStyle w:val="FootnoteReference"/>
          <w:spacing w:val="-3"/>
        </w:rPr>
        <w:footnoteReference w:id="11"/>
      </w:r>
      <w:r>
        <w:rPr>
          <w:spacing w:val="-3"/>
        </w:rPr>
        <w:t xml:space="preserve"> </w:t>
      </w:r>
    </w:p>
    <w:p>
      <w:pPr>
        <w:pStyle w:val="Normal"/>
        <w:tabs>
          <w:tab w:val="clear" w:pos="720"/>
          <w:tab w:val="left" w:pos="0" w:leader="none"/>
        </w:tabs>
        <w:spacing w:lineRule="auto" w:line="480"/>
        <w:ind w:firstLine="1440" w:end="0"/>
        <w:rPr/>
      </w:pPr>
      <w:r>
        <w:rPr/>
        <w:t>In an unavailing and belated attempt to show good cause for its late motions to intervene, PCA states in its late motions that it did not receive approval to retain regulatory counsel from the bankruptcy court until September 9, 1998.</w:t>
      </w:r>
      <w:r>
        <w:rPr>
          <w:rStyle w:val="FootnoteCharacters"/>
          <w:rStyle w:val="FootnoteReference"/>
        </w:rPr>
        <w:footnoteReference w:id="12"/>
      </w:r>
      <w:r>
        <w:rPr/>
        <w:t xml:space="preserve">  Despite such representations, PCA failed to explain the more than five week delay between the bankruptcy court's approval and the filing of its motions for late intervention on October 16, 1998.  Further, PCA's ability to file for rehearing on September 28, 1998 demonstrates that it had the ability to participate in the FERC proceedings as of an earlier date than the date on which it elected to file its motions for late intervention.  </w:t>
      </w:r>
    </w:p>
    <w:p>
      <w:pPr>
        <w:pStyle w:val="Normal"/>
        <w:tabs>
          <w:tab w:val="clear" w:pos="720"/>
          <w:tab w:val="left" w:pos="-720" w:leader="none"/>
          <w:tab w:val="left" w:pos="0" w:leader="none"/>
          <w:tab w:val="left" w:pos="1440" w:leader="none"/>
        </w:tabs>
        <w:suppressAutoHyphens w:val="true"/>
        <w:spacing w:lineRule="auto" w:line="480"/>
        <w:ind w:firstLine="1440" w:end="0"/>
        <w:rPr/>
      </w:pPr>
      <w:r>
        <w:rPr/>
        <w:t xml:space="preserve">PCA argues at length that it was confused about its party status.  Pet. Br. at 35-36.  PCA also raises numerous specious arguments that it was somehow entitled to party status because no party could contest its right to intervene and all concerned treated it like a party.  </w:t>
      </w:r>
      <w:r>
        <w:rPr>
          <w:i/>
        </w:rPr>
        <w:t>Id.</w:t>
      </w:r>
      <w:r>
        <w:rPr/>
        <w:t xml:space="preserve">  Such arguments are irrelevant camouflage intended to divert attention from the facts and law at issue.  FERC’s rules require a motion to intervene before the Commission can grant intervention.  PCA never filed timely motions in Intervenors' proceedings.  FERC squarely rejected PCA's suggestions that the Commission should have considered its letters requesting an extension of time to file for intervention as motions to intervene.  June 21 Order; Resp. Br. at 21-22.</w:t>
      </w:r>
      <w:r>
        <w:rPr>
          <w:rStyle w:val="FootnoteCharacters"/>
          <w:rStyle w:val="FootnoteReference"/>
        </w:rPr>
        <w:footnoteReference w:id="13"/>
      </w:r>
      <w:r>
        <w:rPr/>
        <w:t xml:space="preserve"> </w:t>
      </w:r>
      <w:r>
        <w:rPr>
          <w:spacing w:val="-3"/>
        </w:rPr>
        <w:t xml:space="preserve">PCA's assertion that it was granted party status on August 28, 1998 by the Commission's grant of timely and untimely interventions, and the Commission's subsequent reference to PCA as an intervenor (due to its timely intervention in some of the dockets before FERC (Pet. Br. at 18)) makes a mockery of the rules.  FERC's grant of the motions actually before the Commission cannot legitimately be read to be a grant of motions that were not yet filed, and would not be filed until nearly two months later.  Among other reasons, FERC cannot assess whether "good cause" has been shown before such arguments are presented.  </w:t>
      </w:r>
      <w:r>
        <w:rPr/>
        <w:t>FERC denied PCA's late motions through a proper application of FERC’s rules and reasoned decision making.  Absent a timely motion to intervene, or FERC grant of a late motion, PCA is not a party.  PCA’s policy arguments that it was entitled to be a party are irrelevant—there is no intervention of right before the FERC.</w:t>
      </w:r>
    </w:p>
    <w:p>
      <w:pPr>
        <w:pStyle w:val="Heading2"/>
        <w:ind w:hanging="720" w:start="720" w:end="0"/>
        <w:rPr>
          <w:b/>
        </w:rPr>
      </w:pPr>
      <w:bookmarkStart w:id="20" w:name="__RefHeading___Toc495768972"/>
      <w:bookmarkEnd w:id="20"/>
      <w:r>
        <w:rPr>
          <w:b/>
        </w:rPr>
        <w:t>IV.</w:t>
        <w:tab/>
      </w:r>
      <w:r>
        <w:rPr>
          <w:b/>
          <w:u w:val="single"/>
        </w:rPr>
        <w:t>CONCLUSION</w:t>
      </w:r>
    </w:p>
    <w:p>
      <w:pPr>
        <w:pStyle w:val="Normal"/>
        <w:rPr>
          <w:b/>
        </w:rPr>
      </w:pPr>
      <w:r>
        <w:rPr>
          <w:b/>
        </w:rPr>
      </w:r>
    </w:p>
    <w:p>
      <w:pPr>
        <w:pStyle w:val="Normal"/>
        <w:spacing w:lineRule="auto" w:line="480"/>
        <w:rPr/>
      </w:pPr>
      <w:r>
        <w:rPr/>
        <w:tab/>
        <w:tab/>
        <w:t>Each of the Intervenors is a power marketer that at the time of the FERC Orders did not own generating assets and therefore were not required to have on file, and did not have on file, the umbrella service agreements pursuant to which the PCA transactions were negotiated.  Further, none of the Intervenors were required to have on file, and had on file at the time, the transaction agreements with PCA.  Thus, when each of the Intervenors, as a precautionary measure, filed under Section 35.15 to cancel transactions with PCA, in fact, as FERC ultimately held, there was nothing on file with FERC to cancel.  For the foregoing reasons, Intervenors in Support of Respondent respectfully request that the Court affirm the FERC Orders on review in all respects.  Alternatively, Intervenors respectfully request that the Court dismiss the petition with regard to the Docket Nos. ER98-4348-000 (Cook Inlet), ER98-4176-000 (El Paso), ER98-3966-000 (EPMI), ER98-4040-000 (PGET), and ER98-4131-000 (South Jersey).</w:t>
      </w:r>
    </w:p>
    <w:p>
      <w:pPr>
        <w:pStyle w:val="Normal"/>
        <w:rPr/>
      </w:pPr>
      <w:r>
        <w:rPr/>
      </w:r>
    </w:p>
    <w:p>
      <w:pPr>
        <w:pStyle w:val="Normal"/>
        <w:spacing w:lineRule="auto" w:line="480"/>
        <w:rPr/>
      </w:pPr>
      <w:r>
        <w:rPr/>
        <w:tab/>
        <w:tab/>
        <w:tab/>
        <w:tab/>
        <w:tab/>
        <w:tab/>
        <w:t>Respectfully submitted,</w:t>
      </w:r>
    </w:p>
    <w:p>
      <w:pPr>
        <w:pStyle w:val="Normal"/>
        <w:spacing w:lineRule="auto" w:line="480"/>
        <w:rPr/>
      </w:pPr>
      <w:r>
        <w:rPr/>
      </w:r>
    </w:p>
    <w:p>
      <w:pPr>
        <w:pStyle w:val="Normal"/>
        <w:rPr/>
      </w:pPr>
      <w:r>
        <w:rPr/>
        <w:tab/>
        <w:tab/>
        <w:tab/>
        <w:tab/>
        <w:tab/>
        <w:tab/>
        <w:t>___________________________</w:t>
      </w:r>
    </w:p>
    <w:p>
      <w:pPr>
        <w:pStyle w:val="Normal"/>
        <w:rPr/>
      </w:pPr>
      <w:r>
        <w:rPr/>
        <w:t>PG&amp;E Energy Trading-Power, L.P.</w:t>
        <w:tab/>
        <w:tab/>
        <w:t>Earle H. O'Donnell</w:t>
      </w:r>
    </w:p>
    <w:p>
      <w:pPr>
        <w:pStyle w:val="Footer"/>
        <w:tabs>
          <w:tab w:val="clear" w:pos="4320"/>
          <w:tab w:val="clear" w:pos="8640"/>
        </w:tabs>
        <w:rPr/>
      </w:pPr>
      <w:r>
        <w:rPr/>
        <w:t>El Paso Merchant Energy, L.P.</w:t>
        <w:tab/>
        <w:tab/>
        <w:t>Donna M. Attanasio</w:t>
      </w:r>
    </w:p>
    <w:p>
      <w:pPr>
        <w:pStyle w:val="Normal"/>
        <w:rPr/>
      </w:pPr>
      <w:r>
        <w:rPr/>
        <w:tab/>
        <w:tab/>
        <w:tab/>
        <w:tab/>
        <w:tab/>
        <w:tab/>
        <w:t>Bruce A. Grabow</w:t>
      </w:r>
    </w:p>
    <w:p>
      <w:pPr>
        <w:pStyle w:val="Normal"/>
        <w:rPr/>
      </w:pPr>
      <w:r>
        <w:rPr/>
        <w:tab/>
        <w:tab/>
        <w:tab/>
        <w:tab/>
        <w:tab/>
        <w:tab/>
        <w:t>DEWEY BALLANTINE LLP</w:t>
      </w:r>
    </w:p>
    <w:p>
      <w:pPr>
        <w:pStyle w:val="Normal"/>
        <w:rPr/>
      </w:pPr>
      <w:r>
        <w:rPr/>
        <w:tab/>
        <w:tab/>
        <w:tab/>
        <w:tab/>
        <w:tab/>
        <w:tab/>
        <w:t>1775 Pennsylvania Ave., N.W.</w:t>
      </w:r>
    </w:p>
    <w:p>
      <w:pPr>
        <w:pStyle w:val="Normal"/>
        <w:rPr/>
      </w:pPr>
      <w:r>
        <w:rPr/>
        <w:tab/>
        <w:tab/>
        <w:tab/>
        <w:tab/>
        <w:tab/>
        <w:tab/>
        <w:t>Washington, DC 20006-4605</w:t>
        <w:tab/>
      </w:r>
    </w:p>
    <w:p>
      <w:pPr>
        <w:pStyle w:val="Normal"/>
        <w:rPr/>
      </w:pPr>
      <w:r>
        <w:rPr/>
      </w:r>
    </w:p>
    <w:p>
      <w:pPr>
        <w:pStyle w:val="Normal"/>
        <w:rPr/>
      </w:pPr>
      <w:r>
        <w:rPr/>
        <w:t>Cook Inlet Energy Supply, L.P.</w:t>
        <w:tab/>
        <w:tab/>
        <w:t>Terry D. Kernell</w:t>
      </w:r>
    </w:p>
    <w:p>
      <w:pPr>
        <w:pStyle w:val="Normal"/>
        <w:rPr/>
      </w:pPr>
      <w:r>
        <w:rPr/>
        <w:tab/>
        <w:tab/>
        <w:tab/>
        <w:tab/>
        <w:tab/>
        <w:tab/>
        <w:t>David I. Bloom</w:t>
      </w:r>
    </w:p>
    <w:p>
      <w:pPr>
        <w:pStyle w:val="Normal"/>
        <w:rPr/>
      </w:pPr>
      <w:r>
        <w:rPr/>
        <w:tab/>
        <w:tab/>
        <w:tab/>
        <w:tab/>
        <w:tab/>
        <w:tab/>
        <w:t>MAYER, BROWN &amp; PLATT</w:t>
      </w:r>
    </w:p>
    <w:p>
      <w:pPr>
        <w:pStyle w:val="Normal"/>
        <w:rPr/>
      </w:pPr>
      <w:r>
        <w:rPr/>
        <w:tab/>
        <w:tab/>
        <w:tab/>
        <w:tab/>
        <w:tab/>
        <w:tab/>
        <w:t>700 Louisiana</w:t>
      </w:r>
    </w:p>
    <w:p>
      <w:pPr>
        <w:pStyle w:val="Normal"/>
        <w:rPr/>
      </w:pPr>
      <w:r>
        <w:rPr/>
        <w:tab/>
        <w:tab/>
        <w:tab/>
        <w:tab/>
        <w:tab/>
        <w:tab/>
        <w:t>3600 NationsBank Center</w:t>
      </w:r>
    </w:p>
    <w:p>
      <w:pPr>
        <w:pStyle w:val="Normal"/>
        <w:rPr/>
      </w:pPr>
      <w:r>
        <w:rPr/>
        <w:tab/>
        <w:tab/>
        <w:tab/>
        <w:tab/>
        <w:tab/>
        <w:tab/>
        <w:t>Houston, TX 77002</w:t>
      </w:r>
    </w:p>
    <w:p>
      <w:pPr>
        <w:pStyle w:val="Normal"/>
        <w:rPr/>
      </w:pPr>
      <w:r>
        <w:rPr/>
      </w:r>
    </w:p>
    <w:p>
      <w:pPr>
        <w:pStyle w:val="Normal"/>
        <w:rPr/>
      </w:pPr>
      <w:r>
        <w:rPr/>
        <w:t>Enron Power Marketing, Inc.</w:t>
        <w:tab/>
        <w:tab/>
        <w:tab/>
        <w:t>David P. Sharo</w:t>
        <w:tab/>
        <w:tab/>
      </w:r>
    </w:p>
    <w:p>
      <w:pPr>
        <w:pStyle w:val="Normal"/>
        <w:rPr/>
      </w:pPr>
      <w:r>
        <w:rPr/>
        <w:tab/>
        <w:tab/>
        <w:tab/>
        <w:tab/>
        <w:tab/>
        <w:tab/>
        <w:t>LEBOEUF, LAMB, GREENE &amp; MACRAE</w:t>
      </w:r>
    </w:p>
    <w:p>
      <w:pPr>
        <w:pStyle w:val="Normal"/>
        <w:rPr/>
      </w:pPr>
      <w:r>
        <w:rPr/>
        <w:tab/>
        <w:tab/>
        <w:tab/>
        <w:tab/>
        <w:tab/>
        <w:tab/>
        <w:t>1875 Connecticut Ave., N.W.</w:t>
        <w:tab/>
      </w:r>
    </w:p>
    <w:p>
      <w:pPr>
        <w:pStyle w:val="Normal"/>
        <w:rPr/>
      </w:pPr>
      <w:r>
        <w:rPr/>
        <w:tab/>
        <w:tab/>
        <w:tab/>
        <w:tab/>
        <w:tab/>
        <w:tab/>
        <w:t>Suite 1200</w:t>
      </w:r>
    </w:p>
    <w:p>
      <w:pPr>
        <w:pStyle w:val="Normal"/>
        <w:rPr/>
      </w:pPr>
      <w:r>
        <w:rPr/>
        <w:tab/>
        <w:tab/>
        <w:tab/>
        <w:tab/>
        <w:tab/>
        <w:tab/>
        <w:t>Washington, DC 20009-5728</w:t>
      </w:r>
    </w:p>
    <w:p>
      <w:pPr>
        <w:pStyle w:val="Normal"/>
        <w:rPr/>
      </w:pPr>
      <w:r>
        <w:rPr/>
      </w:r>
    </w:p>
    <w:p>
      <w:pPr>
        <w:pStyle w:val="Normal"/>
        <w:keepNext w:val="true"/>
        <w:rPr/>
      </w:pPr>
      <w:r>
        <w:rPr/>
        <w:t>South Jersey Energy Company</w:t>
        <w:tab/>
        <w:tab/>
        <w:t>Jacob Dweck</w:t>
      </w:r>
    </w:p>
    <w:p>
      <w:pPr>
        <w:pStyle w:val="Normal"/>
        <w:keepNext w:val="true"/>
        <w:rPr/>
      </w:pPr>
      <w:r>
        <w:rPr/>
        <w:tab/>
        <w:tab/>
        <w:tab/>
        <w:tab/>
        <w:tab/>
        <w:tab/>
        <w:t>Daniel E. Frank</w:t>
      </w:r>
    </w:p>
    <w:p>
      <w:pPr>
        <w:pStyle w:val="Normal"/>
        <w:keepNext w:val="true"/>
        <w:rPr/>
      </w:pPr>
      <w:r>
        <w:rPr/>
        <w:tab/>
        <w:tab/>
        <w:tab/>
        <w:tab/>
        <w:tab/>
        <w:tab/>
        <w:t>Paul B. Turner</w:t>
      </w:r>
    </w:p>
    <w:p>
      <w:pPr>
        <w:pStyle w:val="Normal"/>
        <w:keepNext w:val="true"/>
        <w:rPr/>
      </w:pPr>
      <w:r>
        <w:rPr/>
        <w:tab/>
        <w:tab/>
        <w:tab/>
        <w:tab/>
        <w:tab/>
        <w:tab/>
        <w:t xml:space="preserve">SUTHERLAND, ASBILL &amp; </w:t>
      </w:r>
    </w:p>
    <w:p>
      <w:pPr>
        <w:pStyle w:val="Normal"/>
        <w:keepNext w:val="true"/>
        <w:rPr/>
      </w:pPr>
      <w:r>
        <w:rPr/>
        <w:tab/>
        <w:tab/>
        <w:tab/>
        <w:tab/>
        <w:tab/>
        <w:tab/>
        <w:tab/>
        <w:t>BRENNAN, L.L.P</w:t>
      </w:r>
    </w:p>
    <w:p>
      <w:pPr>
        <w:pStyle w:val="Normal"/>
        <w:rPr/>
      </w:pPr>
      <w:r>
        <w:rPr/>
        <w:tab/>
        <w:tab/>
        <w:tab/>
        <w:tab/>
        <w:tab/>
        <w:tab/>
        <w:t>1275 Pennsylvania Ave., N.W.</w:t>
      </w:r>
    </w:p>
    <w:p>
      <w:pPr>
        <w:pStyle w:val="Normal"/>
        <w:rPr/>
      </w:pPr>
      <w:r>
        <w:rPr/>
        <w:tab/>
        <w:tab/>
        <w:tab/>
        <w:tab/>
        <w:tab/>
        <w:tab/>
        <w:t>Washington, DC 20004-2415</w:t>
      </w:r>
    </w:p>
    <w:p>
      <w:pPr>
        <w:pStyle w:val="Normal"/>
        <w:spacing w:lineRule="auto" w:line="480"/>
        <w:rPr/>
      </w:pPr>
      <w:r>
        <w:rPr/>
      </w:r>
    </w:p>
    <w:p>
      <w:pPr>
        <w:pStyle w:val="Normal"/>
        <w:spacing w:lineRule="auto" w:line="480"/>
        <w:rPr/>
      </w:pPr>
      <w:r>
        <w:rPr/>
        <w:t>Dated:  October 13, 2000</w:t>
      </w:r>
    </w:p>
    <w:p>
      <w:pPr>
        <w:pStyle w:val="Normal"/>
        <w:spacing w:lineRule="auto" w:line="480"/>
        <w:rPr/>
      </w:pPr>
      <w:r>
        <w:rPr/>
      </w:r>
    </w:p>
    <w:p>
      <w:pPr>
        <w:sectPr>
          <w:headerReference w:type="default" r:id="rId22"/>
          <w:headerReference w:type="first" r:id="rId23"/>
          <w:footerReference w:type="default" r:id="rId24"/>
          <w:footerReference w:type="first" r:id="rId25"/>
          <w:footnotePr>
            <w:numFmt w:val="decimal"/>
            <w:numRestart w:val="eachSect"/>
          </w:footnotePr>
          <w:type w:val="nextPage"/>
          <w:pgSz w:w="12240" w:h="15840"/>
          <w:pgMar w:left="1800" w:right="1800" w:gutter="0" w:header="720" w:top="1440" w:footer="720" w:bottom="1440"/>
          <w:pgNumType w:start="1" w:fmt="decimal"/>
          <w:formProt w:val="false"/>
          <w:titlePg/>
          <w:textDirection w:val="lrTb"/>
          <w:docGrid w:type="default" w:linePitch="360" w:charSpace="0"/>
        </w:sectPr>
        <w:pStyle w:val="Normal"/>
        <w:spacing w:lineRule="auto" w:line="480"/>
        <w:rPr/>
      </w:pPr>
      <w:r>
        <w:rPr/>
      </w:r>
    </w:p>
    <w:p>
      <w:pPr>
        <w:pStyle w:val="Normal"/>
        <w:spacing w:lineRule="auto" w:line="480"/>
        <w:jc w:val="center"/>
        <w:rPr>
          <w:b/>
          <w:u w:val="single"/>
        </w:rPr>
      </w:pPr>
      <w:r>
        <w:rPr>
          <w:b/>
          <w:u w:val="single"/>
        </w:rPr>
        <w:t>CERTIFICATE OF COMPLIANCE</w:t>
      </w:r>
    </w:p>
    <w:p>
      <w:pPr>
        <w:pStyle w:val="Normal"/>
        <w:spacing w:lineRule="auto" w:line="480"/>
        <w:rPr/>
      </w:pPr>
      <w:r>
        <w:rPr/>
        <w:tab/>
        <w:t>Pursuant to Rule 28(d) of the Circuit Rules of the United States Court of Appeals for the District of Columbia Circuit, I hereby certify that this Brief does not exceed 8,750 words, as provided by this Court's March 22, 2000 Order.</w:t>
      </w:r>
    </w:p>
    <w:p>
      <w:pPr>
        <w:pStyle w:val="Normal"/>
        <w:spacing w:lineRule="auto" w:line="480"/>
        <w:rPr/>
      </w:pPr>
      <w:r>
        <w:rPr/>
      </w:r>
    </w:p>
    <w:p>
      <w:pPr>
        <w:pStyle w:val="Normal"/>
        <w:rPr/>
      </w:pPr>
      <w:r>
        <w:rPr/>
        <w:tab/>
        <w:tab/>
        <w:tab/>
        <w:tab/>
        <w:tab/>
        <w:tab/>
        <w:t>___________________________</w:t>
      </w:r>
    </w:p>
    <w:p>
      <w:pPr>
        <w:pStyle w:val="Normal"/>
        <w:rPr/>
      </w:pPr>
      <w:r>
        <w:rPr/>
        <w:tab/>
        <w:tab/>
        <w:tab/>
        <w:tab/>
        <w:tab/>
        <w:tab/>
        <w:tab/>
        <w:t>Bruce A. Grabow</w:t>
      </w:r>
    </w:p>
    <w:p>
      <w:pPr>
        <w:pStyle w:val="Normal"/>
        <w:rPr/>
      </w:pPr>
      <w:r>
        <w:rPr/>
      </w:r>
    </w:p>
    <w:p>
      <w:pPr>
        <w:pStyle w:val="Normal"/>
        <w:rPr/>
      </w:pPr>
      <w:r>
        <w:rPr/>
      </w:r>
    </w:p>
    <w:p>
      <w:pPr>
        <w:pStyle w:val="Normal"/>
        <w:rPr/>
      </w:pPr>
      <w:r>
        <w:rPr/>
      </w:r>
    </w:p>
    <w:p>
      <w:pPr>
        <w:pStyle w:val="Normal"/>
        <w:spacing w:lineRule="auto" w:line="480"/>
        <w:jc w:val="center"/>
        <w:rPr>
          <w:b/>
          <w:u w:val="single"/>
        </w:rPr>
      </w:pPr>
      <w:r>
        <w:rPr>
          <w:b/>
          <w:u w:val="single"/>
        </w:rPr>
        <w:t>CERTIFICATE OF SERVICE</w:t>
      </w:r>
    </w:p>
    <w:p>
      <w:pPr>
        <w:pStyle w:val="Normal"/>
        <w:spacing w:lineRule="auto" w:line="480"/>
        <w:rPr/>
      </w:pPr>
      <w:r>
        <w:rPr/>
        <w:tab/>
        <w:t>Pursuant to Rule 31(b) of the Federal Rules of Appellate Procedure, I hereby certify that two (2) copies of the Joint Brief for Intervenors in Support of Respondent were served upon each of the following via first class mail, postage prepaid, on this 13th day of October, 2000.</w:t>
      </w:r>
    </w:p>
    <w:p>
      <w:pPr>
        <w:pStyle w:val="Normal"/>
        <w:spacing w:lineRule="auto" w:line="480"/>
        <w:rPr/>
      </w:pPr>
      <w:r>
        <w:rPr/>
      </w:r>
    </w:p>
    <w:p>
      <w:pPr>
        <w:pStyle w:val="Normal"/>
        <w:rPr/>
      </w:pPr>
      <w:r>
        <w:rPr/>
        <w:tab/>
        <w:tab/>
        <w:tab/>
        <w:tab/>
        <w:tab/>
        <w:tab/>
        <w:t>___________________________</w:t>
      </w:r>
    </w:p>
    <w:p>
      <w:pPr>
        <w:pStyle w:val="Normal"/>
        <w:rPr/>
      </w:pPr>
      <w:r>
        <w:rPr/>
        <w:tab/>
        <w:tab/>
        <w:tab/>
        <w:tab/>
        <w:tab/>
        <w:tab/>
        <w:tab/>
        <w:t>Bruce A. Grabow</w:t>
      </w:r>
    </w:p>
    <w:p>
      <w:pPr>
        <w:pStyle w:val="Normal"/>
        <w:rPr/>
      </w:pPr>
      <w:r>
        <w:rPr/>
      </w:r>
    </w:p>
    <w:p>
      <w:pPr>
        <w:pStyle w:val="Normal"/>
        <w:spacing w:lineRule="auto" w:line="480"/>
        <w:rPr/>
      </w:pPr>
      <w:r>
        <w:rPr/>
        <w:t>[ADD LIST]</w:t>
      </w:r>
    </w:p>
    <w:sectPr>
      <w:headerReference w:type="default" r:id="rId26"/>
      <w:headerReference w:type="first" r:id="rId27"/>
      <w:footerReference w:type="default" r:id="rId28"/>
      <w:footerReference w:type="first" r:id="rId29"/>
      <w:footnotePr>
        <w:numFmt w:val="decimal"/>
        <w:numRestart w:val="eachSect"/>
      </w:footnotePr>
      <w:type w:val="nextPage"/>
      <w:pgSz w:w="12240" w:h="15840"/>
      <w:pgMar w:left="1800" w:right="1800" w:gutter="0" w:header="72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83820" cy="20955"/>
              <wp:effectExtent l="0" t="0" r="0" b="0"/>
              <wp:wrapSquare wrapText="bothSides"/>
              <wp:docPr id="1" name="Frame1"/>
              <a:graphic xmlns:a="http://schemas.openxmlformats.org/drawingml/2006/main">
                <a:graphicData uri="http://schemas.microsoft.com/office/word/2010/wordprocessingShape">
                  <wps:wsp>
                    <wps:cNvSpPr txBox="1"/>
                    <wps:spPr>
                      <a:xfrm>
                        <a:off x="0" y="0"/>
                        <a:ext cx="83820" cy="20955"/>
                      </a:xfrm>
                      <a:prstGeom prst="rect"/>
                      <a:solidFill>
                        <a:srgbClr val="FFFFFF">
                          <a:alpha val="0"/>
                        </a:srgbClr>
                      </a:solidFill>
                    </wps:spPr>
                    <wps:txbx>
                      <w:txbxContent>
                        <w:p>
                          <w:pPr>
                            <w:pStyle w:val="Footer"/>
                            <w:rPr>
                              <w:rStyle w:val="PageNumber"/>
                              <w:sz w:val="22"/>
                            </w:rPr>
                          </w:pP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r>
                          <w:r>
                            <w:rPr>
                              <w:rStyle w:val="PageNumber"/>
                              <w:sz w:val="22"/>
                            </w:rPr>
                            <w:fldChar w:fldCharType="end"/>
                          </w:r>
                        </w:p>
                      </w:txbxContent>
                    </wps:txbx>
                    <wps:bodyPr anchor="t" lIns="0" tIns="0" rIns="0" bIns="0">
                      <a:noAutofit/>
                    </wps:bodyPr>
                  </wps:wsp>
                </a:graphicData>
              </a:graphic>
            </wp:anchor>
          </w:drawing>
        </mc:Choice>
        <mc:Fallback>
          <w:pict>
            <v:rect fillcolor="#FFFFFF" style="position:absolute;rotation:-0;width:6.6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rStyle w:val="PageNumber"/>
                        <w:sz w:val="22"/>
                      </w:rPr>
                    </w:pP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r>
                    <w:r>
                      <w:rPr>
                        <w:rStyle w:val="PageNumber"/>
                        <w:sz w:val="22"/>
                      </w:rPr>
                      <w:fldChar w:fldCharType="end"/>
                    </w:r>
                  </w:p>
                </w:txbxContent>
              </v:textbox>
              <w10:wrap type="square"/>
            </v:rect>
          </w:pict>
        </mc:Fallback>
      </mc:AlternateConten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83820" cy="20955"/>
              <wp:effectExtent l="0" t="0" r="0" b="0"/>
              <wp:wrapSquare wrapText="bothSides"/>
              <wp:docPr id="6" name="Frame6"/>
              <a:graphic xmlns:a="http://schemas.openxmlformats.org/drawingml/2006/main">
                <a:graphicData uri="http://schemas.microsoft.com/office/word/2010/wordprocessingShape">
                  <wps:wsp>
                    <wps:cNvSpPr txBox="1"/>
                    <wps:spPr>
                      <a:xfrm>
                        <a:off x="0" y="0"/>
                        <a:ext cx="83820" cy="20955"/>
                      </a:xfrm>
                      <a:prstGeom prst="rect"/>
                      <a:solidFill>
                        <a:srgbClr val="FFFFFF">
                          <a:alpha val="0"/>
                        </a:srgbClr>
                      </a:solidFill>
                    </wps:spPr>
                    <wps:txbx>
                      <w:txbxContent>
                        <w:p>
                          <w:pPr>
                            <w:pStyle w:val="Footer"/>
                            <w:rPr/>
                          </w:pP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ii</w:t>
                          </w:r>
                          <w:r>
                            <w:rPr>
                              <w:rStyle w:val="PageNumber"/>
                              <w:sz w:val="22"/>
                            </w:rPr>
                            <w:fldChar w:fldCharType="end"/>
                          </w:r>
                        </w:p>
                      </w:txbxContent>
                    </wps:txbx>
                    <wps:bodyPr anchor="t" lIns="0" tIns="0" rIns="0" bIns="0">
                      <a:noAutofit/>
                    </wps:bodyPr>
                  </wps:wsp>
                </a:graphicData>
              </a:graphic>
            </wp:anchor>
          </w:drawing>
        </mc:Choice>
        <mc:Fallback>
          <w:pict>
            <v:rect fillcolor="#FFFFFF" style="position:absolute;rotation:-0;width:6.6pt;height:1.65pt;mso-wrap-distance-left:0pt;mso-wrap-distance-right:0pt;mso-wrap-distance-top:0pt;mso-wrap-distance-bottom:0pt;margin-top:0.05pt;mso-position-vertical-relative:text;margin-left:213.25pt;mso-position-horizontal:center;mso-position-horizontal-relative:margin">
              <v:fill opacity="0f"/>
              <v:textbox inset="0in,0in,0in,0in">
                <w:txbxContent>
                  <w:p>
                    <w:pPr>
                      <w:pStyle w:val="Footer"/>
                      <w:rPr/>
                    </w:pP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ii</w:t>
                    </w:r>
                    <w:r>
                      <w:rPr>
                        <w:rStyle w:val="PageNumber"/>
                        <w:sz w:val="22"/>
                      </w:rPr>
                      <w:fldChar w:fldCharType="end"/>
                    </w:r>
                  </w:p>
                </w:txbxContent>
              </v:textbox>
              <w10:wrap type="square"/>
            </v:rect>
          </w:pict>
        </mc:Fallback>
      </mc:AlternateContent>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22"/>
      </w:rPr>
    </w:pPr>
    <w:r>
      <w:rPr>
        <w:sz w:val="22"/>
      </w:rPr>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83820" cy="20955"/>
              <wp:effectExtent l="0" t="0" r="0" b="0"/>
              <wp:wrapSquare wrapText="bothSides"/>
              <wp:docPr id="7" name="Frame7"/>
              <a:graphic xmlns:a="http://schemas.openxmlformats.org/drawingml/2006/main">
                <a:graphicData uri="http://schemas.microsoft.com/office/word/2010/wordprocessingShape">
                  <wps:wsp>
                    <wps:cNvSpPr txBox="1"/>
                    <wps:spPr>
                      <a:xfrm>
                        <a:off x="0" y="0"/>
                        <a:ext cx="83820" cy="20955"/>
                      </a:xfrm>
                      <a:prstGeom prst="rect"/>
                      <a:solidFill>
                        <a:srgbClr val="FFFFFF">
                          <a:alpha val="0"/>
                        </a:srgbClr>
                      </a:solidFill>
                    </wps:spPr>
                    <wps:txbx>
                      <w:txbxContent>
                        <w:p>
                          <w:pPr>
                            <w:pStyle w:val="Footer"/>
                            <w:rPr/>
                          </w:pP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r>
                          <w:r>
                            <w:rPr>
                              <w:rStyle w:val="PageNumber"/>
                              <w:sz w:val="22"/>
                            </w:rPr>
                            <w:fldChar w:fldCharType="end"/>
                          </w:r>
                        </w:p>
                      </w:txbxContent>
                    </wps:txbx>
                    <wps:bodyPr anchor="t" lIns="0" tIns="0" rIns="0" bIns="0">
                      <a:noAutofit/>
                    </wps:bodyPr>
                  </wps:wsp>
                </a:graphicData>
              </a:graphic>
            </wp:anchor>
          </w:drawing>
        </mc:Choice>
        <mc:Fallback>
          <w:pict>
            <v:rect fillcolor="#FFFFFF" style="position:absolute;rotation:-0;width:6.6pt;height:1.65pt;mso-wrap-distance-left:0pt;mso-wrap-distance-right:0pt;mso-wrap-distance-top:0pt;mso-wrap-distance-bottom:0pt;margin-top:0.05pt;mso-position-vertical-relative:text;margin-left:213.25pt;mso-position-horizontal:center;mso-position-horizontal-relative:margin">
              <v:fill opacity="0f"/>
              <v:textbox inset="0in,0in,0in,0in">
                <w:txbxContent>
                  <w:p>
                    <w:pPr>
                      <w:pStyle w:val="Footer"/>
                      <w:rPr/>
                    </w:pP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r>
                    <w:r>
                      <w:rPr>
                        <w:rStyle w:val="PageNumber"/>
                        <w:sz w:val="22"/>
                      </w:rPr>
                      <w:fldChar w:fldCharType="end"/>
                    </w:r>
                  </w:p>
                </w:txbxContent>
              </v:textbox>
              <w10:wrap type="square"/>
            </v:rect>
          </w:pict>
        </mc:Fallback>
      </mc:AlternateContent>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22"/>
      </w:rPr>
    </w:pPr>
    <w:r>
      <w:rPr>
        <w:sz w:val="22"/>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6">
              <wp:simplePos x="0" y="0"/>
              <wp:positionH relativeFrom="margin">
                <wp:align>center</wp:align>
              </wp:positionH>
              <wp:positionV relativeFrom="paragraph">
                <wp:posOffset>635</wp:posOffset>
              </wp:positionV>
              <wp:extent cx="78105" cy="160655"/>
              <wp:effectExtent l="0" t="0" r="0" b="0"/>
              <wp:wrapSquare wrapText="bothSides"/>
              <wp:docPr id="2" name="Frame2"/>
              <a:graphic xmlns:a="http://schemas.openxmlformats.org/drawingml/2006/main">
                <a:graphicData uri="http://schemas.microsoft.com/office/word/2010/wordprocessingShape">
                  <wps:wsp>
                    <wps:cNvSpPr txBox="1"/>
                    <wps:spPr>
                      <a:xfrm>
                        <a:off x="0" y="0"/>
                        <a:ext cx="78105" cy="160655"/>
                      </a:xfrm>
                      <a:prstGeom prst="rect"/>
                      <a:solidFill>
                        <a:srgbClr val="FFFFFF">
                          <a:alpha val="0"/>
                        </a:srgbClr>
                      </a:solidFill>
                    </wps:spPr>
                    <wps:txbx>
                      <w:txbxContent>
                        <w:p>
                          <w:pPr>
                            <w:pStyle w:val="Footer"/>
                            <w:rPr/>
                          </w:pP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ii</w:t>
                          </w:r>
                          <w:r>
                            <w:rPr>
                              <w:rStyle w:val="PageNumber"/>
                              <w:sz w:val="22"/>
                            </w:rPr>
                            <w:fldChar w:fldCharType="end"/>
                          </w:r>
                        </w:p>
                      </w:txbxContent>
                    </wps:txbx>
                    <wps:bodyPr anchor="t" lIns="0" tIns="0" rIns="0" bIns="0">
                      <a:noAutofit/>
                    </wps:bodyPr>
                  </wps:wsp>
                </a:graphicData>
              </a:graphic>
            </wp:anchor>
          </w:drawing>
        </mc:Choice>
        <mc:Fallback>
          <w:pict>
            <v:rect fillcolor="#FFFFFF" style="position:absolute;rotation:-0;width:6.15pt;height:12.65pt;mso-wrap-distance-left:0pt;mso-wrap-distance-right:0pt;mso-wrap-distance-top:0pt;mso-wrap-distance-bottom:0pt;margin-top:0.05pt;mso-position-vertical-relative:text;margin-left:212.95pt;mso-position-horizontal:center;mso-position-horizontal-relative:margin">
              <v:fill opacity="0f"/>
              <v:textbox inset="0in,0in,0in,0in">
                <w:txbxContent>
                  <w:p>
                    <w:pPr>
                      <w:pStyle w:val="Footer"/>
                      <w:rPr/>
                    </w:pP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ii</w:t>
                    </w:r>
                    <w:r>
                      <w:rPr>
                        <w:rStyle w:val="PageNumber"/>
                        <w:sz w:val="22"/>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v</w:t>
    </w:r>
    <w:r>
      <w:rPr>
        <w:rStyle w:val="PageNumber"/>
        <w:sz w:val="22"/>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2">
              <wp:simplePos x="0" y="0"/>
              <wp:positionH relativeFrom="margin">
                <wp:align>center</wp:align>
              </wp:positionH>
              <wp:positionV relativeFrom="paragraph">
                <wp:posOffset>635</wp:posOffset>
              </wp:positionV>
              <wp:extent cx="109220" cy="160655"/>
              <wp:effectExtent l="0" t="0" r="0" b="0"/>
              <wp:wrapSquare wrapText="bothSides"/>
              <wp:docPr id="3" name="Frame3"/>
              <a:graphic xmlns:a="http://schemas.openxmlformats.org/drawingml/2006/main">
                <a:graphicData uri="http://schemas.microsoft.com/office/word/2010/wordprocessingShape">
                  <wps:wsp>
                    <wps:cNvSpPr txBox="1"/>
                    <wps:spPr>
                      <a:xfrm>
                        <a:off x="0" y="0"/>
                        <a:ext cx="109220" cy="160655"/>
                      </a:xfrm>
                      <a:prstGeom prst="rect"/>
                      <a:solidFill>
                        <a:srgbClr val="FFFFFF">
                          <a:alpha val="0"/>
                        </a:srgbClr>
                      </a:solidFill>
                    </wps:spPr>
                    <wps:txbx>
                      <w:txbxContent>
                        <w:p>
                          <w:pPr>
                            <w:pStyle w:val="Footer"/>
                            <w:rPr/>
                          </w:pP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vi</w:t>
                          </w:r>
                          <w:r>
                            <w:rPr>
                              <w:rStyle w:val="PageNumber"/>
                              <w:sz w:val="22"/>
                            </w:rPr>
                            <w:fldChar w:fldCharType="end"/>
                          </w:r>
                        </w:p>
                      </w:txbxContent>
                    </wps:txbx>
                    <wps:bodyPr anchor="t" lIns="0" tIns="0" rIns="0" bIns="0">
                      <a:noAutofit/>
                    </wps:bodyPr>
                  </wps:wsp>
                </a:graphicData>
              </a:graphic>
            </wp:anchor>
          </w:drawing>
        </mc:Choice>
        <mc:Fallback>
          <w:pict>
            <v:rect fillcolor="#FFFFFF" style="position:absolute;rotation:-0;width:8.6pt;height:12.65pt;mso-wrap-distance-left:0pt;mso-wrap-distance-right:0pt;mso-wrap-distance-top:0pt;mso-wrap-distance-bottom:0pt;margin-top:0.05pt;mso-position-vertical-relative:text;margin-left:211.7pt;mso-position-horizontal:center;mso-position-horizontal-relative:margin">
              <v:fill opacity="0f"/>
              <v:textbox inset="0in,0in,0in,0in">
                <w:txbxContent>
                  <w:p>
                    <w:pPr>
                      <w:pStyle w:val="Footer"/>
                      <w:rPr/>
                    </w:pP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vi</w:t>
                    </w:r>
                    <w:r>
                      <w:rPr>
                        <w:rStyle w:val="PageNumber"/>
                        <w:sz w:val="22"/>
                      </w:rPr>
                      <w:fldChar w:fldCharType="end"/>
                    </w:r>
                  </w:p>
                </w:txbxContent>
              </v:textbox>
              <w10:wrap type="squar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3">
              <wp:simplePos x="0" y="0"/>
              <wp:positionH relativeFrom="margin">
                <wp:align>center</wp:align>
              </wp:positionH>
              <wp:positionV relativeFrom="paragraph">
                <wp:posOffset>635</wp:posOffset>
              </wp:positionV>
              <wp:extent cx="147955" cy="160655"/>
              <wp:effectExtent l="0" t="0" r="0" b="0"/>
              <wp:wrapSquare wrapText="bothSides"/>
              <wp:docPr id="4" name="Frame4"/>
              <a:graphic xmlns:a="http://schemas.openxmlformats.org/drawingml/2006/main">
                <a:graphicData uri="http://schemas.microsoft.com/office/word/2010/wordprocessingShape">
                  <wps:wsp>
                    <wps:cNvSpPr txBox="1"/>
                    <wps:spPr>
                      <a:xfrm>
                        <a:off x="0" y="0"/>
                        <a:ext cx="147955" cy="160655"/>
                      </a:xfrm>
                      <a:prstGeom prst="rect"/>
                      <a:solidFill>
                        <a:srgbClr val="FFFFFF">
                          <a:alpha val="0"/>
                        </a:srgbClr>
                      </a:solidFill>
                    </wps:spPr>
                    <wps:txbx>
                      <w:txbxContent>
                        <w:p>
                          <w:pPr>
                            <w:pStyle w:val="Footer"/>
                            <w:rPr/>
                          </w:pP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vii</w:t>
                          </w:r>
                          <w:r>
                            <w:rPr>
                              <w:rStyle w:val="PageNumber"/>
                              <w:sz w:val="22"/>
                            </w:rPr>
                            <w:fldChar w:fldCharType="end"/>
                          </w:r>
                        </w:p>
                      </w:txbxContent>
                    </wps:txbx>
                    <wps:bodyPr anchor="t" lIns="0" tIns="0" rIns="0" bIns="0">
                      <a:noAutofit/>
                    </wps:bodyPr>
                  </wps:wsp>
                </a:graphicData>
              </a:graphic>
            </wp:anchor>
          </w:drawing>
        </mc:Choice>
        <mc:Fallback>
          <w:pict>
            <v:rect fillcolor="#FFFFFF" style="position:absolute;rotation:-0;width:11.65pt;height:12.65pt;mso-wrap-distance-left:0pt;mso-wrap-distance-right:0pt;mso-wrap-distance-top:0pt;mso-wrap-distance-bottom:0pt;margin-top:0.05pt;mso-position-vertical-relative:text;margin-left:210.2pt;mso-position-horizontal:center;mso-position-horizontal-relative:margin">
              <v:fill opacity="0f"/>
              <v:textbox inset="0in,0in,0in,0in">
                <w:txbxContent>
                  <w:p>
                    <w:pPr>
                      <w:pStyle w:val="Footer"/>
                      <w:rPr/>
                    </w:pP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vii</w:t>
                    </w:r>
                    <w:r>
                      <w:rPr>
                        <w:rStyle w:val="PageNumber"/>
                        <w:sz w:val="22"/>
                      </w:rPr>
                      <w:fldChar w:fldCharType="end"/>
                    </w:r>
                  </w:p>
                </w:txbxContent>
              </v:textbox>
              <w10:wrap type="square"/>
            </v:rect>
          </w:pict>
        </mc:Fallback>
      </mc:AlternateConten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5">
              <wp:simplePos x="0" y="0"/>
              <wp:positionH relativeFrom="margin">
                <wp:align>center</wp:align>
              </wp:positionH>
              <wp:positionV relativeFrom="paragraph">
                <wp:posOffset>635</wp:posOffset>
              </wp:positionV>
              <wp:extent cx="109220" cy="160655"/>
              <wp:effectExtent l="0" t="0" r="0" b="0"/>
              <wp:wrapSquare wrapText="bothSides"/>
              <wp:docPr id="5" name="Frame5"/>
              <a:graphic xmlns:a="http://schemas.openxmlformats.org/drawingml/2006/main">
                <a:graphicData uri="http://schemas.microsoft.com/office/word/2010/wordprocessingShape">
                  <wps:wsp>
                    <wps:cNvSpPr txBox="1"/>
                    <wps:spPr>
                      <a:xfrm>
                        <a:off x="0" y="0"/>
                        <a:ext cx="109220" cy="160655"/>
                      </a:xfrm>
                      <a:prstGeom prst="rect"/>
                      <a:solidFill>
                        <a:srgbClr val="FFFFFF">
                          <a:alpha val="0"/>
                        </a:srgbClr>
                      </a:solidFill>
                    </wps:spPr>
                    <wps:txbx>
                      <w:txbxContent>
                        <w:p>
                          <w:pPr>
                            <w:pStyle w:val="Footer"/>
                            <w:rPr/>
                          </w:pP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ix</w:t>
                          </w:r>
                          <w:r>
                            <w:rPr>
                              <w:rStyle w:val="PageNumber"/>
                              <w:sz w:val="22"/>
                            </w:rPr>
                            <w:fldChar w:fldCharType="end"/>
                          </w:r>
                        </w:p>
                      </w:txbxContent>
                    </wps:txbx>
                    <wps:bodyPr anchor="t" lIns="0" tIns="0" rIns="0" bIns="0">
                      <a:noAutofit/>
                    </wps:bodyPr>
                  </wps:wsp>
                </a:graphicData>
              </a:graphic>
            </wp:anchor>
          </w:drawing>
        </mc:Choice>
        <mc:Fallback>
          <w:pict>
            <v:rect fillcolor="#FFFFFF" style="position:absolute;rotation:-0;width:8.6pt;height:12.65pt;mso-wrap-distance-left:0pt;mso-wrap-distance-right:0pt;mso-wrap-distance-top:0pt;mso-wrap-distance-bottom:0pt;margin-top:0.05pt;mso-position-vertical-relative:text;margin-left:211.7pt;mso-position-horizontal:center;mso-position-horizontal-relative:margin">
              <v:fill opacity="0f"/>
              <v:textbox inset="0in,0in,0in,0in">
                <w:txbxContent>
                  <w:p>
                    <w:pPr>
                      <w:pStyle w:val="Footer"/>
                      <w:rPr/>
                    </w:pP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ix</w:t>
                    </w:r>
                    <w:r>
                      <w:rPr>
                        <w:rStyle w:val="PageNumber"/>
                        <w:sz w:val="22"/>
                      </w:rPr>
                      <w:fldChar w:fldCharType="end"/>
                    </w:r>
                  </w:p>
                </w:txbxContent>
              </v:textbox>
              <w10:wrap type="square"/>
            </v:rect>
          </w:pict>
        </mc:Fallback>
      </mc:AlternateConten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spacing w:before="120" w:after="0"/>
        <w:rPr/>
      </w:pPr>
      <w:r>
        <w:rPr>
          <w:rStyle w:val="FootnoteCharacters"/>
        </w:rPr>
        <w:footnoteRef/>
      </w:r>
      <w:r>
        <w:rPr/>
        <w:t xml:space="preserve"> </w:t>
      </w:r>
      <w:r>
        <w:rPr/>
        <w:tab/>
        <w:t>El Paso acquired, through merger, the energy assets of Tenneco, Inc. in December 1996.  Tenneco, Inc. remains in existence and is not affiliated with El Paso.</w:t>
      </w:r>
    </w:p>
  </w:footnote>
  <w:footnote w:id="3">
    <w:p>
      <w:pPr>
        <w:pStyle w:val="FootnoteText"/>
        <w:spacing w:before="120" w:after="0"/>
        <w:rPr/>
      </w:pPr>
      <w:r>
        <w:rPr>
          <w:rStyle w:val="FootnoteCharacters"/>
        </w:rPr>
        <w:footnoteRef/>
      </w:r>
      <w:r>
        <w:rPr/>
        <w:t xml:space="preserve"> </w:t>
      </w:r>
      <w:r>
        <w:rPr/>
        <w:tab/>
      </w:r>
      <w:r>
        <w:rPr>
          <w:b/>
        </w:rPr>
        <w:t>[ADDRESS MERGER WITH SONAT INC.?]</w:t>
      </w:r>
    </w:p>
  </w:footnote>
  <w:footnote w:id="4">
    <w:p>
      <w:pPr>
        <w:pStyle w:val="FootnoteText"/>
        <w:spacing w:before="120" w:after="0"/>
        <w:rPr/>
      </w:pPr>
      <w:r>
        <w:rPr>
          <w:rStyle w:val="FootnoteCharacters"/>
        </w:rPr>
        <w:footnoteRef/>
      </w:r>
      <w:r>
        <w:rPr/>
        <w:t xml:space="preserve"> </w:t>
      </w:r>
      <w:r>
        <w:rPr/>
        <w:tab/>
        <w:t xml:space="preserve">The parties may also enter into an umbrella service agreement for long-term sales of power (which the FERC defines as sales greater than one year).  The FERC has held that all long-term umbrella service agreements must be on file with the FERC within 30 days of commencement of service but it has stayed that requirement for power marketers.  Thus, only entities that own generating assets must file long-term agreements with FERC.  </w:t>
      </w:r>
      <w:r>
        <w:rPr>
          <w:i/>
        </w:rPr>
        <w:t>See Southern Co. Servs., Inc.</w:t>
      </w:r>
      <w:r>
        <w:rPr/>
        <w:t>, 75 FERC ¶ 61,130 at 61,444-45. (1996) ("</w:t>
      </w:r>
      <w:r>
        <w:rPr>
          <w:i/>
        </w:rPr>
        <w:t>SCSI</w:t>
      </w:r>
      <w:r>
        <w:rPr/>
        <w:t>").  That requirement, however, is inapplicable to the filings at issue in the FERC Orders as all transactions and related umbrella service agreements involving PCA were for short-term sales.</w:t>
      </w:r>
    </w:p>
  </w:footnote>
  <w:footnote w:id="5">
    <w:p>
      <w:pPr>
        <w:pStyle w:val="FootnoteText"/>
        <w:rPr/>
      </w:pPr>
      <w:r>
        <w:rPr>
          <w:rStyle w:val="FootnoteCharacters"/>
        </w:rPr>
        <w:footnoteRef/>
      </w:r>
      <w:r>
        <w:rPr/>
        <w:t xml:space="preserve"> </w:t>
      </w:r>
      <w:r>
        <w:rPr/>
        <w:tab/>
      </w:r>
      <w:r>
        <w:rPr>
          <w:i/>
        </w:rPr>
        <w:t>See Citizens Power &amp; Light Corp.</w:t>
      </w:r>
      <w:r>
        <w:rPr/>
        <w:t xml:space="preserve">, 48 FERC ¶ 61,210 (1989); </w:t>
      </w:r>
      <w:r>
        <w:rPr>
          <w:i/>
        </w:rPr>
        <w:t>Enron</w:t>
      </w:r>
      <w:r>
        <w:rPr/>
        <w:t>.</w:t>
      </w:r>
    </w:p>
  </w:footnote>
  <w:footnote w:id="6">
    <w:p>
      <w:pPr>
        <w:pStyle w:val="FootnoteText"/>
        <w:spacing w:before="120" w:after="0"/>
        <w:rPr/>
      </w:pPr>
      <w:r>
        <w:rPr>
          <w:rStyle w:val="FootnoteCharacters"/>
        </w:rPr>
        <w:footnoteRef/>
      </w:r>
      <w:r>
        <w:rPr/>
        <w:t xml:space="preserve"> </w:t>
      </w:r>
      <w:r>
        <w:rPr/>
        <w:tab/>
      </w:r>
      <w:r>
        <w:rPr>
          <w:i/>
        </w:rPr>
        <w:t xml:space="preserve">See </w:t>
      </w:r>
      <w:r>
        <w:rPr/>
        <w:t xml:space="preserve">R. Items Nos. 19 at 4; 41 at 3-4; 140 at 3; 50 at 3, 5; 56 at 3; 101 at 4; 94 at 3, 18-19, 25-26; 142 at 4. </w:t>
      </w:r>
    </w:p>
  </w:footnote>
  <w:footnote w:id="7">
    <w:p>
      <w:pPr>
        <w:pStyle w:val="FootnoteText"/>
        <w:spacing w:before="120" w:after="0"/>
        <w:rPr/>
      </w:pPr>
      <w:r>
        <w:rPr>
          <w:rStyle w:val="FootnoteCharacters"/>
        </w:rPr>
        <w:footnoteRef/>
      </w:r>
      <w:r>
        <w:rPr/>
        <w:t xml:space="preserve"> </w:t>
      </w:r>
      <w:r>
        <w:rPr/>
        <w:tab/>
        <w:t xml:space="preserve">Several entities also canceled transactions under the Western Systems Power Pool Agreement, which is a filed agreement.  However, consistent with its treatment of market-based rate sales, FERC also does not require the filing of transactions under the WSPP Agreement.  </w:t>
      </w:r>
      <w:r>
        <w:rPr>
          <w:i/>
        </w:rPr>
        <w:t>See Western Syss. Power Pool</w:t>
      </w:r>
      <w:r>
        <w:rPr/>
        <w:t xml:space="preserve">, 55 FERC ¶ 61,154 at 61,492 (1991); </w:t>
      </w:r>
      <w:r>
        <w:rPr>
          <w:i/>
        </w:rPr>
        <w:t>Western Syss. Power Pool</w:t>
      </w:r>
      <w:r>
        <w:rPr/>
        <w:t>, 55 FERC ¶ 61,495 at 62,716-17 (1991).  The WSPP Agreement is not a bilateral agreement like an umbrella service agreement, but is similar to a tariff in that it provides the basis under which members of the WSPP transact with all other members.  As such, unfiled transactions that occurred pursuant to the WSPP Agreement do not merit different treatment than those unfiled transactions that occurred pursuant to unfiled umbrella service agreements under filed rate tariffs.</w:t>
      </w:r>
    </w:p>
  </w:footnote>
  <w:footnote w:id="8">
    <w:p>
      <w:pPr>
        <w:pStyle w:val="FootnoteText"/>
        <w:rPr/>
      </w:pPr>
      <w:r>
        <w:rPr>
          <w:rStyle w:val="FootnoteCharacters"/>
        </w:rPr>
        <w:footnoteRef/>
      </w:r>
      <w:r>
        <w:rPr/>
        <w:t xml:space="preserve"> </w:t>
      </w:r>
      <w:r>
        <w:rPr/>
        <w:tab/>
        <w:t xml:space="preserve">Although not specifically addressed in FERC's brief, or in the February 10 Order, the Enron proceeding is procedurally substantially similar to South Jersey in that PCA did not attempt to intervene in either proceeding until its late motions to intervene on October 16, 1998 and nowhere in the record did FERC grant PCA’s late motion in the Enron proceeding.  Although the March 28 Order mistakenly assumes PCA had been granted intervenor status, and thus failed to reject its request for rehearing on those grounds, the fact remains that FERC never granted PCA's late filed motion to intervene in the Enron proceeding and thus PCA was never a party to that proceeding.  FERC's brief (at 2) identifies "six" dockets in which PCA did not intervene.  FERC did not include Enron's Docket No. ER98-3966, but did include two dockets, ER98-4018 and ER98-4276, which involved counterparties who the Intervenors understand have settled their issues with PCA. </w:t>
      </w:r>
    </w:p>
  </w:footnote>
  <w:footnote w:id="9">
    <w:p>
      <w:pPr>
        <w:pStyle w:val="FootnoteText"/>
        <w:rPr/>
      </w:pPr>
      <w:r>
        <w:rPr>
          <w:rStyle w:val="FootnoteCharacters"/>
        </w:rPr>
        <w:footnoteRef/>
      </w:r>
      <w:r>
        <w:rPr/>
        <w:t xml:space="preserve"> </w:t>
      </w:r>
      <w:r>
        <w:rPr/>
        <w:tab/>
        <w:t>Although the Commission’s June 21 Order did not address the Enron and South Jersey proceedings, its holding is equally applicable to Enron and South Jersey because PCA’s late motion to intervene in those proceedings (R. 100 and ____) are virtually identical to its late motions in the Cook Inlet, El Paso and PGET proceedings (R. 59, 149 and 7) and similarly were never granted by the Commission.</w:t>
      </w:r>
    </w:p>
  </w:footnote>
  <w:footnote w:id="10">
    <w:p>
      <w:pPr>
        <w:pStyle w:val="FootnoteText"/>
        <w:spacing w:before="120" w:after="120"/>
        <w:rPr/>
      </w:pPr>
      <w:r>
        <w:rPr>
          <w:rStyle w:val="FootnoteCharacters"/>
        </w:rPr>
        <w:footnoteRef/>
      </w:r>
      <w:r>
        <w:rPr/>
        <w:t xml:space="preserve"> </w:t>
      </w:r>
      <w:r>
        <w:rPr/>
        <w:tab/>
        <w:t xml:space="preserve">The Commission has stated on several occasions in denying untimely motions to intervene that an entity has an obligation not to "sit on [its] rights."  </w:t>
      </w:r>
      <w:r>
        <w:rPr>
          <w:i/>
        </w:rPr>
        <w:t>See, e.g.</w:t>
      </w:r>
      <w:r>
        <w:rPr/>
        <w:t xml:space="preserve">, </w:t>
      </w:r>
      <w:r>
        <w:rPr>
          <w:i/>
        </w:rPr>
        <w:t>Rancho Riata Hydro Partners</w:t>
      </w:r>
      <w:r>
        <w:rPr/>
        <w:t xml:space="preserve">, 55 FERC ¶ 61,389 at 62,187 (1991); </w:t>
      </w:r>
      <w:r>
        <w:rPr>
          <w:i/>
        </w:rPr>
        <w:t>Wolverine Power Corp.</w:t>
      </w:r>
      <w:r>
        <w:rPr/>
        <w:t xml:space="preserve">, 43 FERC ¶ 61,514 at 62,275 (1988); </w:t>
      </w:r>
      <w:r>
        <w:rPr>
          <w:i/>
        </w:rPr>
        <w:t>Southern California Edison Co.</w:t>
      </w:r>
      <w:r>
        <w:rPr/>
        <w:t xml:space="preserve">, 39 FERC ¶ 61,211 at 61,744 (1987); </w:t>
      </w:r>
      <w:r>
        <w:rPr>
          <w:i/>
        </w:rPr>
        <w:t>El Dorado County Water Agency</w:t>
      </w:r>
      <w:r>
        <w:rPr/>
        <w:t>, 25 FERC ¶ 61,223 at 61,569 (1983).</w:t>
      </w:r>
    </w:p>
  </w:footnote>
  <w:footnote w:id="11">
    <w:p>
      <w:pPr>
        <w:pStyle w:val="FootnoteText"/>
        <w:rPr/>
      </w:pPr>
      <w:r>
        <w:rPr>
          <w:rStyle w:val="FootnoteCharacters"/>
        </w:rPr>
        <w:footnoteRef/>
      </w:r>
      <w:r>
        <w:rPr/>
        <w:t xml:space="preserve"> </w:t>
      </w:r>
      <w:r>
        <w:rPr/>
        <w:tab/>
        <w:t>In rejecting PCA's argument that the Commission occasionally has granted motions for late intervention for purposes of filing requests for rehearing, FERC distinguished PCA's argument by pointing out that those instances were "factually off point" because PCA did not file for late intervention until "concurrently with, or two weeks after" it filed its request for rehearing.  June 21 Order, 87 FERC ¶ 61,342 at n. 12.</w:t>
      </w:r>
    </w:p>
  </w:footnote>
  <w:footnote w:id="12">
    <w:p>
      <w:pPr>
        <w:pStyle w:val="FootnoteText"/>
        <w:spacing w:before="120" w:after="0"/>
        <w:rPr/>
      </w:pPr>
      <w:r>
        <w:rPr>
          <w:rStyle w:val="FootnoteCharacters"/>
        </w:rPr>
        <w:footnoteRef/>
      </w:r>
      <w:r>
        <w:rPr/>
        <w:t xml:space="preserve"> </w:t>
      </w:r>
      <w:r>
        <w:rPr/>
        <w:tab/>
        <w:t>R. 149 at 3, 59 at 3, 100 at 3, 7 at 3 and ___ at 3.</w:t>
      </w:r>
    </w:p>
  </w:footnote>
  <w:footnote w:id="13">
    <w:p>
      <w:pPr>
        <w:pStyle w:val="FootnoteText"/>
        <w:rPr/>
      </w:pPr>
      <w:r>
        <w:rPr>
          <w:rStyle w:val="FootnoteCharacters"/>
        </w:rPr>
        <w:footnoteRef/>
      </w:r>
      <w:r>
        <w:rPr/>
        <w:t xml:space="preserve"> </w:t>
      </w:r>
      <w:r>
        <w:rPr/>
        <w:tab/>
        <w:t xml:space="preserve">FERC noted that the letters suggested PCA only desired to intervene if it lost on the merits.  </w:t>
      </w:r>
      <w:r>
        <w:rPr>
          <w:i/>
        </w:rPr>
        <w:t>June 21 Order</w:t>
      </w:r>
      <w:r>
        <w:rPr/>
        <w:t xml:space="preserve"> at 62,323 n.7.  FERC found that its rules do not provide for such conditional intervention.  </w:t>
      </w:r>
      <w:r>
        <w:rPr>
          <w:i/>
        </w:rPr>
        <w:t>Id.</w:t>
      </w:r>
      <w:r>
        <w:rPr/>
        <w:t xml:space="preserve"> at 62,323.  Further, PCA's claim that FERC "retroactively" denied it party status is a mischaracterization of those orders.  </w:t>
      </w:r>
      <w:r>
        <w:rPr>
          <w:i/>
        </w:rPr>
        <w:t>See</w:t>
      </w:r>
      <w:r>
        <w:rPr/>
        <w:t xml:space="preserve"> Resp. Br. at 21.</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b/>
        <w:sz w:val="20"/>
      </w:rPr>
      <w:t xml:space="preserve">DB DRAFT  </w:t>
    </w:r>
    <w:r>
      <w:rPr>
        <w:b/>
        <w:sz w:val="20"/>
      </w:rPr>
      <w:fldChar w:fldCharType="begin"/>
    </w:r>
    <w:r>
      <w:rPr>
        <w:sz w:val="20"/>
        <w:b/>
      </w:rPr>
      <w:instrText xml:space="preserve"> DATE \@"MM\/dd\/yy" </w:instrText>
    </w:r>
    <w:r>
      <w:rPr>
        <w:sz w:val="20"/>
        <w:b/>
      </w:rPr>
      <w:fldChar w:fldCharType="separate"/>
    </w:r>
    <w:r>
      <w:rPr>
        <w:sz w:val="20"/>
        <w:b/>
      </w:rPr>
      <w:t>09/28/25</w:t>
    </w:r>
    <w:r>
      <w:rPr>
        <w:sz w:val="20"/>
        <w:b/>
      </w:rPr>
      <w:fldChar w:fldCharType="end"/>
    </w:r>
    <w:r>
      <w:rPr>
        <w:b/>
        <w:sz w:val="20"/>
      </w:rPr>
      <w:t>… 107014</w:t>
    </w:r>
  </w:p>
  <w:p>
    <w:pPr>
      <w:pStyle w:val="Header"/>
      <w:jc w:val="end"/>
      <w:rPr>
        <w:b/>
        <w:sz w:val="20"/>
      </w:rPr>
    </w:pPr>
    <w:r>
      <w:rPr>
        <w:b/>
        <w:sz w:val="20"/>
      </w:rPr>
      <w:t>PRIVILEGED &amp; CONFIDENTIAL/PREPARED FOR LITIGATION</w:t>
    </w:r>
  </w:p>
  <w:p>
    <w:pPr>
      <w:pStyle w:val="Header"/>
      <w:rPr>
        <w:b/>
        <w:sz w:val="20"/>
      </w:rPr>
    </w:pPr>
    <w:r>
      <w:rPr>
        <w:b/>
        <w:sz w:val="20"/>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b/>
        <w:sz w:val="20"/>
      </w:rPr>
      <w:t xml:space="preserve">DB DRAFT  </w:t>
    </w:r>
    <w:r>
      <w:rPr>
        <w:b/>
        <w:sz w:val="20"/>
      </w:rPr>
      <w:fldChar w:fldCharType="begin"/>
    </w:r>
    <w:r>
      <w:rPr>
        <w:sz w:val="20"/>
        <w:b/>
      </w:rPr>
      <w:instrText xml:space="preserve"> DATE \@"MM\/dd\/yy" </w:instrText>
    </w:r>
    <w:r>
      <w:rPr>
        <w:sz w:val="20"/>
        <w:b/>
      </w:rPr>
      <w:fldChar w:fldCharType="separate"/>
    </w:r>
    <w:r>
      <w:rPr>
        <w:sz w:val="20"/>
        <w:b/>
      </w:rPr>
      <w:t>09/28/25</w:t>
    </w:r>
    <w:r>
      <w:rPr>
        <w:sz w:val="20"/>
        <w:b/>
      </w:rPr>
      <w:fldChar w:fldCharType="end"/>
    </w:r>
    <w:r>
      <w:rPr>
        <w:b/>
        <w:sz w:val="20"/>
      </w:rPr>
      <w:t>… 107014</w:t>
    </w:r>
  </w:p>
  <w:p>
    <w:pPr>
      <w:pStyle w:val="Header"/>
      <w:jc w:val="end"/>
      <w:rPr>
        <w:b/>
        <w:sz w:val="20"/>
      </w:rPr>
    </w:pPr>
    <w:r>
      <w:rPr>
        <w:b/>
        <w:sz w:val="20"/>
      </w:rPr>
      <w:t>PRIVILEGED &amp; CONFIDENTIAL/PREPARED FOR LITIGATION</w:t>
    </w:r>
  </w:p>
  <w:p>
    <w:pPr>
      <w:pStyle w:val="Header"/>
      <w:rPr>
        <w:b/>
        <w:sz w:val="20"/>
      </w:rPr>
    </w:pPr>
    <w:r>
      <w:rPr>
        <w:b/>
        <w:sz w:val="20"/>
      </w:rPr>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b/>
        <w:sz w:val="20"/>
      </w:rPr>
      <w:t xml:space="preserve">DB DRAFT  </w:t>
    </w:r>
    <w:r>
      <w:rPr>
        <w:b/>
        <w:sz w:val="20"/>
      </w:rPr>
      <w:fldChar w:fldCharType="begin"/>
    </w:r>
    <w:r>
      <w:rPr>
        <w:sz w:val="20"/>
        <w:b/>
      </w:rPr>
      <w:instrText xml:space="preserve"> DATE \@"MM\/dd\/yy" </w:instrText>
    </w:r>
    <w:r>
      <w:rPr>
        <w:sz w:val="20"/>
        <w:b/>
      </w:rPr>
      <w:fldChar w:fldCharType="separate"/>
    </w:r>
    <w:r>
      <w:rPr>
        <w:sz w:val="20"/>
        <w:b/>
      </w:rPr>
      <w:t>09/28/25</w:t>
    </w:r>
    <w:r>
      <w:rPr>
        <w:sz w:val="20"/>
        <w:b/>
      </w:rPr>
      <w:fldChar w:fldCharType="end"/>
    </w:r>
    <w:r>
      <w:rPr>
        <w:b/>
        <w:sz w:val="20"/>
      </w:rPr>
      <w:t>… 107014</w:t>
    </w:r>
  </w:p>
  <w:p>
    <w:pPr>
      <w:pStyle w:val="Header"/>
      <w:jc w:val="end"/>
      <w:rPr>
        <w:b/>
        <w:sz w:val="20"/>
      </w:rPr>
    </w:pPr>
    <w:r>
      <w:rPr>
        <w:b/>
        <w:sz w:val="20"/>
      </w:rPr>
      <w:t>PRIVILEGED &amp; CONFIDENTIAL/PREPARED FOR LITIGATION</w:t>
    </w:r>
  </w:p>
  <w:p>
    <w:pPr>
      <w:pStyle w:val="Header"/>
      <w:jc w:val="end"/>
      <w:rPr>
        <w:b/>
        <w:sz w:val="20"/>
      </w:rPr>
    </w:pPr>
    <w:r>
      <w:rPr>
        <w:b/>
        <w:sz w:val="20"/>
      </w:rPr>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b/>
        <w:sz w:val="20"/>
      </w:rPr>
      <w:t xml:space="preserve">DB DRAFT  </w:t>
    </w:r>
    <w:r>
      <w:rPr>
        <w:b/>
        <w:sz w:val="20"/>
      </w:rPr>
      <w:fldChar w:fldCharType="begin"/>
    </w:r>
    <w:r>
      <w:rPr>
        <w:sz w:val="20"/>
        <w:b/>
      </w:rPr>
      <w:instrText xml:space="preserve"> DATE \@"MM\/dd\/yy" </w:instrText>
    </w:r>
    <w:r>
      <w:rPr>
        <w:sz w:val="20"/>
        <w:b/>
      </w:rPr>
      <w:fldChar w:fldCharType="separate"/>
    </w:r>
    <w:r>
      <w:rPr>
        <w:sz w:val="20"/>
        <w:b/>
      </w:rPr>
      <w:t>09/28/25</w:t>
    </w:r>
    <w:r>
      <w:rPr>
        <w:sz w:val="20"/>
        <w:b/>
      </w:rPr>
      <w:fldChar w:fldCharType="end"/>
    </w:r>
    <w:r>
      <w:rPr>
        <w:b/>
        <w:sz w:val="20"/>
      </w:rPr>
      <w:t>… 107014</w:t>
    </w:r>
  </w:p>
  <w:p>
    <w:pPr>
      <w:pStyle w:val="Header"/>
      <w:jc w:val="end"/>
      <w:rPr>
        <w:b/>
        <w:sz w:val="20"/>
      </w:rPr>
    </w:pPr>
    <w:r>
      <w:rPr>
        <w:b/>
        <w:sz w:val="20"/>
      </w:rPr>
      <w:t>PRIVILEGED &amp; CONFIDENTIAL/PREPARED FOR LITIGATION</w:t>
    </w:r>
  </w:p>
  <w:p>
    <w:pPr>
      <w:pStyle w:val="Header"/>
      <w:rPr>
        <w:b/>
        <w:sz w:val="20"/>
      </w:rPr>
    </w:pPr>
    <w:r>
      <w:rPr>
        <w:b/>
        <w:sz w:val="20"/>
      </w:rPr>
    </w:r>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b/>
        <w:sz w:val="20"/>
      </w:rPr>
      <w:t xml:space="preserve">DB DRAFT  </w:t>
    </w:r>
    <w:r>
      <w:rPr>
        <w:b/>
        <w:sz w:val="20"/>
      </w:rPr>
      <w:fldChar w:fldCharType="begin"/>
    </w:r>
    <w:r>
      <w:rPr>
        <w:sz w:val="20"/>
        <w:b/>
      </w:rPr>
      <w:instrText xml:space="preserve"> DATE \@"MM\/dd\/yy" </w:instrText>
    </w:r>
    <w:r>
      <w:rPr>
        <w:sz w:val="20"/>
        <w:b/>
      </w:rPr>
      <w:fldChar w:fldCharType="separate"/>
    </w:r>
    <w:r>
      <w:rPr>
        <w:sz w:val="20"/>
        <w:b/>
      </w:rPr>
      <w:t>09/28/25</w:t>
    </w:r>
    <w:r>
      <w:rPr>
        <w:sz w:val="20"/>
        <w:b/>
      </w:rPr>
      <w:fldChar w:fldCharType="end"/>
    </w:r>
    <w:r>
      <w:rPr>
        <w:b/>
        <w:sz w:val="20"/>
      </w:rPr>
      <w:t>… 107014</w:t>
    </w:r>
  </w:p>
  <w:p>
    <w:pPr>
      <w:pStyle w:val="Header"/>
      <w:jc w:val="end"/>
      <w:rPr>
        <w:b/>
        <w:sz w:val="20"/>
      </w:rPr>
    </w:pPr>
    <w:r>
      <w:rPr>
        <w:b/>
        <w:sz w:val="20"/>
      </w:rPr>
      <w:t>PRIVILEGED &amp; CONFIDENTIAL/PREPARED FOR LITIGATION</w:t>
    </w:r>
  </w:p>
  <w:p>
    <w:pPr>
      <w:pStyle w:val="Header"/>
      <w:jc w:val="end"/>
      <w:rPr>
        <w:b/>
        <w:sz w:val="20"/>
      </w:rPr>
    </w:pPr>
    <w:r>
      <w:rPr>
        <w:b/>
        <w:sz w:val="20"/>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b/>
        <w:sz w:val="20"/>
      </w:rPr>
      <w:t xml:space="preserve">DB DRAFT  </w:t>
    </w:r>
    <w:r>
      <w:rPr>
        <w:b/>
        <w:sz w:val="20"/>
      </w:rPr>
      <w:fldChar w:fldCharType="begin"/>
    </w:r>
    <w:r>
      <w:rPr>
        <w:sz w:val="20"/>
        <w:b/>
      </w:rPr>
      <w:instrText xml:space="preserve"> DATE \@"MM\/dd\/yy" </w:instrText>
    </w:r>
    <w:r>
      <w:rPr>
        <w:sz w:val="20"/>
        <w:b/>
      </w:rPr>
      <w:fldChar w:fldCharType="separate"/>
    </w:r>
    <w:r>
      <w:rPr>
        <w:sz w:val="20"/>
        <w:b/>
      </w:rPr>
      <w:t>09/28/25</w:t>
    </w:r>
    <w:r>
      <w:rPr>
        <w:sz w:val="20"/>
        <w:b/>
      </w:rPr>
      <w:fldChar w:fldCharType="end"/>
    </w:r>
    <w:r>
      <w:rPr>
        <w:b/>
        <w:sz w:val="20"/>
      </w:rPr>
      <w:t>… 107014</w:t>
    </w:r>
  </w:p>
  <w:p>
    <w:pPr>
      <w:pStyle w:val="Header"/>
      <w:jc w:val="end"/>
      <w:rPr>
        <w:b/>
        <w:sz w:val="20"/>
      </w:rPr>
    </w:pPr>
    <w:r>
      <w:rPr>
        <w:b/>
        <w:sz w:val="20"/>
      </w:rPr>
      <w:t>PRIVILEGED &amp; CONFIDENTIAL/PREPARED FOR LITIGATION</w:t>
    </w:r>
  </w:p>
  <w:p>
    <w:pPr>
      <w:pStyle w:val="Header"/>
      <w:jc w:val="end"/>
      <w:rPr>
        <w:b/>
        <w:sz w:val="20"/>
      </w:rPr>
    </w:pPr>
    <w:r>
      <w:rPr>
        <w:b/>
        <w:sz w:val="20"/>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b/>
        <w:sz w:val="20"/>
      </w:rPr>
      <w:t xml:space="preserve">DB DRAFT  </w:t>
    </w:r>
    <w:r>
      <w:rPr>
        <w:b/>
        <w:sz w:val="20"/>
      </w:rPr>
      <w:fldChar w:fldCharType="begin"/>
    </w:r>
    <w:r>
      <w:rPr>
        <w:sz w:val="20"/>
        <w:b/>
      </w:rPr>
      <w:instrText xml:space="preserve"> DATE \@"MM\/dd\/yy" </w:instrText>
    </w:r>
    <w:r>
      <w:rPr>
        <w:sz w:val="20"/>
        <w:b/>
      </w:rPr>
      <w:fldChar w:fldCharType="separate"/>
    </w:r>
    <w:r>
      <w:rPr>
        <w:sz w:val="20"/>
        <w:b/>
      </w:rPr>
      <w:t>09/28/25</w:t>
    </w:r>
    <w:r>
      <w:rPr>
        <w:sz w:val="20"/>
        <w:b/>
      </w:rPr>
      <w:fldChar w:fldCharType="end"/>
    </w:r>
    <w:r>
      <w:rPr>
        <w:b/>
        <w:sz w:val="20"/>
      </w:rPr>
      <w:t>… 107014</w:t>
    </w:r>
  </w:p>
  <w:p>
    <w:pPr>
      <w:pStyle w:val="Header"/>
      <w:jc w:val="end"/>
      <w:rPr>
        <w:b/>
        <w:sz w:val="20"/>
      </w:rPr>
    </w:pPr>
    <w:r>
      <w:rPr>
        <w:b/>
        <w:sz w:val="20"/>
      </w:rPr>
      <w:t>PRIVILEGED &amp; CONFIDENTIAL/PREPARED FOR LITIGATION</w:t>
    </w:r>
  </w:p>
  <w:p>
    <w:pPr>
      <w:pStyle w:val="Header"/>
      <w:rPr>
        <w:b/>
        <w:sz w:val="20"/>
      </w:rPr>
    </w:pPr>
    <w:r>
      <w:rPr>
        <w:b/>
        <w:sz w:val="20"/>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b/>
        <w:sz w:val="20"/>
      </w:rPr>
      <w:t xml:space="preserve">DB DRAFT  </w:t>
    </w:r>
    <w:r>
      <w:rPr>
        <w:b/>
        <w:sz w:val="20"/>
      </w:rPr>
      <w:fldChar w:fldCharType="begin"/>
    </w:r>
    <w:r>
      <w:rPr>
        <w:sz w:val="20"/>
        <w:b/>
      </w:rPr>
      <w:instrText xml:space="preserve"> DATE \@"MM\/dd\/yy" </w:instrText>
    </w:r>
    <w:r>
      <w:rPr>
        <w:sz w:val="20"/>
        <w:b/>
      </w:rPr>
      <w:fldChar w:fldCharType="separate"/>
    </w:r>
    <w:r>
      <w:rPr>
        <w:sz w:val="20"/>
        <w:b/>
      </w:rPr>
      <w:t>09/28/25</w:t>
    </w:r>
    <w:r>
      <w:rPr>
        <w:sz w:val="20"/>
        <w:b/>
      </w:rPr>
      <w:fldChar w:fldCharType="end"/>
    </w:r>
    <w:r>
      <w:rPr>
        <w:b/>
        <w:sz w:val="20"/>
      </w:rPr>
      <w:t>… 107014</w:t>
    </w:r>
  </w:p>
  <w:p>
    <w:pPr>
      <w:pStyle w:val="Header"/>
      <w:jc w:val="end"/>
      <w:rPr>
        <w:b/>
        <w:sz w:val="20"/>
      </w:rPr>
    </w:pPr>
    <w:r>
      <w:rPr>
        <w:b/>
        <w:sz w:val="20"/>
      </w:rPr>
      <w:t>PRIVILEGED &amp; CONFIDENTIAL/PREPARED FOR LITIGATION</w:t>
    </w:r>
  </w:p>
  <w:p>
    <w:pPr>
      <w:pStyle w:val="Header"/>
      <w:jc w:val="end"/>
      <w:rPr>
        <w:b/>
        <w:sz w:val="20"/>
      </w:rPr>
    </w:pPr>
    <w:r>
      <w:rPr>
        <w:b/>
        <w:sz w:val="20"/>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b/>
        <w:sz w:val="20"/>
      </w:rPr>
      <w:t xml:space="preserve">DB DRAFT  </w:t>
    </w:r>
    <w:r>
      <w:rPr>
        <w:b/>
        <w:sz w:val="20"/>
      </w:rPr>
      <w:fldChar w:fldCharType="begin"/>
    </w:r>
    <w:r>
      <w:rPr>
        <w:sz w:val="20"/>
        <w:b/>
      </w:rPr>
      <w:instrText xml:space="preserve"> DATE \@"MM\/dd\/yy" </w:instrText>
    </w:r>
    <w:r>
      <w:rPr>
        <w:sz w:val="20"/>
        <w:b/>
      </w:rPr>
      <w:fldChar w:fldCharType="separate"/>
    </w:r>
    <w:r>
      <w:rPr>
        <w:sz w:val="20"/>
        <w:b/>
      </w:rPr>
      <w:t>09/28/25</w:t>
    </w:r>
    <w:r>
      <w:rPr>
        <w:sz w:val="20"/>
        <w:b/>
      </w:rPr>
      <w:fldChar w:fldCharType="end"/>
    </w:r>
    <w:r>
      <w:rPr>
        <w:b/>
        <w:sz w:val="20"/>
      </w:rPr>
      <w:t>… 107014</w:t>
    </w:r>
  </w:p>
  <w:p>
    <w:pPr>
      <w:pStyle w:val="Header"/>
      <w:jc w:val="end"/>
      <w:rPr>
        <w:b/>
        <w:sz w:val="20"/>
      </w:rPr>
    </w:pPr>
    <w:r>
      <w:rPr>
        <w:b/>
        <w:sz w:val="20"/>
      </w:rPr>
      <w:t>PRIVILEGED &amp; CONFIDENTIAL/PREPARED FOR LITIGATION</w:t>
    </w:r>
  </w:p>
  <w:p>
    <w:pPr>
      <w:pStyle w:val="Header"/>
      <w:rPr>
        <w:b/>
        <w:sz w:val="20"/>
      </w:rPr>
    </w:pPr>
    <w:r>
      <w:rPr>
        <w:b/>
        <w:sz w:val="20"/>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b/>
        <w:sz w:val="20"/>
      </w:rPr>
      <w:t xml:space="preserve">DB DRAFT  </w:t>
    </w:r>
    <w:r>
      <w:rPr>
        <w:b/>
        <w:sz w:val="20"/>
      </w:rPr>
      <w:fldChar w:fldCharType="begin"/>
    </w:r>
    <w:r>
      <w:rPr>
        <w:sz w:val="20"/>
        <w:b/>
      </w:rPr>
      <w:instrText xml:space="preserve"> DATE \@"MM\/dd\/yy" </w:instrText>
    </w:r>
    <w:r>
      <w:rPr>
        <w:sz w:val="20"/>
        <w:b/>
      </w:rPr>
      <w:fldChar w:fldCharType="separate"/>
    </w:r>
    <w:r>
      <w:rPr>
        <w:sz w:val="20"/>
        <w:b/>
      </w:rPr>
      <w:t>09/28/25</w:t>
    </w:r>
    <w:r>
      <w:rPr>
        <w:sz w:val="20"/>
        <w:b/>
      </w:rPr>
      <w:fldChar w:fldCharType="end"/>
    </w:r>
    <w:r>
      <w:rPr>
        <w:b/>
        <w:sz w:val="20"/>
      </w:rPr>
      <w:t>… 107014</w:t>
    </w:r>
  </w:p>
  <w:p>
    <w:pPr>
      <w:pStyle w:val="Header"/>
      <w:jc w:val="end"/>
      <w:rPr>
        <w:b/>
        <w:sz w:val="20"/>
      </w:rPr>
    </w:pPr>
    <w:r>
      <w:rPr>
        <w:b/>
        <w:sz w:val="20"/>
      </w:rPr>
      <w:t>PRIVILEGED &amp; CONFIDENTIAL/PREPARED FOR LITIGATION</w:t>
    </w:r>
  </w:p>
  <w:p>
    <w:pPr>
      <w:pStyle w:val="Header"/>
      <w:rPr>
        <w:b/>
        <w:sz w:val="20"/>
      </w:rPr>
    </w:pPr>
    <w:r>
      <w:rPr>
        <w:b/>
        <w:sz w:val="20"/>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b/>
        <w:sz w:val="20"/>
      </w:rPr>
      <w:t xml:space="preserve">DB DRAFT  </w:t>
    </w:r>
    <w:r>
      <w:rPr>
        <w:b/>
        <w:sz w:val="20"/>
      </w:rPr>
      <w:fldChar w:fldCharType="begin"/>
    </w:r>
    <w:r>
      <w:rPr>
        <w:sz w:val="20"/>
        <w:b/>
      </w:rPr>
      <w:instrText xml:space="preserve"> DATE \@"MM\/dd\/yy" </w:instrText>
    </w:r>
    <w:r>
      <w:rPr>
        <w:sz w:val="20"/>
        <w:b/>
      </w:rPr>
      <w:fldChar w:fldCharType="separate"/>
    </w:r>
    <w:r>
      <w:rPr>
        <w:sz w:val="20"/>
        <w:b/>
      </w:rPr>
      <w:t>09/28/25</w:t>
    </w:r>
    <w:r>
      <w:rPr>
        <w:sz w:val="20"/>
        <w:b/>
      </w:rPr>
      <w:fldChar w:fldCharType="end"/>
    </w:r>
    <w:r>
      <w:rPr>
        <w:b/>
        <w:sz w:val="20"/>
      </w:rPr>
      <w:t>… 107014</w:t>
    </w:r>
  </w:p>
  <w:p>
    <w:pPr>
      <w:pStyle w:val="Header"/>
      <w:jc w:val="end"/>
      <w:rPr>
        <w:b/>
        <w:sz w:val="20"/>
      </w:rPr>
    </w:pPr>
    <w:r>
      <w:rPr>
        <w:b/>
        <w:sz w:val="20"/>
      </w:rPr>
      <w:t>PRIVILEGED &amp; CONFIDENTIAL/PREPARED FOR LITIGATION</w:t>
    </w:r>
  </w:p>
  <w:p>
    <w:pPr>
      <w:pStyle w:val="Header"/>
      <w:rPr>
        <w:b/>
        <w:sz w:val="20"/>
      </w:rPr>
    </w:pPr>
    <w:r>
      <w:rPr>
        <w:b/>
        <w:sz w:val="20"/>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footnotePr>
    <w:numFmt w:val="decimal"/>
    <w:numRestart w:val="eachSect"/>
    <w:footnote w:id="0"/>
    <w:footnote w:id="1"/>
  </w:footnotePr>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outlineLvl w:val="0"/>
    </w:pPr>
    <w:rPr/>
  </w:style>
  <w:style w:type="paragraph" w:styleId="Heading2">
    <w:name w:val="heading 2"/>
    <w:basedOn w:val="Normal"/>
    <w:next w:val="Normal"/>
    <w:qFormat/>
    <w:pPr>
      <w:keepNext w:val="true"/>
      <w:numPr>
        <w:ilvl w:val="1"/>
        <w:numId w:val="1"/>
      </w:numPr>
      <w:outlineLvl w:val="1"/>
    </w:pPr>
    <w:rPr/>
  </w:style>
  <w:style w:type="paragraph" w:styleId="Heading3">
    <w:name w:val="heading 3"/>
    <w:basedOn w:val="Normal"/>
    <w:next w:val="Normal"/>
    <w:qFormat/>
    <w:pPr>
      <w:keepNext w:val="true"/>
      <w:numPr>
        <w:ilvl w:val="2"/>
        <w:numId w:val="1"/>
      </w:numPr>
      <w:outlineLvl w:val="2"/>
    </w:pPr>
    <w:rPr/>
  </w:style>
  <w:style w:type="paragraph" w:styleId="Heading4">
    <w:name w:val="heading 4"/>
    <w:basedOn w:val="Normal"/>
    <w:next w:val="Normal"/>
    <w:qFormat/>
    <w:pPr>
      <w:keepNext w:val="true"/>
      <w:numPr>
        <w:ilvl w:val="3"/>
        <w:numId w:val="1"/>
      </w:numPr>
      <w:outlineLvl w:val="3"/>
    </w:pPr>
    <w:rPr/>
  </w:style>
  <w:style w:type="paragraph" w:styleId="Heading5">
    <w:name w:val="heading 5"/>
    <w:basedOn w:val="Normal"/>
    <w:next w:val="Normal"/>
    <w:qFormat/>
    <w:pPr>
      <w:keepNext w:val="true"/>
      <w:numPr>
        <w:ilvl w:val="4"/>
        <w:numId w:val="1"/>
      </w:numPr>
      <w:outlineLvl w:val="4"/>
    </w:pPr>
    <w:rPr/>
  </w:style>
  <w:style w:type="paragraph" w:styleId="Heading6">
    <w:name w:val="heading 6"/>
    <w:basedOn w:val="Normal"/>
    <w:next w:val="Normal"/>
    <w:qFormat/>
    <w:pPr>
      <w:keepNext w:val="true"/>
      <w:numPr>
        <w:ilvl w:val="5"/>
        <w:numId w:val="1"/>
      </w:numPr>
      <w:outlineLvl w:val="5"/>
    </w:pPr>
    <w:rPr/>
  </w:style>
  <w:style w:type="paragraph" w:styleId="Heading7">
    <w:name w:val="heading 7"/>
    <w:basedOn w:val="Normal"/>
    <w:next w:val="Normal"/>
    <w:qFormat/>
    <w:pPr>
      <w:numPr>
        <w:ilvl w:val="6"/>
        <w:numId w:val="1"/>
      </w:numPr>
      <w:outlineLvl w:val="6"/>
    </w:pPr>
    <w:rPr/>
  </w:style>
  <w:style w:type="paragraph" w:styleId="Heading8">
    <w:name w:val="heading 8"/>
    <w:basedOn w:val="Normal"/>
    <w:next w:val="Normal"/>
    <w:qFormat/>
    <w:pPr>
      <w:numPr>
        <w:ilvl w:val="7"/>
        <w:numId w:val="1"/>
      </w:numPr>
      <w:outlineLvl w:val="7"/>
    </w:pPr>
    <w:rPr/>
  </w:style>
  <w:style w:type="paragraph" w:styleId="Heading9">
    <w:name w:val="heading 9"/>
    <w:basedOn w:val="Normal"/>
    <w:next w:val="Normal"/>
    <w:qFormat/>
    <w:pPr>
      <w:numPr>
        <w:ilvl w:val="8"/>
        <w:numId w:val="1"/>
      </w:numPr>
      <w:outlineLvl w:val="8"/>
    </w:pPr>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Times New Roman" w:hAnsi="Times New Roman" w:cs="Times New Roman"/>
      <w:b w:val="false"/>
      <w:i w:val="false"/>
      <w:caps/>
      <w:sz w:val="24"/>
    </w:rPr>
  </w:style>
  <w:style w:type="character" w:styleId="WW8Num4z1">
    <w:name w:val="WW8Num4z1"/>
    <w:qFormat/>
    <w:rPr>
      <w:rFonts w:ascii="Times New Roman" w:hAnsi="Times New Roman" w:cs="Times New Roman"/>
      <w:b w:val="false"/>
      <w:i w:val="false"/>
      <w:sz w:val="24"/>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Times New Roman" w:hAnsi="Times New Roman" w:cs="Times New Roman"/>
      <w:b w:val="false"/>
      <w:i w:val="false"/>
      <w:sz w:val="24"/>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character" w:styleId="Hyperlink">
    <w:name w:val="Hyperlink"/>
    <w:rPr>
      <w:color w:val="000080"/>
      <w:u w:val="single"/>
    </w:rPr>
  </w:style>
  <w:style w:type="character" w:styleId="FootnoteReference">
    <w:name w:val="footnote reference"/>
    <w:rPr>
      <w:vertAlign w:val="superscript"/>
    </w:rPr>
  </w:style>
  <w:style w:type="character" w:styleId="IndexLink">
    <w:name w:val="Index Link"/>
    <w:qForma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rPr>
      <w:sz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TOC1">
    <w:name w:val="toc 1"/>
    <w:basedOn w:val="Normal"/>
    <w:next w:val="Normal"/>
    <w:pPr/>
    <w:rPr/>
  </w:style>
  <w:style w:type="paragraph" w:styleId="TOC2">
    <w:name w:val="toc 2"/>
    <w:basedOn w:val="Normal"/>
    <w:next w:val="Normal"/>
    <w:pPr>
      <w:tabs>
        <w:tab w:val="clear" w:pos="720"/>
        <w:tab w:val="left" w:pos="-1530" w:leader="none"/>
        <w:tab w:val="right" w:pos="8630" w:leader="dot"/>
      </w:tabs>
      <w:ind w:hanging="720" w:start="720" w:end="0"/>
    </w:pPr>
    <w:rPr>
      <w:b/>
      <w:lang w:val="en-CA"/>
    </w:rPr>
  </w:style>
  <w:style w:type="paragraph" w:styleId="TOC3">
    <w:name w:val="toc 3"/>
    <w:basedOn w:val="Normal"/>
    <w:next w:val="Normal"/>
    <w:pPr>
      <w:tabs>
        <w:tab w:val="clear" w:pos="720"/>
        <w:tab w:val="left" w:pos="1080" w:leader="none"/>
        <w:tab w:val="right" w:pos="8630" w:leader="dot"/>
      </w:tabs>
      <w:ind w:hanging="360" w:start="1080" w:end="0"/>
    </w:pPr>
    <w:rPr>
      <w:b/>
      <w:lang w:val="en-CA"/>
    </w:rPr>
  </w:style>
  <w:style w:type="paragraph" w:styleId="TOC4">
    <w:name w:val="toc 4"/>
    <w:basedOn w:val="Normal"/>
    <w:next w:val="Normal"/>
    <w:pPr>
      <w:tabs>
        <w:tab w:val="clear" w:pos="720"/>
        <w:tab w:val="left" w:pos="990" w:leader="none"/>
        <w:tab w:val="right" w:pos="8630" w:leader="dot"/>
      </w:tabs>
      <w:ind w:hanging="360" w:start="1440" w:end="0"/>
    </w:pPr>
    <w:rPr>
      <w:b/>
      <w:lang w:val="en-CA"/>
    </w:rPr>
  </w:style>
  <w:style w:type="paragraph" w:styleId="TOC5">
    <w:name w:val="toc 5"/>
    <w:basedOn w:val="Normal"/>
    <w:next w:val="Normal"/>
    <w:pPr>
      <w:ind w:hanging="0" w:start="960" w:end="0"/>
    </w:pPr>
    <w:rPr/>
  </w:style>
  <w:style w:type="paragraph" w:styleId="TOC6">
    <w:name w:val="toc 6"/>
    <w:basedOn w:val="Normal"/>
    <w:next w:val="Normal"/>
    <w:pPr>
      <w:ind w:hanging="0" w:start="1200" w:end="0"/>
    </w:pPr>
    <w:rPr/>
  </w:style>
  <w:style w:type="paragraph" w:styleId="TOC7">
    <w:name w:val="toc 7"/>
    <w:basedOn w:val="Normal"/>
    <w:next w:val="Normal"/>
    <w:pPr>
      <w:ind w:hanging="0" w:start="1440" w:end="0"/>
    </w:pPr>
    <w:rPr/>
  </w:style>
  <w:style w:type="paragraph" w:styleId="TOC8">
    <w:name w:val="toc 8"/>
    <w:basedOn w:val="Normal"/>
    <w:next w:val="Normal"/>
    <w:pPr>
      <w:ind w:hanging="0" w:start="1680" w:end="0"/>
    </w:pPr>
    <w:rPr/>
  </w:style>
  <w:style w:type="paragraph" w:styleId="TOC9">
    <w:name w:val="toc 9"/>
    <w:basedOn w:val="Normal"/>
    <w:next w:val="Normal"/>
    <w:pPr>
      <w:ind w:hanging="0" w:start="1920" w:end="0"/>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header" Target="header7.xml"/><Relationship Id="rId15" Type="http://schemas.openxmlformats.org/officeDocument/2006/relationships/header" Target="header8.xml"/><Relationship Id="rId16" Type="http://schemas.openxmlformats.org/officeDocument/2006/relationships/footer" Target="footer7.xml"/><Relationship Id="rId17" Type="http://schemas.openxmlformats.org/officeDocument/2006/relationships/footer" Target="footer8.xml"/><Relationship Id="rId18" Type="http://schemas.openxmlformats.org/officeDocument/2006/relationships/header" Target="header9.xml"/><Relationship Id="rId19" Type="http://schemas.openxmlformats.org/officeDocument/2006/relationships/header" Target="header10.xml"/><Relationship Id="rId20" Type="http://schemas.openxmlformats.org/officeDocument/2006/relationships/footer" Target="footer9.xml"/><Relationship Id="rId21" Type="http://schemas.openxmlformats.org/officeDocument/2006/relationships/footer" Target="footer10.xml"/><Relationship Id="rId22" Type="http://schemas.openxmlformats.org/officeDocument/2006/relationships/header" Target="header11.xml"/><Relationship Id="rId23" Type="http://schemas.openxmlformats.org/officeDocument/2006/relationships/header" Target="header12.xml"/><Relationship Id="rId24" Type="http://schemas.openxmlformats.org/officeDocument/2006/relationships/footer" Target="footer11.xml"/><Relationship Id="rId25" Type="http://schemas.openxmlformats.org/officeDocument/2006/relationships/footer" Target="footer12.xml"/><Relationship Id="rId26" Type="http://schemas.openxmlformats.org/officeDocument/2006/relationships/header" Target="header13.xml"/><Relationship Id="rId27" Type="http://schemas.openxmlformats.org/officeDocument/2006/relationships/header" Target="header14.xml"/><Relationship Id="rId28" Type="http://schemas.openxmlformats.org/officeDocument/2006/relationships/footer" Target="footer13.xml"/><Relationship Id="rId29" Type="http://schemas.openxmlformats.org/officeDocument/2006/relationships/footer" Target="footer14.xml"/><Relationship Id="rId30" Type="http://schemas.openxmlformats.org/officeDocument/2006/relationships/footnotes" Target="footnotes.xml"/><Relationship Id="rId31" Type="http://schemas.openxmlformats.org/officeDocument/2006/relationships/numbering" Target="numbering.xml"/><Relationship Id="rId32" Type="http://schemas.openxmlformats.org/officeDocument/2006/relationships/fontTable" Target="fontTable.xml"/><Relationship Id="rId33" Type="http://schemas.openxmlformats.org/officeDocument/2006/relationships/settings" Target="settings.xml"/><Relationship Id="rId3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2000-10-10T01:22:00Z</dcterms:created>
  <dc:creator>IT Department</dc:creator>
  <dc:description/>
  <dc:language>en-CA</dc:language>
  <cp:lastModifiedBy>IT Department</cp:lastModifiedBy>
  <cp:lastPrinted>2000-10-09T23:38:00Z</cp:lastPrinted>
  <dcterms:modified xsi:type="dcterms:W3CDTF">2000-10-10T01:22:00Z</dcterms:modified>
  <cp:revision>2</cp:revision>
  <dc:subject/>
  <dc:title>SCHEDULE FOR ORAL ARGUMENT JANUARY 16, 2001</dc:title>
</cp:coreProperties>
</file>