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embeddings/oleObject1.xlsx" ContentType="application/vnd.openxmlformats-officedocument.spreadsheetml.sheet"/>
  <Override PartName="/word/embeddings/oleObject2.xlsx" ContentType="application/vnd.openxmlformats-officedocument.spreadsheetml.sheet"/>
  <Override PartName="/word/embeddings/oleObject3.xlsx" ContentType="application/vnd.openxmlformats-officedocument.spreadsheetml.sheet"/>
  <Override PartName="/word/embeddings/oleObject4.xlsx" ContentType="application/vnd.openxmlformats-officedocument.spreadsheetml.sheet"/>
  <Override PartName="/word/embeddings/oleObject5.xlsx" ContentType="application/vnd.openxmlformats-officedocument.spreadsheetml.sheet"/>
  <Override PartName="/word/embeddings/oleObject6.xlsx" ContentType="application/vnd.openxmlformats-officedocument.spreadsheetml.sheet"/>
  <Override PartName="/word/embeddings/oleObject7.xlsx" ContentType="application/vnd.openxmlformats-officedocument.spreadsheetml.sheet"/>
  <Override PartName="/word/media/image1.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media/image7.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jc w:val="center"/>
        <w:rPr>
          <w:b/>
        </w:rPr>
      </w:pPr>
      <w:r>
        <w:rPr>
          <w:b/>
        </w:rPr>
        <w:t>Principal component analysis (PCA) for capturing term structure of correlations in Value-at-Risk</w:t>
      </w:r>
    </w:p>
    <w:p>
      <w:pPr>
        <w:pStyle w:val="BodyText"/>
        <w:jc w:val="center"/>
        <w:rPr>
          <w:b/>
        </w:rPr>
      </w:pPr>
      <w:r>
        <w:rPr>
          <w:b/>
        </w:rPr>
      </w:r>
    </w:p>
    <w:p>
      <w:pPr>
        <w:pStyle w:val="BodyText"/>
        <w:jc w:val="center"/>
        <w:rPr>
          <w:b/>
        </w:rPr>
      </w:pPr>
      <w:r>
        <w:rPr>
          <w:b/>
        </w:rPr>
        <w:t>Tanya Tamarchenko</w:t>
      </w:r>
    </w:p>
    <w:p>
      <w:pPr>
        <w:pStyle w:val="BodyText"/>
        <w:jc w:val="center"/>
        <w:rPr>
          <w:b/>
        </w:rPr>
      </w:pPr>
      <w:r>
        <w:rPr>
          <w:b/>
        </w:rPr>
      </w:r>
    </w:p>
    <w:p>
      <w:pPr>
        <w:pStyle w:val="BodyText"/>
        <w:jc w:val="center"/>
        <w:rPr>
          <w:b/>
        </w:rPr>
      </w:pPr>
      <w:r>
        <w:rPr>
          <w:b/>
        </w:rPr>
        <w:t>February 2, 2001</w:t>
      </w:r>
    </w:p>
    <w:p>
      <w:pPr>
        <w:pStyle w:val="Normal"/>
        <w:rPr>
          <w:rFonts w:ascii="Tahoma" w:hAnsi="Tahoma" w:cs="Tahoma"/>
          <w:b/>
          <w:sz w:val="24"/>
        </w:rPr>
      </w:pPr>
      <w:r>
        <w:rPr>
          <w:rFonts w:cs="Tahoma" w:ascii="Tahoma" w:hAnsi="Tahoma"/>
          <w:b/>
          <w:sz w:val="24"/>
        </w:rPr>
      </w:r>
    </w:p>
    <w:p>
      <w:pPr>
        <w:pStyle w:val="Normal"/>
        <w:rPr>
          <w:rFonts w:ascii="Tahoma" w:hAnsi="Tahoma" w:cs="Tahoma"/>
          <w:b/>
        </w:rPr>
      </w:pPr>
      <w:r>
        <w:rPr>
          <w:rFonts w:cs="Tahoma" w:ascii="Tahoma" w:hAnsi="Tahoma"/>
        </w:rPr>
        <w:t>Value-at-Risk (VAR) model implemented in Enron employs Monte Carlo simulations of the forward prices for commodities over certain time horizon (normally – 1 day). Each simulated forward price is calculated according to the formula:</w:t>
      </w:r>
    </w:p>
    <w:p>
      <w:pPr>
        <w:pStyle w:val="Normal"/>
        <w:jc w:val="center"/>
        <w:rPr>
          <w:rFonts w:ascii="Tahoma" w:hAnsi="Tahoma" w:cs="Tahoma"/>
        </w:rPr>
      </w:pPr>
      <w:r>
        <w:rPr>
          <w:rFonts w:cs="Tahoma" w:ascii="Tahoma" w:hAnsi="Tahoma"/>
          <w:b/>
        </w:rPr>
      </w:r>
      <m:oMath xmlns:m="http://schemas.openxmlformats.org/officeDocument/2006/math">
        <m:r>
          <m:t xml:space="preserve">P</m:t>
        </m:r>
        <m:r>
          <m:t xml:space="preserve">(</m:t>
        </m:r>
        <m:sSub>
          <m:e>
            <m:r>
              <m:t xml:space="preserve">T</m:t>
            </m:r>
          </m:e>
          <m:sub>
            <m:r>
              <m:t xml:space="preserve">i</m:t>
            </m:r>
          </m:sub>
        </m:sSub>
        <m:r>
          <m:t xml:space="preserve">,</m:t>
        </m:r>
        <m:r>
          <m:t xml:space="preserve">t</m:t>
        </m:r>
        <m:r>
          <m:t xml:space="preserve">)</m:t>
        </m:r>
        <m:r>
          <m:t xml:space="preserve">=</m:t>
        </m:r>
        <m:r>
          <m:t xml:space="preserve">P</m:t>
        </m:r>
        <m:r>
          <m:t xml:space="preserve">(</m:t>
        </m:r>
        <m:sSub>
          <m:e>
            <m:r>
              <m:t xml:space="preserve">T</m:t>
            </m:r>
          </m:e>
          <m:sub>
            <m:r>
              <m:t xml:space="preserve">i</m:t>
            </m:r>
          </m:sub>
        </m:sSub>
        <m:r>
          <m:t xml:space="preserve">,</m:t>
        </m:r>
        <m:r>
          <m:t xml:space="preserve">0</m:t>
        </m:r>
        <m:r>
          <m:t xml:space="preserve">)</m:t>
        </m:r>
        <m:sSup>
          <m:e>
            <m:r>
              <m:t xml:space="preserve">e</m:t>
            </m:r>
          </m:e>
          <m:sup>
            <m:r>
              <m:t xml:space="preserve">−</m:t>
            </m:r>
            <m:f>
              <m:num>
                <m:r>
                  <m:t xml:space="preserve">1</m:t>
                </m:r>
              </m:num>
              <m:den>
                <m:r>
                  <m:t xml:space="preserve">2</m:t>
                </m:r>
              </m:den>
            </m:f>
            <m:sSubSup>
              <m:e>
                <m:r>
                  <m:t xml:space="preserve">σ</m:t>
                </m:r>
              </m:e>
              <m:sub>
                <m:r>
                  <m:t xml:space="preserve">i</m:t>
                </m:r>
              </m:sub>
              <m:sup>
                <m:r>
                  <m:t xml:space="preserve">2</m:t>
                </m:r>
              </m:sup>
            </m:sSubSup>
            <m:r>
              <m:t xml:space="preserve">t</m:t>
            </m:r>
            <m:r>
              <m:t xml:space="preserve">+</m:t>
            </m:r>
            <m:sSub>
              <m:e>
                <m:r>
                  <m:t xml:space="preserve">σ</m:t>
                </m:r>
              </m:e>
              <m:sub>
                <m:r>
                  <m:t xml:space="preserve">i</m:t>
                </m:r>
              </m:sub>
            </m:sSub>
            <m:sSub>
              <m:e>
                <m:r>
                  <m:t xml:space="preserve">η</m:t>
                </m:r>
              </m:e>
              <m:sub>
                <m:r>
                  <m:t xml:space="preserve">i</m:t>
                </m:r>
              </m:sub>
            </m:sSub>
            <m:rad>
              <m:radPr>
                <m:degHide m:val="1"/>
              </m:radPr>
              <m:deg/>
              <m:e>
                <m:r>
                  <m:t xml:space="preserve">t</m:t>
                </m:r>
              </m:e>
            </m:rad>
          </m:sup>
        </m:sSup>
      </m:oMath>
      <w:r>
        <w:rPr>
          <w:rFonts w:cs="Tahoma" w:ascii="Tahoma" w:hAnsi="Tahoma"/>
          <w:b/>
        </w:rPr>
        <w:tab/>
        <w:tab/>
        <w:tab/>
        <w:tab/>
        <w:t>(1)</w:t>
      </w:r>
    </w:p>
    <w:p>
      <w:pPr>
        <w:pStyle w:val="Normal"/>
        <w:rPr>
          <w:rFonts w:ascii="Tahoma" w:hAnsi="Tahoma" w:cs="Tahoma"/>
        </w:rPr>
      </w:pPr>
      <w:r>
        <w:rPr>
          <w:rFonts w:cs="Tahoma" w:ascii="Tahoma" w:hAnsi="Tahoma"/>
        </w:rPr>
        <w:t>where:</w:t>
      </w:r>
    </w:p>
    <w:p>
      <w:pPr>
        <w:pStyle w:val="Normal"/>
        <w:rPr>
          <w:rFonts w:ascii="Tahoma" w:hAnsi="Tahoma" w:cs="Tahoma"/>
        </w:rPr>
      </w:pPr>
      <w:r>
        <w:rPr>
          <w:rFonts w:cs="Tahoma" w:ascii="Tahoma" w:hAnsi="Tahoma"/>
        </w:rPr>
        <w:t>t – is time horizon (1day=1/252 years);</w:t>
      </w:r>
    </w:p>
    <w:p>
      <w:pPr>
        <w:pStyle w:val="Normal"/>
        <w:rPr/>
      </w:pPr>
      <w:r>
        <w:rPr>
          <w:rFonts w:cs="Tahoma" w:ascii="Tahoma" w:hAnsi="Tahoma"/>
        </w:rPr>
        <w:t>T</w:t>
      </w:r>
      <w:r>
        <w:rPr>
          <w:rFonts w:cs="Tahoma" w:ascii="Tahoma" w:hAnsi="Tahoma"/>
          <w:vertAlign w:val="subscript"/>
        </w:rPr>
        <w:t>i</w:t>
      </w:r>
      <w:r>
        <w:rPr>
          <w:rFonts w:cs="Tahoma" w:ascii="Tahoma" w:hAnsi="Tahoma"/>
        </w:rPr>
        <w:t xml:space="preserve"> – is time of the expiration of the forward contract number i;</w:t>
      </w:r>
    </w:p>
    <w:p>
      <w:pPr>
        <w:pStyle w:val="Normal"/>
        <w:rPr/>
      </w:pPr>
      <w:r>
        <w:rPr>
          <w:rFonts w:eastAsia="Symbol" w:cs="Symbol" w:ascii="Symbol" w:hAnsi="Symbol"/>
        </w:rPr>
        <w:sym w:font="Symbol" w:char="f073"/>
      </w:r>
      <w:r>
        <w:rPr>
          <w:rFonts w:cs="Tahoma" w:ascii="Tahoma" w:hAnsi="Tahoma"/>
          <w:vertAlign w:val="subscript"/>
        </w:rPr>
        <w:t xml:space="preserve">i </w:t>
      </w:r>
      <w:r>
        <w:rPr>
          <w:rFonts w:cs="Tahoma" w:ascii="Tahoma" w:hAnsi="Tahoma"/>
        </w:rPr>
        <w:t xml:space="preserve"> - is volatility for the contract number i appropriate for the period from 0 to t;</w:t>
      </w:r>
    </w:p>
    <w:p>
      <w:pPr>
        <w:pStyle w:val="Normal"/>
        <w:rPr/>
      </w:pPr>
      <w:r>
        <w:rPr>
          <w:rFonts w:eastAsia="Symbol" w:cs="Symbol" w:ascii="Symbol" w:hAnsi="Symbol"/>
        </w:rPr>
        <w:sym w:font="Symbol" w:char="f068"/>
      </w:r>
      <w:r>
        <w:rPr>
          <w:rFonts w:cs="Tahoma" w:ascii="Tahoma" w:hAnsi="Tahoma"/>
          <w:vertAlign w:val="subscript"/>
        </w:rPr>
        <w:t>i</w:t>
      </w:r>
      <w:r>
        <w:rPr>
          <w:rFonts w:cs="Tahoma" w:ascii="Tahoma" w:hAnsi="Tahoma"/>
        </w:rPr>
        <w:t xml:space="preserve"> – normally distributed random variable with zero mean and standard deviation of 1;</w:t>
      </w:r>
    </w:p>
    <w:p>
      <w:pPr>
        <w:pStyle w:val="Normal"/>
        <w:rPr/>
      </w:pPr>
      <w:r>
        <w:rPr>
          <w:rFonts w:cs="Tahoma" w:ascii="Tahoma" w:hAnsi="Tahoma"/>
        </w:rPr>
        <w:t>P(T</w:t>
      </w:r>
      <w:r>
        <w:rPr>
          <w:rFonts w:cs="Tahoma" w:ascii="Tahoma" w:hAnsi="Tahoma"/>
          <w:vertAlign w:val="subscript"/>
        </w:rPr>
        <w:t>i</w:t>
      </w:r>
      <w:r>
        <w:rPr>
          <w:rFonts w:cs="Tahoma" w:ascii="Tahoma" w:hAnsi="Tahoma"/>
        </w:rPr>
        <w:t>,0) – forward price for contract number i posted by traders today (at time 0).</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t xml:space="preserve">Ideally in our Monte-Carlo simulations we would like to capture correlations across forward contracts for each commodity as well as correlations across commodities. </w:t>
      </w:r>
    </w:p>
    <w:p>
      <w:pPr>
        <w:pStyle w:val="Normal"/>
        <w:rPr>
          <w:rFonts w:ascii="Tahoma" w:hAnsi="Tahoma" w:cs="Tahoma"/>
        </w:rPr>
      </w:pPr>
      <w:r>
        <w:rPr>
          <w:rFonts w:cs="Tahoma" w:ascii="Tahoma" w:hAnsi="Tahoma"/>
        </w:rPr>
      </w:r>
    </w:p>
    <w:p>
      <w:pPr>
        <w:pStyle w:val="Normal"/>
        <w:rPr/>
      </w:pPr>
      <w:r>
        <w:rPr>
          <w:rFonts w:cs="Tahoma" w:ascii="Tahoma" w:hAnsi="Tahoma"/>
        </w:rPr>
        <w:t xml:space="preserve">Suppose we have just 2 commodities, let’s say gas and power. We assume that we trade K=3 forward contracts for each commodity. Then we have to capture the correlations in the 6 by 6 matrix </w:t>
      </w:r>
      <w:r>
        <w:rPr>
          <w:rFonts w:cs="Tahoma" w:ascii="Tahoma" w:hAnsi="Tahoma"/>
          <w:b/>
        </w:rPr>
        <w:t>G</w:t>
      </w:r>
      <w:r>
        <w:rPr>
          <w:rFonts w:cs="Tahoma" w:ascii="Tahoma" w:hAnsi="Tahoma"/>
        </w:rPr>
        <w:t xml:space="preserve"> below:</w:t>
      </w:r>
    </w:p>
    <w:p>
      <w:pPr>
        <w:pStyle w:val="Normal"/>
        <w:rPr>
          <w:rFonts w:ascii="Tahoma" w:hAnsi="Tahoma" w:cs="Tahoma"/>
        </w:rPr>
      </w:pPr>
      <w:r>
        <w:rPr>
          <w:rFonts w:cs="Tahoma" w:ascii="Tahoma" w:hAnsi="Tahoma"/>
        </w:rPr>
      </w:r>
    </w:p>
    <w:tbl>
      <w:tblPr>
        <w:tblW w:w="6943" w:type="dxa"/>
        <w:jc w:val="start"/>
        <w:tblInd w:w="108" w:type="dxa"/>
        <w:tblLayout w:type="fixed"/>
        <w:tblCellMar>
          <w:top w:w="0" w:type="dxa"/>
          <w:start w:w="108" w:type="dxa"/>
          <w:bottom w:w="0" w:type="dxa"/>
          <w:end w:w="108" w:type="dxa"/>
        </w:tblCellMar>
      </w:tblPr>
      <w:tblGrid>
        <w:gridCol w:w="1167"/>
        <w:gridCol w:w="1193"/>
        <w:gridCol w:w="1176"/>
        <w:gridCol w:w="1258"/>
        <w:gridCol w:w="985"/>
        <w:gridCol w:w="1164"/>
      </w:tblGrid>
      <w:tr>
        <w:trPr/>
        <w:tc>
          <w:tcPr>
            <w:tcW w:w="1167"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1</w:t>
            </w:r>
          </w:p>
        </w:tc>
        <w:tc>
          <w:tcPr>
            <w:tcW w:w="1193"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A</w:t>
            </w:r>
            <w:r>
              <w:rPr>
                <w:rFonts w:cs="Tahoma" w:ascii="Tahoma" w:hAnsi="Tahoma"/>
                <w:vertAlign w:val="subscript"/>
              </w:rPr>
              <w:t>12</w:t>
            </w:r>
          </w:p>
        </w:tc>
        <w:tc>
          <w:tcPr>
            <w:tcW w:w="1176"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A</w:t>
            </w:r>
            <w:r>
              <w:rPr>
                <w:rFonts w:cs="Tahoma" w:ascii="Tahoma" w:hAnsi="Tahoma"/>
                <w:vertAlign w:val="subscript"/>
              </w:rPr>
              <w:t>13</w:t>
            </w:r>
          </w:p>
        </w:tc>
        <w:tc>
          <w:tcPr>
            <w:tcW w:w="1258"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11</w:t>
            </w:r>
          </w:p>
        </w:tc>
        <w:tc>
          <w:tcPr>
            <w:tcW w:w="985"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12</w:t>
            </w:r>
          </w:p>
        </w:tc>
        <w:tc>
          <w:tcPr>
            <w:tcW w:w="1164"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13</w:t>
            </w:r>
          </w:p>
        </w:tc>
      </w:tr>
      <w:tr>
        <w:trPr/>
        <w:tc>
          <w:tcPr>
            <w:tcW w:w="1167"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A</w:t>
            </w:r>
            <w:r>
              <w:rPr>
                <w:rFonts w:cs="Tahoma" w:ascii="Tahoma" w:hAnsi="Tahoma"/>
                <w:vertAlign w:val="subscript"/>
              </w:rPr>
              <w:t>21</w:t>
            </w:r>
          </w:p>
        </w:tc>
        <w:tc>
          <w:tcPr>
            <w:tcW w:w="1193"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1</w:t>
            </w:r>
          </w:p>
        </w:tc>
        <w:tc>
          <w:tcPr>
            <w:tcW w:w="1176"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A</w:t>
            </w:r>
            <w:r>
              <w:rPr>
                <w:rFonts w:cs="Tahoma" w:ascii="Tahoma" w:hAnsi="Tahoma"/>
                <w:vertAlign w:val="subscript"/>
              </w:rPr>
              <w:t>23</w:t>
            </w:r>
          </w:p>
        </w:tc>
        <w:tc>
          <w:tcPr>
            <w:tcW w:w="1258"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21</w:t>
            </w:r>
          </w:p>
        </w:tc>
        <w:tc>
          <w:tcPr>
            <w:tcW w:w="985"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22</w:t>
            </w:r>
          </w:p>
        </w:tc>
        <w:tc>
          <w:tcPr>
            <w:tcW w:w="1164"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23</w:t>
            </w:r>
          </w:p>
        </w:tc>
      </w:tr>
      <w:tr>
        <w:trPr/>
        <w:tc>
          <w:tcPr>
            <w:tcW w:w="1167"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A</w:t>
            </w:r>
            <w:r>
              <w:rPr>
                <w:rFonts w:cs="Tahoma" w:ascii="Tahoma" w:hAnsi="Tahoma"/>
                <w:vertAlign w:val="subscript"/>
              </w:rPr>
              <w:t>31</w:t>
            </w:r>
          </w:p>
        </w:tc>
        <w:tc>
          <w:tcPr>
            <w:tcW w:w="1193"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A</w:t>
            </w:r>
            <w:r>
              <w:rPr>
                <w:rFonts w:cs="Tahoma" w:ascii="Tahoma" w:hAnsi="Tahoma"/>
                <w:vertAlign w:val="subscript"/>
              </w:rPr>
              <w:t>32</w:t>
            </w:r>
          </w:p>
        </w:tc>
        <w:tc>
          <w:tcPr>
            <w:tcW w:w="1176"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1</w:t>
            </w:r>
          </w:p>
        </w:tc>
        <w:tc>
          <w:tcPr>
            <w:tcW w:w="1258"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31</w:t>
            </w:r>
          </w:p>
        </w:tc>
        <w:tc>
          <w:tcPr>
            <w:tcW w:w="985"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32</w:t>
            </w:r>
          </w:p>
        </w:tc>
        <w:tc>
          <w:tcPr>
            <w:tcW w:w="1164"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33</w:t>
            </w:r>
          </w:p>
        </w:tc>
      </w:tr>
      <w:tr>
        <w:trPr/>
        <w:tc>
          <w:tcPr>
            <w:tcW w:w="1167"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11</w:t>
            </w:r>
          </w:p>
        </w:tc>
        <w:tc>
          <w:tcPr>
            <w:tcW w:w="1193"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21</w:t>
            </w:r>
          </w:p>
        </w:tc>
        <w:tc>
          <w:tcPr>
            <w:tcW w:w="1176"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31</w:t>
            </w:r>
          </w:p>
        </w:tc>
        <w:tc>
          <w:tcPr>
            <w:tcW w:w="1258"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1</w:t>
            </w:r>
          </w:p>
        </w:tc>
        <w:tc>
          <w:tcPr>
            <w:tcW w:w="985"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B</w:t>
            </w:r>
            <w:r>
              <w:rPr>
                <w:rFonts w:cs="Tahoma" w:ascii="Tahoma" w:hAnsi="Tahoma"/>
                <w:vertAlign w:val="subscript"/>
              </w:rPr>
              <w:t>12</w:t>
            </w:r>
          </w:p>
        </w:tc>
        <w:tc>
          <w:tcPr>
            <w:tcW w:w="1164"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B</w:t>
            </w:r>
            <w:r>
              <w:rPr>
                <w:rFonts w:cs="Tahoma" w:ascii="Tahoma" w:hAnsi="Tahoma"/>
                <w:vertAlign w:val="subscript"/>
              </w:rPr>
              <w:t>13</w:t>
            </w:r>
          </w:p>
        </w:tc>
      </w:tr>
      <w:tr>
        <w:trPr/>
        <w:tc>
          <w:tcPr>
            <w:tcW w:w="1167"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12</w:t>
            </w:r>
          </w:p>
        </w:tc>
        <w:tc>
          <w:tcPr>
            <w:tcW w:w="1193"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22</w:t>
            </w:r>
          </w:p>
        </w:tc>
        <w:tc>
          <w:tcPr>
            <w:tcW w:w="1176"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32</w:t>
            </w:r>
          </w:p>
        </w:tc>
        <w:tc>
          <w:tcPr>
            <w:tcW w:w="1258"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B</w:t>
            </w:r>
            <w:r>
              <w:rPr>
                <w:rFonts w:cs="Tahoma" w:ascii="Tahoma" w:hAnsi="Tahoma"/>
                <w:vertAlign w:val="subscript"/>
              </w:rPr>
              <w:t>21</w:t>
            </w:r>
          </w:p>
        </w:tc>
        <w:tc>
          <w:tcPr>
            <w:tcW w:w="985"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1</w:t>
            </w:r>
          </w:p>
        </w:tc>
        <w:tc>
          <w:tcPr>
            <w:tcW w:w="1164"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B</w:t>
            </w:r>
            <w:r>
              <w:rPr>
                <w:rFonts w:cs="Tahoma" w:ascii="Tahoma" w:hAnsi="Tahoma"/>
                <w:vertAlign w:val="subscript"/>
              </w:rPr>
              <w:t>23</w:t>
            </w:r>
          </w:p>
        </w:tc>
      </w:tr>
      <w:tr>
        <w:trPr/>
        <w:tc>
          <w:tcPr>
            <w:tcW w:w="1167"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13</w:t>
            </w:r>
          </w:p>
        </w:tc>
        <w:tc>
          <w:tcPr>
            <w:tcW w:w="1193"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23</w:t>
            </w:r>
          </w:p>
        </w:tc>
        <w:tc>
          <w:tcPr>
            <w:tcW w:w="1176"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C</w:t>
            </w:r>
            <w:r>
              <w:rPr>
                <w:rFonts w:cs="Tahoma" w:ascii="Tahoma" w:hAnsi="Tahoma"/>
                <w:vertAlign w:val="subscript"/>
              </w:rPr>
              <w:t>33</w:t>
            </w:r>
          </w:p>
        </w:tc>
        <w:tc>
          <w:tcPr>
            <w:tcW w:w="1258"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B</w:t>
            </w:r>
            <w:r>
              <w:rPr>
                <w:rFonts w:cs="Tahoma" w:ascii="Tahoma" w:hAnsi="Tahoma"/>
                <w:vertAlign w:val="subscript"/>
              </w:rPr>
              <w:t>31</w:t>
            </w:r>
          </w:p>
        </w:tc>
        <w:tc>
          <w:tcPr>
            <w:tcW w:w="985"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B</w:t>
            </w:r>
            <w:r>
              <w:rPr>
                <w:rFonts w:cs="Tahoma" w:ascii="Tahoma" w:hAnsi="Tahoma"/>
                <w:vertAlign w:val="subscript"/>
              </w:rPr>
              <w:t>32</w:t>
            </w:r>
          </w:p>
        </w:tc>
        <w:tc>
          <w:tcPr>
            <w:tcW w:w="1164" w:type="dxa"/>
            <w:tcBorders>
              <w:top w:val="single" w:sz="4" w:space="0" w:color="000000"/>
              <w:start w:val="single" w:sz="4" w:space="0" w:color="000000"/>
              <w:bottom w:val="single" w:sz="4" w:space="0" w:color="000000"/>
              <w:end w:val="single" w:sz="4" w:space="0" w:color="000000"/>
            </w:tcBorders>
          </w:tcPr>
          <w:p>
            <w:pPr>
              <w:pStyle w:val="Normal"/>
              <w:rPr>
                <w:rFonts w:ascii="Tahoma" w:hAnsi="Tahoma" w:cs="Tahoma"/>
              </w:rPr>
            </w:pPr>
            <w:r>
              <w:rPr>
                <w:rFonts w:cs="Tahoma" w:ascii="Tahoma" w:hAnsi="Tahoma"/>
              </w:rPr>
              <w:t>1</w:t>
            </w:r>
          </w:p>
        </w:tc>
      </w:tr>
    </w:tbl>
    <w:p>
      <w:pPr>
        <w:pStyle w:val="Normal"/>
        <w:rPr>
          <w:rFonts w:ascii="Tahoma" w:hAnsi="Tahoma" w:cs="Tahoma"/>
        </w:rPr>
      </w:pPr>
      <w:r>
        <w:rPr>
          <w:rFonts w:cs="Tahoma" w:ascii="Tahoma" w:hAnsi="Tahoma"/>
        </w:rPr>
      </w:r>
    </w:p>
    <w:p>
      <w:pPr>
        <w:pStyle w:val="Normal"/>
        <w:rPr/>
      </w:pPr>
      <w:r>
        <w:rPr>
          <w:rFonts w:cs="Tahoma" w:ascii="Tahoma" w:hAnsi="Tahoma"/>
        </w:rPr>
        <w:t>The 3x3 matrix A in the upper left corner corresponds to correlations across 3 forward contracts for gas, the 3x3 matrix B in the lower right corner corresponds to correlations across forward contracts for power, the 3x3 matrix C in the upper right corner corresponds to correlations across gas and power and the 3x3 matrix in the lower left corner is matrix C transposed. For example, A</w:t>
      </w:r>
      <w:r>
        <w:rPr>
          <w:rFonts w:cs="Tahoma" w:ascii="Tahoma" w:hAnsi="Tahoma"/>
          <w:vertAlign w:val="subscript"/>
        </w:rPr>
        <w:t>12</w:t>
      </w:r>
      <w:r>
        <w:rPr>
          <w:rFonts w:cs="Tahoma" w:ascii="Tahoma" w:hAnsi="Tahoma"/>
        </w:rPr>
        <w:t xml:space="preserve"> is the correlation between prompt and prompt+1 contracts for gas over the next day, B</w:t>
      </w:r>
      <w:r>
        <w:rPr>
          <w:rFonts w:cs="Tahoma" w:ascii="Tahoma" w:hAnsi="Tahoma"/>
          <w:vertAlign w:val="subscript"/>
        </w:rPr>
        <w:t>23</w:t>
      </w:r>
      <w:r>
        <w:rPr>
          <w:rFonts w:cs="Tahoma" w:ascii="Tahoma" w:hAnsi="Tahoma"/>
        </w:rPr>
        <w:t xml:space="preserve"> is the correlation between prompt+1 and prompt+2 contracts for power and C</w:t>
      </w:r>
      <w:r>
        <w:rPr>
          <w:rFonts w:cs="Tahoma" w:ascii="Tahoma" w:hAnsi="Tahoma"/>
          <w:vertAlign w:val="subscript"/>
        </w:rPr>
        <w:t>13</w:t>
      </w:r>
      <w:r>
        <w:rPr>
          <w:rFonts w:cs="Tahoma" w:ascii="Tahoma" w:hAnsi="Tahoma"/>
        </w:rPr>
        <w:t xml:space="preserve"> is the correlation between prompt contract for gas and prompt+2 contract for power.</w:t>
      </w:r>
    </w:p>
    <w:p>
      <w:pPr>
        <w:pStyle w:val="Normal"/>
        <w:rPr>
          <w:rFonts w:ascii="Tahoma" w:hAnsi="Tahoma" w:cs="Tahoma"/>
        </w:rPr>
      </w:pPr>
      <w:r>
        <w:rPr>
          <w:rFonts w:cs="Tahoma" w:ascii="Tahoma" w:hAnsi="Tahoma"/>
        </w:rPr>
      </w:r>
    </w:p>
    <w:p>
      <w:pPr>
        <w:pStyle w:val="Heading1"/>
        <w:ind w:hanging="0" w:start="0"/>
        <w:rPr/>
      </w:pPr>
      <w:r>
        <w:rPr/>
        <w:t>Generating correlated normally distributed random variables</w:t>
      </w:r>
    </w:p>
    <w:p>
      <w:pPr>
        <w:pStyle w:val="Normal"/>
        <w:rPr/>
      </w:pPr>
      <w:r>
        <w:rPr/>
      </w:r>
    </w:p>
    <w:p>
      <w:pPr>
        <w:pStyle w:val="Normal"/>
        <w:rPr/>
      </w:pPr>
      <w:r>
        <w:rPr>
          <w:rFonts w:cs="Tahoma" w:ascii="Tahoma" w:hAnsi="Tahoma"/>
        </w:rPr>
        <w:t xml:space="preserve">According to equation (1) in order to simulate 3 forward contract prices for gas and 3 for power we have to generate 6 normal random variables </w:t>
      </w:r>
      <w:r>
        <w:rPr>
          <w:rFonts w:eastAsia="Symbol" w:cs="Symbol" w:ascii="Symbol" w:hAnsi="Symbol"/>
          <w:b/>
        </w:rPr>
        <w:sym w:font="Symbol" w:char="f068"/>
      </w:r>
      <w:r>
        <w:rPr>
          <w:rFonts w:cs="Tahoma" w:ascii="Tahoma" w:hAnsi="Tahoma"/>
          <w:b/>
        </w:rPr>
        <w:t>=</w:t>
      </w:r>
      <w:r>
        <w:rPr>
          <w:rFonts w:cs="Tahoma" w:ascii="Tahoma" w:hAnsi="Tahoma"/>
        </w:rPr>
        <w:t>(</w:t>
      </w:r>
      <w:r>
        <w:rPr>
          <w:rFonts w:eastAsia="Symbol" w:cs="Symbol" w:ascii="Symbol" w:hAnsi="Symbol"/>
        </w:rPr>
        <w:sym w:font="Symbol" w:char="f068"/>
      </w:r>
      <w:r>
        <w:rPr>
          <w:rFonts w:cs="Tahoma" w:ascii="Tahoma" w:hAnsi="Tahoma"/>
          <w:vertAlign w:val="subscript"/>
        </w:rPr>
        <w:t>1</w:t>
      </w:r>
      <w:r>
        <w:rPr>
          <w:rFonts w:cs="Tahoma" w:ascii="Tahoma" w:hAnsi="Tahoma"/>
        </w:rPr>
        <w:t>,</w:t>
      </w:r>
      <w:r>
        <w:rPr>
          <w:rFonts w:eastAsia="Symbol" w:cs="Symbol" w:ascii="Symbol" w:hAnsi="Symbol"/>
        </w:rPr>
        <w:sym w:font="Symbol" w:char="f068"/>
      </w:r>
      <w:r>
        <w:rPr>
          <w:rFonts w:cs="Tahoma" w:ascii="Tahoma" w:hAnsi="Tahoma"/>
          <w:vertAlign w:val="subscript"/>
        </w:rPr>
        <w:t>2</w:t>
      </w:r>
      <w:r>
        <w:rPr>
          <w:rFonts w:cs="Tahoma" w:ascii="Tahoma" w:hAnsi="Tahoma"/>
        </w:rPr>
        <w:t>, …</w:t>
      </w:r>
      <w:r>
        <w:rPr>
          <w:rFonts w:eastAsia="Symbol" w:cs="Symbol" w:ascii="Symbol" w:hAnsi="Symbol"/>
        </w:rPr>
        <w:sym w:font="Symbol" w:char="f068"/>
      </w:r>
      <w:r>
        <w:rPr>
          <w:rFonts w:cs="Tahoma" w:ascii="Tahoma" w:hAnsi="Tahoma"/>
          <w:vertAlign w:val="subscript"/>
        </w:rPr>
        <w:t>6</w:t>
      </w:r>
      <w:r>
        <w:rPr>
          <w:rFonts w:cs="Tahoma" w:ascii="Tahoma" w:hAnsi="Tahoma"/>
        </w:rPr>
        <w:t xml:space="preserve">) with correlation matrix </w:t>
      </w:r>
      <w:r>
        <w:rPr>
          <w:rFonts w:cs="Tahoma" w:ascii="Tahoma" w:hAnsi="Tahoma"/>
          <w:b/>
        </w:rPr>
        <w:t>G</w:t>
      </w:r>
      <w:r>
        <w:rPr>
          <w:rFonts w:cs="Tahoma" w:ascii="Tahoma" w:hAnsi="Tahoma"/>
        </w:rPr>
        <w:t>. Suppose we know how to generate independent normal variables (standard routines provide this capability). Then there is a standard way to transform non-correlated normal random variables into correlated ones suggested by the following Theorem:</w:t>
      </w:r>
    </w:p>
    <w:p>
      <w:pPr>
        <w:pStyle w:val="Normal"/>
        <w:rPr>
          <w:rFonts w:ascii="Tahoma" w:hAnsi="Tahoma" w:cs="Tahoma"/>
        </w:rPr>
      </w:pPr>
      <w:r>
        <w:rPr>
          <w:rFonts w:cs="Tahoma" w:ascii="Tahoma" w:hAnsi="Tahoma"/>
        </w:rPr>
      </w:r>
      <w:r>
        <w:br w:type="page"/>
      </w:r>
    </w:p>
    <w:p>
      <w:pPr>
        <w:pStyle w:val="Normal"/>
        <w:jc w:val="center"/>
        <w:rPr>
          <w:b/>
        </w:rPr>
      </w:pPr>
      <w:r>
        <w:rPr>
          <w:b/>
        </w:rPr>
        <w:t>Theorem:</w:t>
      </w:r>
    </w:p>
    <w:p>
      <w:pPr>
        <w:pStyle w:val="Normal"/>
        <w:rPr/>
      </w:pPr>
      <w:r>
        <w:rPr/>
        <w:t xml:space="preserve">If </w:t>
      </w:r>
      <w:r>
        <w:rPr>
          <w:rFonts w:eastAsia="Symbol" w:cs="Symbol" w:ascii="Symbol" w:hAnsi="Symbol"/>
          <w:b/>
        </w:rPr>
        <w:sym w:font="Symbol" w:char="f078"/>
      </w:r>
      <w:r>
        <w:rPr/>
        <w:t>=(</w:t>
      </w:r>
      <w:r>
        <w:rPr>
          <w:rFonts w:eastAsia="Symbol" w:cs="Symbol" w:ascii="Symbol" w:hAnsi="Symbol"/>
        </w:rPr>
        <w:sym w:font="Symbol" w:char="f078"/>
      </w:r>
      <w:r>
        <w:rPr>
          <w:vertAlign w:val="subscript"/>
        </w:rPr>
        <w:t>1</w:t>
      </w:r>
      <w:r>
        <w:rPr/>
        <w:t xml:space="preserve">, </w:t>
      </w:r>
      <w:r>
        <w:rPr>
          <w:rFonts w:eastAsia="Symbol" w:cs="Symbol" w:ascii="Symbol" w:hAnsi="Symbol"/>
        </w:rPr>
        <w:sym w:font="Symbol" w:char="f078"/>
      </w:r>
      <w:r>
        <w:rPr>
          <w:vertAlign w:val="subscript"/>
        </w:rPr>
        <w:t>2</w:t>
      </w:r>
      <w:r>
        <w:rPr/>
        <w:t>, …</w:t>
      </w:r>
      <w:r>
        <w:rPr>
          <w:rFonts w:eastAsia="Symbol" w:cs="Symbol" w:ascii="Symbol" w:hAnsi="Symbol"/>
        </w:rPr>
        <w:sym w:font="Symbol" w:char="f078"/>
      </w:r>
      <w:r>
        <w:rPr>
          <w:vertAlign w:val="subscript"/>
        </w:rPr>
        <w:t>m</w:t>
      </w:r>
      <w:r>
        <w:rPr/>
        <w:t xml:space="preserve">) is a vector of m independent standard normal random variables and </w:t>
      </w:r>
      <w:r>
        <w:rPr>
          <w:rFonts w:eastAsia="Symbol" w:cs="Symbol" w:ascii="Symbol" w:hAnsi="Symbol"/>
          <w:b/>
        </w:rPr>
        <w:sym w:font="Symbol" w:char="f068"/>
      </w:r>
      <w:r>
        <w:rPr>
          <w:b/>
        </w:rPr>
        <w:t>=</w:t>
      </w:r>
      <w:r>
        <w:rPr/>
        <w:t>(</w:t>
      </w:r>
      <w:r>
        <w:rPr>
          <w:rFonts w:eastAsia="Symbol" w:cs="Symbol" w:ascii="Symbol" w:hAnsi="Symbol"/>
        </w:rPr>
        <w:sym w:font="Symbol" w:char="f068"/>
      </w:r>
      <w:r>
        <w:rPr>
          <w:vertAlign w:val="subscript"/>
        </w:rPr>
        <w:t>1</w:t>
      </w:r>
      <w:r>
        <w:rPr/>
        <w:t>,</w:t>
      </w:r>
      <w:r>
        <w:rPr>
          <w:rFonts w:eastAsia="Symbol" w:cs="Symbol" w:ascii="Symbol" w:hAnsi="Symbol"/>
        </w:rPr>
        <w:sym w:font="Symbol" w:char="f068"/>
      </w:r>
      <w:r>
        <w:rPr>
          <w:vertAlign w:val="subscript"/>
        </w:rPr>
        <w:t>2</w:t>
      </w:r>
      <w:r>
        <w:rPr/>
        <w:t>, …</w:t>
      </w:r>
      <w:r>
        <w:rPr>
          <w:rFonts w:eastAsia="Symbol" w:cs="Symbol" w:ascii="Symbol" w:hAnsi="Symbol"/>
        </w:rPr>
        <w:sym w:font="Symbol" w:char="f068"/>
      </w:r>
      <w:r>
        <w:rPr>
          <w:vertAlign w:val="subscript"/>
        </w:rPr>
        <w:t>n</w:t>
      </w:r>
      <w:r>
        <w:rPr/>
        <w:t>) is a vector such that:</w:t>
      </w:r>
    </w:p>
    <w:p>
      <w:pPr>
        <w:pStyle w:val="Normal"/>
        <w:jc w:val="center"/>
        <w:rPr/>
      </w:pPr>
      <w:r>
        <w:rPr>
          <w:rFonts w:eastAsia="Symbol" w:cs="Symbol" w:ascii="Symbol" w:hAnsi="Symbol"/>
          <w:b/>
        </w:rPr>
        <w:sym w:font="Symbol" w:char="f068"/>
      </w:r>
      <w:r>
        <w:rPr>
          <w:b/>
        </w:rPr>
        <w:t>=F</w:t>
      </w:r>
      <w:r>
        <w:rPr>
          <w:rFonts w:eastAsia="Symbol" w:cs="Symbol" w:ascii="Symbol" w:hAnsi="Symbol"/>
          <w:b/>
        </w:rPr>
        <w:sym w:font="Symbol" w:char="f078"/>
      </w:r>
      <w:r>
        <w:rPr>
          <w:b/>
        </w:rPr>
        <w:tab/>
        <w:tab/>
        <w:tab/>
        <w:tab/>
        <w:tab/>
        <w:tab/>
        <w:t>(2)</w:t>
      </w:r>
    </w:p>
    <w:p>
      <w:pPr>
        <w:pStyle w:val="Normal"/>
        <w:rPr/>
      </w:pPr>
      <w:r>
        <w:rPr/>
        <w:t xml:space="preserve">then variance-covariance matrix </w:t>
      </w:r>
      <w:r>
        <w:rPr>
          <w:b/>
        </w:rPr>
        <w:t>V</w:t>
      </w:r>
      <w:r>
        <w:rPr/>
        <w:t xml:space="preserve"> for vector </w:t>
      </w:r>
      <w:r>
        <w:rPr>
          <w:rFonts w:eastAsia="Symbol" w:cs="Symbol" w:ascii="Symbol" w:hAnsi="Symbol"/>
          <w:b/>
        </w:rPr>
        <w:sym w:font="Symbol" w:char="f068"/>
      </w:r>
      <w:r>
        <w:rPr>
          <w:b/>
        </w:rPr>
        <w:t xml:space="preserve"> </w:t>
      </w:r>
      <w:r>
        <w:rPr/>
        <w:t>is given by matrix product:</w:t>
      </w:r>
    </w:p>
    <w:p>
      <w:pPr>
        <w:pStyle w:val="Normal"/>
        <w:jc w:val="center"/>
        <w:rPr/>
      </w:pPr>
      <w:r>
        <w:rPr>
          <w:b/>
        </w:rPr>
        <w:t>F F</w:t>
      </w:r>
      <w:r>
        <w:rPr>
          <w:b/>
          <w:vertAlign w:val="superscript"/>
        </w:rPr>
        <w:t>T</w:t>
      </w:r>
      <w:r>
        <w:rPr/>
        <w:t xml:space="preserve"> </w:t>
      </w:r>
      <w:r>
        <w:rPr>
          <w:b/>
        </w:rPr>
        <w:t>=V</w:t>
      </w:r>
      <w:r>
        <w:rPr/>
        <w:tab/>
        <w:tab/>
        <w:tab/>
        <w:tab/>
        <w:tab/>
        <w:tab/>
      </w:r>
      <w:r>
        <w:rPr>
          <w:b/>
        </w:rPr>
        <w:t>(3)</w:t>
      </w:r>
    </w:p>
    <w:p>
      <w:pPr>
        <w:pStyle w:val="Normal"/>
        <w:rPr>
          <w:rFonts w:ascii="Tahoma" w:hAnsi="Tahoma" w:cs="Tahoma"/>
        </w:rPr>
      </w:pPr>
      <w:r>
        <w:rPr>
          <w:rFonts w:cs="Tahoma" w:ascii="Tahoma" w:hAnsi="Tahoma"/>
        </w:rPr>
      </w:r>
    </w:p>
    <w:p>
      <w:pPr>
        <w:pStyle w:val="Normal"/>
        <w:rPr/>
      </w:pPr>
      <w:r>
        <w:rPr>
          <w:rFonts w:cs="Tahoma" w:ascii="Tahoma" w:hAnsi="Tahoma"/>
        </w:rPr>
        <w:t xml:space="preserve">Equation (2) means that each component of vector </w:t>
      </w:r>
      <w:r>
        <w:rPr>
          <w:rFonts w:eastAsia="Symbol" w:cs="Symbol" w:ascii="Symbol" w:hAnsi="Symbol"/>
          <w:b/>
        </w:rPr>
        <w:sym w:font="Symbol" w:char="f068"/>
      </w:r>
      <w:r>
        <w:rPr>
          <w:rFonts w:cs="Tahoma" w:ascii="Tahoma" w:hAnsi="Tahoma"/>
          <w:b/>
        </w:rPr>
        <w:t xml:space="preserve"> </w:t>
      </w:r>
      <w:r>
        <w:rPr>
          <w:rFonts w:cs="Tahoma" w:ascii="Tahoma" w:hAnsi="Tahoma"/>
        </w:rPr>
        <w:t xml:space="preserve">is a linear combination of components of vector </w:t>
      </w:r>
      <w:r>
        <w:rPr>
          <w:rFonts w:eastAsia="Symbol" w:cs="Symbol" w:ascii="Symbol" w:hAnsi="Symbol"/>
          <w:b/>
        </w:rPr>
        <w:sym w:font="Symbol" w:char="f078"/>
      </w:r>
      <w:r>
        <w:rPr>
          <w:b/>
        </w:rPr>
        <w:t xml:space="preserve">. </w:t>
      </w:r>
      <w:r>
        <w:rPr>
          <w:rFonts w:cs="Tahoma" w:ascii="Tahoma" w:hAnsi="Tahoma"/>
        </w:rPr>
        <w:t xml:space="preserve">Choosing matrix </w:t>
      </w:r>
      <w:r>
        <w:rPr>
          <w:b/>
        </w:rPr>
        <w:t>F</w:t>
      </w:r>
      <w:r>
        <w:rPr>
          <w:rFonts w:cs="Tahoma" w:ascii="Tahoma" w:hAnsi="Tahoma"/>
        </w:rPr>
        <w:t xml:space="preserve"> appropriately we can make components of vector </w:t>
      </w:r>
      <w:r>
        <w:rPr>
          <w:rFonts w:eastAsia="Symbol" w:cs="Symbol" w:ascii="Symbol" w:hAnsi="Symbol"/>
          <w:b/>
        </w:rPr>
        <w:sym w:font="Symbol" w:char="f068"/>
      </w:r>
      <w:r>
        <w:rPr>
          <w:rFonts w:cs="Tahoma" w:ascii="Tahoma" w:hAnsi="Tahoma"/>
        </w:rPr>
        <w:t xml:space="preserve"> correlated with desired correlation matrix.</w:t>
      </w:r>
    </w:p>
    <w:p>
      <w:pPr>
        <w:pStyle w:val="Normal"/>
        <w:rPr>
          <w:rFonts w:ascii="Tahoma" w:hAnsi="Tahoma" w:cs="Tahoma"/>
        </w:rPr>
      </w:pPr>
      <w:r>
        <w:rPr>
          <w:rFonts w:cs="Tahoma" w:ascii="Tahoma" w:hAnsi="Tahoma"/>
        </w:rPr>
      </w:r>
    </w:p>
    <w:p>
      <w:pPr>
        <w:pStyle w:val="Normal"/>
        <w:rPr/>
      </w:pPr>
      <w:r>
        <w:rPr>
          <w:rFonts w:cs="Tahoma" w:ascii="Tahoma" w:hAnsi="Tahoma"/>
          <w:b/>
        </w:rPr>
        <w:t>Example 1</w:t>
      </w:r>
      <w:r>
        <w:rPr>
          <w:rFonts w:cs="Tahoma" w:ascii="Tahoma" w:hAnsi="Tahoma"/>
        </w:rPr>
        <w:t xml:space="preserve">: Suppose that m=1 and all elements of n x 1 matrix </w:t>
      </w:r>
      <w:r>
        <w:rPr>
          <w:b/>
        </w:rPr>
        <w:t>F</w:t>
      </w:r>
      <w:r>
        <w:rPr>
          <w:rFonts w:cs="Tahoma" w:ascii="Tahoma" w:hAnsi="Tahoma"/>
        </w:rPr>
        <w:t xml:space="preserve"> are equal to 1, then equation (2) will look as follows:</w:t>
      </w:r>
    </w:p>
    <w:p>
      <w:pPr>
        <w:pStyle w:val="Normal"/>
        <w:jc w:val="center"/>
        <w:rPr/>
      </w:pPr>
      <w:r>
        <w:rPr>
          <w:rFonts w:cs="Tahoma" w:ascii="Tahoma" w:hAnsi="Tahoma"/>
        </w:rPr>
      </w:r>
      <m:oMath xmlns:m="http://schemas.openxmlformats.org/officeDocument/2006/math">
        <m:sSub>
          <m:e>
            <m:r>
              <m:t xml:space="preserve">η</m:t>
            </m:r>
          </m:e>
          <m:sub>
            <m:r>
              <m:t xml:space="preserve">i</m:t>
            </m:r>
          </m:sub>
        </m:sSub>
        <m:r>
          <m:t xml:space="preserve">=</m:t>
        </m:r>
        <m:sSub>
          <m:e>
            <m:r>
              <m:t xml:space="preserve">ξ</m:t>
            </m:r>
          </m:e>
          <m:sub>
            <m:r>
              <m:t xml:space="preserve">1</m:t>
            </m:r>
          </m:sub>
        </m:sSub>
        <m:r>
          <m:t xml:space="preserve">,</m:t>
        </m:r>
        <m:r>
          <m:t xml:space="preserve">i</m:t>
        </m:r>
        <m:r>
          <m:t xml:space="preserve">=</m:t>
        </m:r>
        <m:r>
          <m:t xml:space="preserve">1</m:t>
        </m:r>
        <m:r>
          <m:t xml:space="preserve">,</m:t>
        </m:r>
        <m:r>
          <m:rPr>
            <m:lit/>
            <m:nor/>
          </m:rPr>
          <m:t xml:space="preserve">.</m:t>
        </m:r>
        <m:r>
          <m:rPr>
            <m:lit/>
            <m:nor/>
          </m:rPr>
          <m:t xml:space="preserve">.</m:t>
        </m:r>
        <m:r>
          <m:rPr>
            <m:lit/>
            <m:nor/>
          </m:rPr>
          <m:t xml:space="preserve">.</m:t>
        </m:r>
        <m:r>
          <m:t xml:space="preserve">,</m:t>
        </m:r>
        <m:r>
          <m:t xml:space="preserve">n</m:t>
        </m:r>
      </m:oMath>
      <w:r>
        <w:rPr>
          <w:rFonts w:cs="Tahoma" w:ascii="Tahoma" w:hAnsi="Tahoma"/>
        </w:rPr>
        <w:t>.</w:t>
      </w:r>
    </w:p>
    <w:p>
      <w:pPr>
        <w:pStyle w:val="Normal"/>
        <w:rPr/>
      </w:pPr>
      <w:r>
        <w:rPr>
          <w:rFonts w:cs="Tahoma" w:ascii="Tahoma" w:hAnsi="Tahoma"/>
        </w:rPr>
        <w:t xml:space="preserve">This is essentially saying that all components of vector </w:t>
      </w:r>
      <w:r>
        <w:rPr>
          <w:rFonts w:eastAsia="Symbol" w:cs="Symbol" w:ascii="Symbol" w:hAnsi="Symbol"/>
          <w:b/>
        </w:rPr>
        <w:sym w:font="Symbol" w:char="f068"/>
      </w:r>
      <w:r>
        <w:rPr>
          <w:rFonts w:cs="Tahoma" w:ascii="Tahoma" w:hAnsi="Tahoma"/>
        </w:rPr>
        <w:t xml:space="preserve"> are equal to the same random variable </w:t>
      </w:r>
      <w:r>
        <w:rPr>
          <w:rFonts w:eastAsia="Symbol" w:cs="Symbol" w:ascii="Symbol" w:hAnsi="Symbol"/>
          <w:b/>
        </w:rPr>
        <w:sym w:font="Symbol" w:char="f078"/>
      </w:r>
      <w:r>
        <w:rPr>
          <w:b/>
          <w:vertAlign w:val="subscript"/>
        </w:rPr>
        <w:t>1</w:t>
      </w:r>
      <w:r>
        <w:rPr>
          <w:rFonts w:cs="Tahoma" w:ascii="Tahoma" w:hAnsi="Tahoma"/>
        </w:rPr>
        <w:t>. Equation (3) is this case looks as follows:</w:t>
      </w:r>
    </w:p>
    <w:p>
      <w:pPr>
        <w:pStyle w:val="Normal"/>
        <w:rPr>
          <w:rFonts w:ascii="Tahoma" w:hAnsi="Tahoma" w:cs="Tahoma"/>
        </w:rPr>
      </w:pPr>
      <w:r>
        <w:rPr>
          <w:rFonts w:cs="Tahoma" w:ascii="Tahoma" w:hAnsi="Tahoma"/>
        </w:rPr>
      </w:r>
    </w:p>
    <w:p>
      <w:pPr>
        <w:pStyle w:val="Normal"/>
        <w:rPr>
          <w:rFonts w:ascii="Tahoma" w:hAnsi="Tahoma" w:cs="Tahoma"/>
          <w:b/>
          <w:lang w:val="en-CA"/>
        </w:rPr>
      </w:pPr>
      <w:r>
        <w:rPr>
          <w:rFonts w:cs="Tahoma" w:ascii="Tahoma" w:hAnsi="Tahoma"/>
          <w:b/>
          <w:lang w:val="en-CA"/>
        </w:rPr>
        <w:object w:dxaOrig="5613" w:dyaOrig="1291">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position:absolute;margin-left:0pt;margin-top:0pt;width:280.8pt;height:63.45pt;mso-wrap-distance-left:9.05pt;mso-wrap-distance-right:9.05pt;mso-position-horizontal-relative:text;mso-position-vertical-relative:text" filled="f" o:ole="">
            <v:imagedata r:id="rId3" o:title=""/>
            <w10:wrap type="topAndBottom"/>
          </v:shape>
          <o:OLEObject Type="Embed" ProgID="Excel.Sheet.12" ShapeID="ole_rId2" DrawAspect="Content" ObjectID="_385164491" r:id="rId2"/>
        </w:object>
      </w:r>
    </w:p>
    <w:p>
      <w:pPr>
        <w:pStyle w:val="Normal"/>
        <w:rPr/>
      </w:pPr>
      <w:r>
        <w:rPr>
          <w:rFonts w:cs="Tahoma" w:ascii="Tahoma" w:hAnsi="Tahoma"/>
        </w:rPr>
        <w:t xml:space="preserve">which shows that all components of vector </w:t>
      </w:r>
      <w:r>
        <w:rPr>
          <w:rFonts w:eastAsia="Symbol" w:cs="Symbol" w:ascii="Symbol" w:hAnsi="Symbol"/>
          <w:b/>
        </w:rPr>
        <w:sym w:font="Symbol" w:char="f068"/>
      </w:r>
      <w:r>
        <w:rPr>
          <w:rFonts w:cs="Tahoma" w:ascii="Tahoma" w:hAnsi="Tahoma"/>
        </w:rPr>
        <w:t xml:space="preserve"> are perfectly correlated. This example, in fact, corresponds to a 1-factor model, which we use in VAR model for some commodities when we don’t have much information about term-structure of correlations and assume parallel shifts in forward prices across the curve during Monte Carlo simulations.</w:t>
      </w:r>
    </w:p>
    <w:p>
      <w:pPr>
        <w:pStyle w:val="Normal"/>
        <w:jc w:val="center"/>
        <w:rPr>
          <w:rFonts w:ascii="Tahoma" w:hAnsi="Tahoma" w:cs="Tahoma"/>
        </w:rPr>
      </w:pPr>
      <w:r>
        <w:rPr>
          <w:rFonts w:cs="Tahoma" w:ascii="Tahoma" w:hAnsi="Tahoma"/>
        </w:rPr>
      </w:r>
    </w:p>
    <w:p>
      <w:pPr>
        <w:pStyle w:val="Normal"/>
        <w:rPr/>
      </w:pPr>
      <w:r>
        <w:rPr>
          <w:rFonts w:cs="Tahoma" w:ascii="Tahoma" w:hAnsi="Tahoma"/>
          <w:b/>
        </w:rPr>
        <w:t>Example 2</w:t>
      </w:r>
      <w:r>
        <w:rPr>
          <w:rFonts w:cs="Tahoma" w:ascii="Tahoma" w:hAnsi="Tahoma"/>
        </w:rPr>
        <w:t>: We still assume 1-factor model (m=1), but now we consider:</w:t>
      </w:r>
    </w:p>
    <w:p>
      <w:pPr>
        <w:pStyle w:val="Normal"/>
        <w:jc w:val="center"/>
        <w:rPr>
          <w:rFonts w:ascii="Tahoma" w:hAnsi="Tahoma" w:cs="Tahoma"/>
        </w:rPr>
      </w:pPr>
      <w:r>
        <w:rPr>
          <w:rFonts w:cs="Tahoma" w:ascii="Tahoma" w:hAnsi="Tahoma"/>
        </w:rPr>
      </w:r>
      <m:oMathPara xmlns:m="http://schemas.openxmlformats.org/officeDocument/2006/math">
        <m:oMathParaPr>
          <m:jc m:val="center"/>
        </m:oMathParaPr>
        <m:oMath>
          <m:eqArr>
            <m:e>
              <m:sSub>
                <m:e>
                  <m:r>
                    <m:t xml:space="preserve">η</m:t>
                  </m:r>
                </m:e>
                <m:sub>
                  <m:r>
                    <m:t xml:space="preserve">i</m:t>
                  </m:r>
                </m:sub>
              </m:sSub>
              <m:r>
                <m:t xml:space="preserve">=</m:t>
              </m:r>
              <m:sSub>
                <m:e>
                  <m:r>
                    <m:t xml:space="preserve">ξ</m:t>
                  </m:r>
                </m:e>
                <m:sub>
                  <m:r>
                    <m:t xml:space="preserve">1</m:t>
                  </m:r>
                </m:sub>
              </m:sSub>
              <m:r>
                <m:t xml:space="preserve">,</m:t>
              </m:r>
              <m:r>
                <m:t xml:space="preserve">i</m:t>
              </m:r>
              <m:r>
                <m:t xml:space="preserve">=</m:t>
              </m:r>
              <m:r>
                <m:t xml:space="preserve">1</m:t>
              </m:r>
              <m:r>
                <m:t xml:space="preserve">,</m:t>
              </m:r>
              <m:r>
                <m:rPr>
                  <m:lit/>
                  <m:nor/>
                </m:rPr>
                <m:t xml:space="preserve">.</m:t>
              </m:r>
              <m:r>
                <m:rPr>
                  <m:lit/>
                  <m:nor/>
                </m:rPr>
                <m:t xml:space="preserve">.</m:t>
              </m:r>
              <m:r>
                <m:rPr>
                  <m:lit/>
                  <m:nor/>
                </m:rPr>
                <m:t xml:space="preserve">.</m:t>
              </m:r>
              <m:r>
                <m:t xml:space="preserve">,</m:t>
              </m:r>
              <m:f>
                <m:fPr>
                  <m:type m:val="lin"/>
                </m:fPr>
                <m:num>
                  <m:r>
                    <m:t xml:space="preserve">n</m:t>
                  </m:r>
                </m:num>
                <m:den>
                  <m:r>
                    <m:t xml:space="preserve">2</m:t>
                  </m:r>
                </m:den>
              </m:f>
              <m:r>
                <m:t xml:space="preserve">,</m:t>
              </m:r>
            </m:e>
            <m:e>
              <m:sSub>
                <m:e>
                  <m:r>
                    <m:t xml:space="preserve">η</m:t>
                  </m:r>
                </m:e>
                <m:sub>
                  <m:r>
                    <m:t xml:space="preserve">i</m:t>
                  </m:r>
                </m:sub>
              </m:sSub>
              <m:r>
                <m:t xml:space="preserve">=</m:t>
              </m:r>
              <m:r>
                <m:t xml:space="preserve">−</m:t>
              </m:r>
              <m:sSub>
                <m:e>
                  <m:r>
                    <m:t xml:space="preserve">ξ</m:t>
                  </m:r>
                </m:e>
                <m:sub>
                  <m:r>
                    <m:t xml:space="preserve">1</m:t>
                  </m:r>
                </m:sub>
              </m:sSub>
              <m:r>
                <m:t xml:space="preserve">,</m:t>
              </m:r>
              <m:r>
                <m:t xml:space="preserve">i</m:t>
              </m:r>
              <m:r>
                <m:t xml:space="preserve">=</m:t>
              </m:r>
              <m:f>
                <m:fPr>
                  <m:type m:val="lin"/>
                </m:fPr>
                <m:num>
                  <m:r>
                    <m:t xml:space="preserve">n</m:t>
                  </m:r>
                </m:num>
                <m:den>
                  <m:r>
                    <m:t xml:space="preserve">2</m:t>
                  </m:r>
                </m:den>
              </m:f>
              <m:r>
                <m:t xml:space="preserve">,</m:t>
              </m:r>
              <m:r>
                <m:rPr>
                  <m:lit/>
                  <m:nor/>
                </m:rPr>
                <m:t xml:space="preserve">.</m:t>
              </m:r>
              <m:r>
                <m:rPr>
                  <m:lit/>
                  <m:nor/>
                </m:rPr>
                <m:t xml:space="preserve">.</m:t>
              </m:r>
              <m:r>
                <m:rPr>
                  <m:lit/>
                  <m:nor/>
                </m:rPr>
                <m:t xml:space="preserve">.</m:t>
              </m:r>
              <m:r>
                <m:t xml:space="preserve">,</m:t>
              </m:r>
              <m:r>
                <m:t xml:space="preserve">n</m:t>
              </m:r>
            </m:e>
          </m:eqArr>
        </m:oMath>
      </m:oMathPara>
    </w:p>
    <w:p>
      <w:pPr>
        <w:pStyle w:val="Normal"/>
        <w:rPr/>
      </w:pPr>
      <w:r>
        <w:rPr>
          <w:rFonts w:cs="Tahoma" w:ascii="Tahoma" w:hAnsi="Tahoma"/>
        </w:rPr>
        <w:t xml:space="preserve">This means that some components of vector </w:t>
      </w:r>
      <w:r>
        <w:rPr>
          <w:rFonts w:eastAsia="Symbol" w:cs="Symbol" w:ascii="Symbol" w:hAnsi="Symbol"/>
          <w:b/>
        </w:rPr>
        <w:sym w:font="Symbol" w:char="f068"/>
      </w:r>
      <w:r>
        <w:rPr>
          <w:rFonts w:cs="Tahoma" w:ascii="Tahoma" w:hAnsi="Tahoma"/>
        </w:rPr>
        <w:t xml:space="preserve"> are perfectly correlated with each other but negatively correlated with the other components. This can be confirmed by matrix algebra:</w:t>
      </w:r>
    </w:p>
    <w:p>
      <w:pPr>
        <w:pStyle w:val="Normal"/>
        <w:rPr>
          <w:rFonts w:ascii="Tahoma" w:hAnsi="Tahoma" w:cs="Tahoma"/>
        </w:rPr>
      </w:pPr>
      <w:r>
        <w:rPr>
          <w:rFonts w:cs="Tahoma" w:ascii="Tahoma" w:hAnsi="Tahoma"/>
        </w:rPr>
      </w:r>
    </w:p>
    <w:tbl>
      <w:tblPr>
        <w:tblW w:w="5597" w:type="dxa"/>
        <w:jc w:val="start"/>
        <w:tblInd w:w="0" w:type="dxa"/>
        <w:tblLayout w:type="fixed"/>
        <w:tblCellMar>
          <w:top w:w="0" w:type="dxa"/>
          <w:start w:w="30" w:type="dxa"/>
          <w:bottom w:w="0" w:type="dxa"/>
          <w:end w:w="30" w:type="dxa"/>
        </w:tblCellMar>
      </w:tblPr>
      <w:tblGrid>
        <w:gridCol w:w="314"/>
        <w:gridCol w:w="569"/>
        <w:gridCol w:w="379"/>
        <w:gridCol w:w="394"/>
        <w:gridCol w:w="394"/>
        <w:gridCol w:w="331"/>
        <w:gridCol w:w="314"/>
        <w:gridCol w:w="600"/>
        <w:gridCol w:w="490"/>
        <w:gridCol w:w="504"/>
        <w:gridCol w:w="410"/>
        <w:gridCol w:w="425"/>
        <w:gridCol w:w="473"/>
      </w:tblGrid>
      <w:tr>
        <w:trPr>
          <w:trHeight w:val="247" w:hRule="atLeast"/>
        </w:trPr>
        <w:tc>
          <w:tcPr>
            <w:tcW w:w="31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69" w:type="dxa"/>
            <w:tcBorders/>
          </w:tcPr>
          <w:p>
            <w:pPr>
              <w:pStyle w:val="Normal"/>
              <w:snapToGrid w:val="false"/>
              <w:jc w:val="end"/>
              <w:rPr>
                <w:rFonts w:ascii="Arial" w:hAnsi="Arial" w:cs="Arial"/>
                <w:b/>
                <w:color w:val="000000"/>
                <w:lang w:eastAsia="en-US"/>
              </w:rPr>
            </w:pPr>
            <w:r>
              <w:rPr>
                <w:rFonts w:cs="Arial" w:ascii="Arial" w:hAnsi="Arial"/>
                <w:b/>
                <w:color w:val="000000"/>
                <w:lang w:eastAsia="en-US"/>
              </w:rPr>
            </w:r>
          </w:p>
        </w:tc>
        <w:tc>
          <w:tcPr>
            <w:tcW w:w="379"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94"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94"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31"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14"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600"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49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1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7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r>
      <w:tr>
        <w:trPr>
          <w:trHeight w:val="247" w:hRule="atLeast"/>
        </w:trPr>
        <w:tc>
          <w:tcPr>
            <w:tcW w:w="31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69" w:type="dxa"/>
            <w:tcBorders/>
          </w:tcPr>
          <w:p>
            <w:pPr>
              <w:pStyle w:val="Normal"/>
              <w:snapToGrid w:val="false"/>
              <w:jc w:val="end"/>
              <w:rPr>
                <w:rFonts w:ascii="Arial" w:hAnsi="Arial" w:cs="Arial"/>
                <w:b/>
                <w:color w:val="000000"/>
                <w:lang w:eastAsia="en-US"/>
              </w:rPr>
            </w:pPr>
            <w:r>
              <w:rPr>
                <w:rFonts w:cs="Arial" w:ascii="Arial" w:hAnsi="Arial"/>
                <w:b/>
                <w:color w:val="000000"/>
                <w:lang w:eastAsia="en-US"/>
              </w:rPr>
            </w:r>
          </w:p>
        </w:tc>
        <w:tc>
          <w:tcPr>
            <w:tcW w:w="379"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94"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94"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31"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14"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600"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49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1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7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r>
      <w:tr>
        <w:trPr>
          <w:trHeight w:val="262" w:hRule="atLeast"/>
        </w:trPr>
        <w:tc>
          <w:tcPr>
            <w:tcW w:w="31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69" w:type="dxa"/>
            <w:tcBorders/>
          </w:tcPr>
          <w:p>
            <w:pPr>
              <w:pStyle w:val="Normal"/>
              <w:jc w:val="center"/>
              <w:rPr>
                <w:rFonts w:ascii="Arial" w:hAnsi="Arial" w:cs="Arial"/>
                <w:b/>
                <w:color w:val="000000"/>
                <w:sz w:val="28"/>
                <w:lang w:eastAsia="en-US"/>
              </w:rPr>
            </w:pPr>
            <w:r>
              <w:rPr>
                <w:rFonts w:cs="Arial" w:ascii="Arial" w:hAnsi="Arial"/>
                <w:b/>
                <w:color w:val="000000"/>
                <w:sz w:val="28"/>
                <w:lang w:eastAsia="en-US"/>
              </w:rPr>
              <w:t>.</w:t>
            </w:r>
          </w:p>
        </w:tc>
        <w:tc>
          <w:tcPr>
            <w:tcW w:w="379"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3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3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33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31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600" w:type="dxa"/>
            <w:tcBorders/>
          </w:tcPr>
          <w:p>
            <w:pPr>
              <w:pStyle w:val="Normal"/>
              <w:jc w:val="center"/>
              <w:rPr>
                <w:rFonts w:ascii="Arial" w:hAnsi="Arial" w:cs="Arial"/>
                <w:b/>
                <w:color w:val="000000"/>
                <w:lang w:eastAsia="en-US"/>
              </w:rPr>
            </w:pPr>
            <w:r>
              <w:rPr>
                <w:rFonts w:cs="Arial" w:ascii="Arial" w:hAnsi="Arial"/>
                <w:b/>
                <w:color w:val="000000"/>
                <w:lang w:eastAsia="en-US"/>
              </w:rPr>
              <w:t>=</w:t>
            </w:r>
          </w:p>
        </w:tc>
        <w:tc>
          <w:tcPr>
            <w:tcW w:w="49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1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7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r>
      <w:tr>
        <w:trPr>
          <w:trHeight w:val="247" w:hRule="atLeast"/>
        </w:trPr>
        <w:tc>
          <w:tcPr>
            <w:tcW w:w="31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69" w:type="dxa"/>
            <w:tcBorders/>
          </w:tcPr>
          <w:p>
            <w:pPr>
              <w:pStyle w:val="Normal"/>
              <w:snapToGrid w:val="false"/>
              <w:jc w:val="end"/>
              <w:rPr>
                <w:rFonts w:ascii="Arial" w:hAnsi="Arial" w:cs="Arial"/>
                <w:b/>
                <w:color w:val="000000"/>
                <w:lang w:eastAsia="en-US"/>
              </w:rPr>
            </w:pPr>
            <w:r>
              <w:rPr>
                <w:rFonts w:cs="Arial" w:ascii="Arial" w:hAnsi="Arial"/>
                <w:b/>
                <w:color w:val="000000"/>
                <w:lang w:eastAsia="en-US"/>
              </w:rPr>
            </w:r>
          </w:p>
        </w:tc>
        <w:tc>
          <w:tcPr>
            <w:tcW w:w="379"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94"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94"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31"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14"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600"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49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1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7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r>
      <w:tr>
        <w:trPr>
          <w:trHeight w:val="247" w:hRule="atLeast"/>
        </w:trPr>
        <w:tc>
          <w:tcPr>
            <w:tcW w:w="31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69" w:type="dxa"/>
            <w:tcBorders/>
          </w:tcPr>
          <w:p>
            <w:pPr>
              <w:pStyle w:val="Normal"/>
              <w:snapToGrid w:val="false"/>
              <w:jc w:val="end"/>
              <w:rPr>
                <w:rFonts w:ascii="Arial" w:hAnsi="Arial" w:cs="Arial"/>
                <w:b/>
                <w:color w:val="000000"/>
                <w:lang w:eastAsia="en-US"/>
              </w:rPr>
            </w:pPr>
            <w:r>
              <w:rPr>
                <w:rFonts w:cs="Arial" w:ascii="Arial" w:hAnsi="Arial"/>
                <w:b/>
                <w:color w:val="000000"/>
                <w:lang w:eastAsia="en-US"/>
              </w:rPr>
            </w:r>
          </w:p>
        </w:tc>
        <w:tc>
          <w:tcPr>
            <w:tcW w:w="379"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94"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94"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31"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314"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600"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49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1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7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r>
    </w:tbl>
    <w:p>
      <w:pPr>
        <w:pStyle w:val="Normal"/>
        <w:rPr>
          <w:rFonts w:ascii="Tahoma" w:hAnsi="Tahoma" w:cs="Tahoma"/>
        </w:rPr>
      </w:pPr>
      <w:r>
        <w:rPr>
          <w:rFonts w:cs="Tahoma" w:ascii="Tahoma" w:hAnsi="Tahoma"/>
        </w:rPr>
      </w:r>
      <w:r>
        <w:br w:type="page"/>
      </w:r>
    </w:p>
    <w:p>
      <w:pPr>
        <w:pStyle w:val="Normal"/>
        <w:rPr/>
      </w:pPr>
      <w:r>
        <w:rPr>
          <w:rFonts w:cs="Tahoma" w:ascii="Tahoma" w:hAnsi="Tahoma"/>
          <w:b/>
        </w:rPr>
        <w:t>Example 3</w:t>
      </w:r>
      <w:r>
        <w:rPr>
          <w:rFonts w:cs="Tahoma" w:ascii="Tahoma" w:hAnsi="Tahoma"/>
        </w:rPr>
        <w:t>: Now let’s look at 2-factor model:</w:t>
      </w:r>
    </w:p>
    <w:p>
      <w:pPr>
        <w:pStyle w:val="Normal"/>
        <w:rPr>
          <w:rFonts w:ascii="Tahoma" w:hAnsi="Tahoma" w:cs="Tahoma"/>
        </w:rPr>
      </w:pPr>
      <w:r>
        <w:rPr>
          <w:rFonts w:cs="Tahoma" w:ascii="Tahoma" w:hAnsi="Tahoma"/>
        </w:rPr>
      </w:r>
    </w:p>
    <w:p>
      <w:pPr>
        <w:pStyle w:val="Normal"/>
        <w:jc w:val="center"/>
        <w:rPr>
          <w:rFonts w:ascii="Tahoma" w:hAnsi="Tahoma" w:cs="Tahoma"/>
        </w:rPr>
      </w:pPr>
      <w:r>
        <w:rPr>
          <w:rFonts w:cs="Tahoma" w:ascii="Tahoma" w:hAnsi="Tahoma"/>
        </w:rPr>
      </w:r>
      <m:oMathPara xmlns:m="http://schemas.openxmlformats.org/officeDocument/2006/math">
        <m:oMathParaPr>
          <m:jc m:val="center"/>
        </m:oMathParaPr>
        <m:oMath>
          <m:eqArr>
            <m:e>
              <m:sSub>
                <m:e>
                  <m:r>
                    <m:t xml:space="preserve">η</m:t>
                  </m:r>
                </m:e>
                <m:sub>
                  <m:r>
                    <m:t xml:space="preserve">1</m:t>
                  </m:r>
                </m:sub>
              </m:sSub>
              <m:r>
                <m:t xml:space="preserve">=</m:t>
              </m:r>
              <m:sSub>
                <m:e>
                  <m:r>
                    <m:t xml:space="preserve">ξ</m:t>
                  </m:r>
                </m:e>
                <m:sub>
                  <m:r>
                    <m:t xml:space="preserve">1</m:t>
                  </m:r>
                </m:sub>
              </m:sSub>
              <m:r>
                <m:t xml:space="preserve">+</m:t>
              </m:r>
              <m:sSub>
                <m:e>
                  <m:r>
                    <m:t xml:space="preserve">ξ</m:t>
                  </m:r>
                </m:e>
                <m:sub>
                  <m:r>
                    <m:t xml:space="preserve">2</m:t>
                  </m:r>
                </m:sub>
              </m:sSub>
              <m:r>
                <m:t xml:space="preserve">,</m:t>
              </m:r>
            </m:e>
            <m:e>
              <m:sSub>
                <m:e>
                  <m:r>
                    <m:t xml:space="preserve">η</m:t>
                  </m:r>
                </m:e>
                <m:sub>
                  <m:r>
                    <m:t xml:space="preserve">2</m:t>
                  </m:r>
                </m:sub>
              </m:sSub>
              <m:r>
                <m:t xml:space="preserve">=</m:t>
              </m:r>
              <m:sSub>
                <m:e>
                  <m:r>
                    <m:t xml:space="preserve">ξ</m:t>
                  </m:r>
                </m:e>
                <m:sub>
                  <m:r>
                    <m:t xml:space="preserve">1</m:t>
                  </m:r>
                </m:sub>
              </m:sSub>
              <m:r>
                <m:t xml:space="preserve">+</m:t>
              </m:r>
              <m:sSub>
                <m:e>
                  <m:r>
                    <m:t xml:space="preserve">ξ</m:t>
                  </m:r>
                </m:e>
                <m:sub>
                  <m:r>
                    <m:t xml:space="preserve">2</m:t>
                  </m:r>
                </m:sub>
              </m:sSub>
              <m:r>
                <m:t xml:space="preserve">,</m:t>
              </m:r>
            </m:e>
            <m:e>
              <m:sSub>
                <m:e>
                  <m:r>
                    <m:t xml:space="preserve">η</m:t>
                  </m:r>
                </m:e>
                <m:sub>
                  <m:r>
                    <m:t xml:space="preserve">3</m:t>
                  </m:r>
                </m:sub>
              </m:sSub>
              <m:r>
                <m:t xml:space="preserve">=</m:t>
              </m:r>
              <m:sSub>
                <m:e>
                  <m:r>
                    <m:t xml:space="preserve">ξ</m:t>
                  </m:r>
                </m:e>
                <m:sub>
                  <m:r>
                    <m:t xml:space="preserve">1</m:t>
                  </m:r>
                </m:sub>
              </m:sSub>
              <m:r>
                <m:t xml:space="preserve">−</m:t>
              </m:r>
              <m:sSub>
                <m:e>
                  <m:r>
                    <m:t xml:space="preserve">ξ</m:t>
                  </m:r>
                </m:e>
                <m:sub>
                  <m:r>
                    <m:t xml:space="preserve">2</m:t>
                  </m:r>
                </m:sub>
              </m:sSub>
              <m:r>
                <m:t xml:space="preserve">,</m:t>
              </m:r>
            </m:e>
            <m:e>
              <m:sSub>
                <m:e>
                  <m:r>
                    <m:t xml:space="preserve">η</m:t>
                  </m:r>
                </m:e>
                <m:sub>
                  <m:r>
                    <m:t xml:space="preserve">4</m:t>
                  </m:r>
                </m:sub>
              </m:sSub>
              <m:r>
                <m:t xml:space="preserve">=</m:t>
              </m:r>
              <m:sSub>
                <m:e>
                  <m:r>
                    <m:t xml:space="preserve">ξ</m:t>
                  </m:r>
                </m:e>
                <m:sub>
                  <m:r>
                    <m:t xml:space="preserve">1</m:t>
                  </m:r>
                </m:sub>
              </m:sSub>
              <m:r>
                <m:t xml:space="preserve">−</m:t>
              </m:r>
              <m:sSub>
                <m:e>
                  <m:r>
                    <m:t xml:space="preserve">ξ</m:t>
                  </m:r>
                </m:e>
                <m:sub>
                  <m:r>
                    <m:t xml:space="preserve">2</m:t>
                  </m:r>
                </m:sub>
              </m:sSub>
              <m:r>
                <m:t xml:space="preserve">,</m:t>
              </m:r>
            </m:e>
            <m:e>
              <m:sSub>
                <m:e>
                  <m:r>
                    <m:t xml:space="preserve">η</m:t>
                  </m:r>
                </m:e>
                <m:sub>
                  <m:r>
                    <m:t xml:space="preserve">5</m:t>
                  </m:r>
                </m:sub>
              </m:sSub>
              <m:r>
                <m:t xml:space="preserve">=</m:t>
              </m:r>
              <m:sSub>
                <m:e>
                  <m:r>
                    <m:t xml:space="preserve">ξ</m:t>
                  </m:r>
                </m:e>
                <m:sub>
                  <m:r>
                    <m:t xml:space="preserve">1</m:t>
                  </m:r>
                </m:sub>
              </m:sSub>
              <m:r>
                <m:t xml:space="preserve">−</m:t>
              </m:r>
              <m:sSub>
                <m:e>
                  <m:r>
                    <m:t xml:space="preserve">ξ</m:t>
                  </m:r>
                </m:e>
                <m:sub>
                  <m:r>
                    <m:t xml:space="preserve">2</m:t>
                  </m:r>
                </m:sub>
              </m:sSub>
              <m:r>
                <m:rPr>
                  <m:lit/>
                  <m:nor/>
                </m:rPr>
                <m:t xml:space="preserve">.</m:t>
              </m:r>
            </m:e>
          </m:eqArr>
        </m:oMath>
      </m:oMathPara>
    </w:p>
    <w:p>
      <w:pPr>
        <w:pStyle w:val="Normal"/>
        <w:rPr/>
      </w:pPr>
      <w:r>
        <w:rPr>
          <w:rFonts w:cs="Tahoma" w:ascii="Tahoma" w:hAnsi="Tahoma"/>
        </w:rPr>
        <w:t xml:space="preserve">Equation (3) allows us to calculate variance-covariance matrix for vector </w:t>
      </w:r>
      <w:r>
        <w:rPr>
          <w:rFonts w:eastAsia="Symbol" w:cs="Symbol" w:ascii="Symbol" w:hAnsi="Symbol"/>
          <w:b/>
        </w:rPr>
        <w:sym w:font="Symbol" w:char="f068"/>
      </w:r>
      <w:r>
        <w:rPr>
          <w:rFonts w:cs="Tahoma" w:ascii="Tahoma" w:hAnsi="Tahoma"/>
        </w:rPr>
        <w:t>:</w:t>
      </w:r>
    </w:p>
    <w:p>
      <w:pPr>
        <w:pStyle w:val="Normal"/>
        <w:rPr>
          <w:rFonts w:ascii="Tahoma" w:hAnsi="Tahoma" w:cs="Tahoma"/>
        </w:rPr>
      </w:pPr>
      <w:r>
        <w:rPr>
          <w:rFonts w:cs="Tahoma" w:ascii="Tahoma" w:hAnsi="Tahoma"/>
        </w:rPr>
      </w:r>
    </w:p>
    <w:tbl>
      <w:tblPr>
        <w:tblW w:w="7553" w:type="dxa"/>
        <w:jc w:val="start"/>
        <w:tblInd w:w="0" w:type="dxa"/>
        <w:tblLayout w:type="fixed"/>
        <w:tblCellMar>
          <w:top w:w="0" w:type="dxa"/>
          <w:start w:w="30" w:type="dxa"/>
          <w:bottom w:w="0" w:type="dxa"/>
          <w:end w:w="30" w:type="dxa"/>
        </w:tblCellMar>
      </w:tblPr>
      <w:tblGrid>
        <w:gridCol w:w="314"/>
        <w:gridCol w:w="504"/>
        <w:gridCol w:w="569"/>
        <w:gridCol w:w="504"/>
        <w:gridCol w:w="490"/>
        <w:gridCol w:w="489"/>
        <w:gridCol w:w="521"/>
        <w:gridCol w:w="473"/>
        <w:gridCol w:w="600"/>
        <w:gridCol w:w="756"/>
        <w:gridCol w:w="662"/>
        <w:gridCol w:w="536"/>
        <w:gridCol w:w="535"/>
        <w:gridCol w:w="600"/>
      </w:tblGrid>
      <w:tr>
        <w:trPr>
          <w:trHeight w:val="247" w:hRule="atLeast"/>
        </w:trPr>
        <w:tc>
          <w:tcPr>
            <w:tcW w:w="31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0.5</w:t>
            </w:r>
          </w:p>
        </w:tc>
        <w:tc>
          <w:tcPr>
            <w:tcW w:w="569" w:type="dxa"/>
            <w:tcBorders/>
          </w:tcPr>
          <w:p>
            <w:pPr>
              <w:pStyle w:val="Normal"/>
              <w:snapToGrid w:val="false"/>
              <w:jc w:val="end"/>
              <w:rPr>
                <w:rFonts w:ascii="Arial" w:hAnsi="Arial" w:cs="Arial"/>
                <w:b/>
                <w:color w:val="000000"/>
                <w:lang w:eastAsia="en-US"/>
              </w:rPr>
            </w:pPr>
            <w:r>
              <w:rPr>
                <w:rFonts w:cs="Arial" w:ascii="Arial" w:hAnsi="Arial"/>
                <w:b/>
                <w:color w:val="000000"/>
                <w:lang w:eastAsia="en-US"/>
              </w:rPr>
            </w:r>
          </w:p>
        </w:tc>
        <w:tc>
          <w:tcPr>
            <w:tcW w:w="504"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490"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489"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521"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473"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600"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7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1.25</w:t>
            </w:r>
          </w:p>
        </w:tc>
        <w:tc>
          <w:tcPr>
            <w:tcW w:w="66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1.25</w:t>
            </w:r>
          </w:p>
        </w:tc>
        <w:tc>
          <w:tcPr>
            <w:tcW w:w="53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0.75</w:t>
            </w:r>
          </w:p>
        </w:tc>
        <w:tc>
          <w:tcPr>
            <w:tcW w:w="53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0.75</w:t>
            </w:r>
          </w:p>
        </w:tc>
        <w:tc>
          <w:tcPr>
            <w:tcW w:w="60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0.75</w:t>
            </w:r>
          </w:p>
        </w:tc>
      </w:tr>
      <w:tr>
        <w:trPr>
          <w:trHeight w:val="247" w:hRule="atLeast"/>
        </w:trPr>
        <w:tc>
          <w:tcPr>
            <w:tcW w:w="31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0.5</w:t>
            </w:r>
          </w:p>
        </w:tc>
        <w:tc>
          <w:tcPr>
            <w:tcW w:w="569" w:type="dxa"/>
            <w:tcBorders/>
          </w:tcPr>
          <w:p>
            <w:pPr>
              <w:pStyle w:val="Normal"/>
              <w:snapToGrid w:val="false"/>
              <w:jc w:val="end"/>
              <w:rPr>
                <w:rFonts w:ascii="Arial" w:hAnsi="Arial" w:cs="Arial"/>
                <w:b/>
                <w:color w:val="000000"/>
                <w:lang w:eastAsia="en-US"/>
              </w:rPr>
            </w:pPr>
            <w:r>
              <w:rPr>
                <w:rFonts w:cs="Arial" w:ascii="Arial" w:hAnsi="Arial"/>
                <w:b/>
                <w:color w:val="000000"/>
                <w:lang w:eastAsia="en-US"/>
              </w:rPr>
            </w:r>
          </w:p>
        </w:tc>
        <w:tc>
          <w:tcPr>
            <w:tcW w:w="504"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490"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489"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521"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473"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600"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7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1.25</w:t>
            </w:r>
          </w:p>
        </w:tc>
        <w:tc>
          <w:tcPr>
            <w:tcW w:w="66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1.25</w:t>
            </w:r>
          </w:p>
        </w:tc>
        <w:tc>
          <w:tcPr>
            <w:tcW w:w="53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0.75</w:t>
            </w:r>
          </w:p>
        </w:tc>
        <w:tc>
          <w:tcPr>
            <w:tcW w:w="53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0.75</w:t>
            </w:r>
          </w:p>
        </w:tc>
        <w:tc>
          <w:tcPr>
            <w:tcW w:w="60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0.75</w:t>
            </w:r>
          </w:p>
        </w:tc>
      </w:tr>
      <w:tr>
        <w:trPr>
          <w:trHeight w:val="262" w:hRule="atLeast"/>
        </w:trPr>
        <w:tc>
          <w:tcPr>
            <w:tcW w:w="31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-0.5</w:t>
            </w:r>
          </w:p>
        </w:tc>
        <w:tc>
          <w:tcPr>
            <w:tcW w:w="569" w:type="dxa"/>
            <w:tcBorders/>
          </w:tcPr>
          <w:p>
            <w:pPr>
              <w:pStyle w:val="Normal"/>
              <w:jc w:val="center"/>
              <w:rPr>
                <w:rFonts w:ascii="Arial" w:hAnsi="Arial" w:cs="Arial"/>
                <w:b/>
                <w:color w:val="000000"/>
                <w:sz w:val="28"/>
                <w:lang w:eastAsia="en-US"/>
              </w:rPr>
            </w:pPr>
            <w:r>
              <w:rPr>
                <w:rFonts w:cs="Arial" w:ascii="Arial" w:hAnsi="Arial"/>
                <w:b/>
                <w:color w:val="000000"/>
                <w:sz w:val="28"/>
                <w:lang w:eastAsia="en-US"/>
              </w:rPr>
              <w:t>.</w:t>
            </w:r>
          </w:p>
        </w:tc>
        <w:tc>
          <w:tcPr>
            <w:tcW w:w="5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9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89"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2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47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600" w:type="dxa"/>
            <w:tcBorders/>
          </w:tcPr>
          <w:p>
            <w:pPr>
              <w:pStyle w:val="Normal"/>
              <w:jc w:val="center"/>
              <w:rPr>
                <w:rFonts w:ascii="Arial" w:hAnsi="Arial" w:cs="Arial"/>
                <w:b/>
                <w:color w:val="000000"/>
                <w:lang w:eastAsia="en-US"/>
              </w:rPr>
            </w:pPr>
            <w:r>
              <w:rPr>
                <w:rFonts w:cs="Arial" w:ascii="Arial" w:hAnsi="Arial"/>
                <w:b/>
                <w:color w:val="000000"/>
                <w:lang w:eastAsia="en-US"/>
              </w:rPr>
              <w:t>=</w:t>
            </w:r>
          </w:p>
        </w:tc>
        <w:tc>
          <w:tcPr>
            <w:tcW w:w="7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0.75</w:t>
            </w:r>
          </w:p>
        </w:tc>
        <w:tc>
          <w:tcPr>
            <w:tcW w:w="66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0.75</w:t>
            </w:r>
          </w:p>
        </w:tc>
        <w:tc>
          <w:tcPr>
            <w:tcW w:w="53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1.25</w:t>
            </w:r>
          </w:p>
        </w:tc>
        <w:tc>
          <w:tcPr>
            <w:tcW w:w="53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1.25</w:t>
            </w:r>
          </w:p>
        </w:tc>
        <w:tc>
          <w:tcPr>
            <w:tcW w:w="60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1.25</w:t>
            </w:r>
          </w:p>
        </w:tc>
      </w:tr>
      <w:tr>
        <w:trPr>
          <w:trHeight w:val="247" w:hRule="atLeast"/>
        </w:trPr>
        <w:tc>
          <w:tcPr>
            <w:tcW w:w="31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-0.5</w:t>
            </w:r>
          </w:p>
        </w:tc>
        <w:tc>
          <w:tcPr>
            <w:tcW w:w="569" w:type="dxa"/>
            <w:tcBorders/>
          </w:tcPr>
          <w:p>
            <w:pPr>
              <w:pStyle w:val="Normal"/>
              <w:snapToGrid w:val="false"/>
              <w:jc w:val="end"/>
              <w:rPr>
                <w:rFonts w:ascii="Arial" w:hAnsi="Arial" w:cs="Arial"/>
                <w:b/>
                <w:color w:val="000000"/>
                <w:lang w:eastAsia="en-US"/>
              </w:rPr>
            </w:pPr>
            <w:r>
              <w:rPr>
                <w:rFonts w:cs="Arial" w:ascii="Arial" w:hAnsi="Arial"/>
                <w:b/>
                <w:color w:val="000000"/>
                <w:lang w:eastAsia="en-US"/>
              </w:rPr>
            </w:r>
          </w:p>
        </w:tc>
        <w:tc>
          <w:tcPr>
            <w:tcW w:w="5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0.5</w:t>
            </w:r>
          </w:p>
        </w:tc>
        <w:tc>
          <w:tcPr>
            <w:tcW w:w="49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0.5</w:t>
            </w:r>
          </w:p>
        </w:tc>
        <w:tc>
          <w:tcPr>
            <w:tcW w:w="489"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-0.5</w:t>
            </w:r>
          </w:p>
        </w:tc>
        <w:tc>
          <w:tcPr>
            <w:tcW w:w="52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-0.5</w:t>
            </w:r>
          </w:p>
        </w:tc>
        <w:tc>
          <w:tcPr>
            <w:tcW w:w="47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-0.5</w:t>
            </w:r>
          </w:p>
        </w:tc>
        <w:tc>
          <w:tcPr>
            <w:tcW w:w="600" w:type="dxa"/>
            <w:tcBorders/>
          </w:tcPr>
          <w:p>
            <w:pPr>
              <w:pStyle w:val="Normal"/>
              <w:snapToGrid w:val="false"/>
              <w:jc w:val="end"/>
              <w:rPr>
                <w:rFonts w:ascii="Arial" w:hAnsi="Arial" w:cs="Arial"/>
                <w:b/>
                <w:color w:val="000000"/>
                <w:lang w:eastAsia="en-US"/>
              </w:rPr>
            </w:pPr>
            <w:r>
              <w:rPr>
                <w:rFonts w:cs="Arial" w:ascii="Arial" w:hAnsi="Arial"/>
                <w:b/>
                <w:color w:val="000000"/>
                <w:lang w:eastAsia="en-US"/>
              </w:rPr>
            </w:r>
          </w:p>
        </w:tc>
        <w:tc>
          <w:tcPr>
            <w:tcW w:w="7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0.75</w:t>
            </w:r>
          </w:p>
        </w:tc>
        <w:tc>
          <w:tcPr>
            <w:tcW w:w="66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0.75</w:t>
            </w:r>
          </w:p>
        </w:tc>
        <w:tc>
          <w:tcPr>
            <w:tcW w:w="53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1.25</w:t>
            </w:r>
          </w:p>
        </w:tc>
        <w:tc>
          <w:tcPr>
            <w:tcW w:w="53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1.25</w:t>
            </w:r>
          </w:p>
        </w:tc>
        <w:tc>
          <w:tcPr>
            <w:tcW w:w="60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1.25</w:t>
            </w:r>
          </w:p>
        </w:tc>
      </w:tr>
      <w:tr>
        <w:trPr>
          <w:trHeight w:val="247" w:hRule="atLeast"/>
        </w:trPr>
        <w:tc>
          <w:tcPr>
            <w:tcW w:w="31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w:t>
            </w:r>
          </w:p>
        </w:tc>
        <w:tc>
          <w:tcPr>
            <w:tcW w:w="5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-0.5</w:t>
            </w:r>
          </w:p>
        </w:tc>
        <w:tc>
          <w:tcPr>
            <w:tcW w:w="569" w:type="dxa"/>
            <w:tcBorders/>
          </w:tcPr>
          <w:p>
            <w:pPr>
              <w:pStyle w:val="Normal"/>
              <w:snapToGrid w:val="false"/>
              <w:jc w:val="end"/>
              <w:rPr>
                <w:rFonts w:ascii="Arial" w:hAnsi="Arial" w:cs="Arial"/>
                <w:b/>
                <w:color w:val="000000"/>
                <w:lang w:eastAsia="en-US"/>
              </w:rPr>
            </w:pPr>
            <w:r>
              <w:rPr>
                <w:rFonts w:cs="Arial" w:ascii="Arial" w:hAnsi="Arial"/>
                <w:b/>
                <w:color w:val="000000"/>
                <w:lang w:eastAsia="en-US"/>
              </w:rPr>
            </w:r>
          </w:p>
        </w:tc>
        <w:tc>
          <w:tcPr>
            <w:tcW w:w="504"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490"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489"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521"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473"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600" w:type="dxa"/>
            <w:tcBorders/>
          </w:tcPr>
          <w:p>
            <w:pPr>
              <w:pStyle w:val="Normal"/>
              <w:snapToGrid w:val="false"/>
              <w:jc w:val="end"/>
              <w:rPr>
                <w:rFonts w:ascii="Arial" w:hAnsi="Arial" w:cs="Arial"/>
                <w:color w:val="000000"/>
                <w:lang w:eastAsia="en-US"/>
              </w:rPr>
            </w:pPr>
            <w:r>
              <w:rPr>
                <w:rFonts w:cs="Arial" w:ascii="Arial" w:hAnsi="Arial"/>
                <w:color w:val="000000"/>
                <w:lang w:eastAsia="en-US"/>
              </w:rPr>
            </w:r>
          </w:p>
        </w:tc>
        <w:tc>
          <w:tcPr>
            <w:tcW w:w="7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0.75</w:t>
            </w:r>
          </w:p>
        </w:tc>
        <w:tc>
          <w:tcPr>
            <w:tcW w:w="66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0.75</w:t>
            </w:r>
          </w:p>
        </w:tc>
        <w:tc>
          <w:tcPr>
            <w:tcW w:w="53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1.25</w:t>
            </w:r>
          </w:p>
        </w:tc>
        <w:tc>
          <w:tcPr>
            <w:tcW w:w="53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1.25</w:t>
            </w:r>
          </w:p>
        </w:tc>
        <w:tc>
          <w:tcPr>
            <w:tcW w:w="600"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lang w:eastAsia="en-US"/>
              </w:rPr>
            </w:pPr>
            <w:r>
              <w:rPr>
                <w:rFonts w:cs="Arial" w:ascii="Arial" w:hAnsi="Arial"/>
                <w:b/>
                <w:color w:val="000000"/>
                <w:lang w:eastAsia="en-US"/>
              </w:rPr>
              <w:t>1.25</w:t>
            </w:r>
          </w:p>
        </w:tc>
      </w:tr>
    </w:tbl>
    <w:p>
      <w:pPr>
        <w:pStyle w:val="Normal"/>
        <w:rPr/>
      </w:pPr>
      <w:r>
        <w:rPr/>
      </w:r>
    </w:p>
    <w:p>
      <w:pPr>
        <w:pStyle w:val="Normal"/>
        <w:rPr>
          <w:rFonts w:ascii="Tahoma" w:hAnsi="Tahoma" w:cs="Tahoma"/>
        </w:rPr>
      </w:pPr>
      <w:r>
        <w:rPr>
          <w:rFonts w:cs="Tahoma" w:ascii="Tahoma" w:hAnsi="Tahoma"/>
        </w:rPr>
        <w:t>Corresponding correlation matrix looks as below:</w:t>
      </w:r>
    </w:p>
    <w:p>
      <w:pPr>
        <w:pStyle w:val="Normal"/>
        <w:rPr>
          <w:rFonts w:ascii="Tahoma" w:hAnsi="Tahoma" w:cs="Tahoma"/>
          <w:lang w:val="en-CA"/>
        </w:rPr>
      </w:pPr>
      <w:r>
        <w:rPr>
          <w:rFonts w:cs="Tahoma" w:ascii="Tahoma" w:hAnsi="Tahoma"/>
          <w:lang w:val="en-CA"/>
        </w:rPr>
        <w:object w:dxaOrig="3102" w:dyaOrig="1276">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position:absolute;margin-left:6.15pt;margin-top:17.1pt;width:155.4pt;height:62.75pt;mso-wrap-distance-left:9.05pt;mso-wrap-distance-right:9.05pt;mso-position-horizontal-relative:text;mso-position-vertical-relative:text" filled="f" o:ole="">
            <v:imagedata r:id="rId5" o:title=""/>
            <w10:wrap type="topAndBottom"/>
          </v:shape>
          <o:OLEObject Type="Embed" ProgID="Excel.Sheet.12" ShapeID="ole_rId4" DrawAspect="Content" ObjectID="_1370368532" r:id="rId4"/>
        </w:object>
      </w:r>
    </w:p>
    <w:p>
      <w:pPr>
        <w:pStyle w:val="Normal"/>
        <w:rPr>
          <w:rFonts w:ascii="Tahoma" w:hAnsi="Tahoma" w:cs="Tahoma"/>
        </w:rPr>
      </w:pPr>
      <w:r>
        <w:rPr>
          <w:rFonts w:cs="Tahoma" w:ascii="Tahoma" w:hAnsi="Tahoma"/>
        </w:rPr>
      </w:r>
    </w:p>
    <w:p>
      <w:pPr>
        <w:pStyle w:val="Normal"/>
        <w:rPr/>
      </w:pPr>
      <w:r>
        <w:rPr>
          <w:rFonts w:cs="Tahoma" w:ascii="Tahoma" w:hAnsi="Tahoma"/>
        </w:rPr>
        <w:t xml:space="preserve">It is important to mention that any properly calculated correlation matrix can be represented as a product of some other matrix and it’s transpose. Intuitively it follows from the way the correlation matrices are calculated. Suppose we observe all n components of vector </w:t>
      </w:r>
      <w:r>
        <w:rPr>
          <w:rFonts w:eastAsia="Symbol" w:cs="Symbol" w:ascii="Symbol" w:hAnsi="Symbol"/>
          <w:b/>
        </w:rPr>
        <w:sym w:font="Symbol" w:char="f068"/>
      </w:r>
      <w:r>
        <w:rPr>
          <w:rFonts w:cs="Tahoma" w:ascii="Tahoma" w:hAnsi="Tahoma"/>
        </w:rPr>
        <w:t xml:space="preserve"> on N different days:</w:t>
      </w:r>
    </w:p>
    <w:p>
      <w:pPr>
        <w:pStyle w:val="Normal"/>
        <w:rPr>
          <w:rFonts w:ascii="Tahoma" w:hAnsi="Tahoma" w:cs="Tahoma"/>
        </w:rPr>
      </w:pPr>
      <w:r>
        <w:rPr>
          <w:rFonts w:cs="Tahoma" w:ascii="Tahoma" w:hAnsi="Tahoma"/>
        </w:rPr>
      </w:r>
    </w:p>
    <w:p>
      <w:pPr>
        <w:pStyle w:val="Normal"/>
        <w:rPr/>
      </w:pPr>
      <w:r>
        <w:rPr>
          <w:b/>
        </w:rPr>
        <w:t>Day 1: x</w:t>
      </w:r>
      <w:r>
        <w:rPr>
          <w:b/>
          <w:vertAlign w:val="subscript"/>
        </w:rPr>
        <w:t>11</w:t>
      </w:r>
      <w:r>
        <w:rPr>
          <w:b/>
        </w:rPr>
        <w:t>, x</w:t>
      </w:r>
      <w:r>
        <w:rPr>
          <w:b/>
          <w:vertAlign w:val="subscript"/>
        </w:rPr>
        <w:t>12</w:t>
      </w:r>
      <w:r>
        <w:rPr>
          <w:b/>
        </w:rPr>
        <w:t>, …x</w:t>
      </w:r>
      <w:r>
        <w:rPr>
          <w:b/>
          <w:vertAlign w:val="subscript"/>
        </w:rPr>
        <w:t>1n</w:t>
      </w:r>
      <w:r>
        <w:rPr>
          <w:b/>
        </w:rPr>
        <w:t>;</w:t>
      </w:r>
    </w:p>
    <w:p>
      <w:pPr>
        <w:pStyle w:val="Normal"/>
        <w:rPr/>
      </w:pPr>
      <w:r>
        <w:rPr>
          <w:b/>
        </w:rPr>
        <w:t>Day 2: x</w:t>
      </w:r>
      <w:r>
        <w:rPr>
          <w:b/>
          <w:vertAlign w:val="subscript"/>
        </w:rPr>
        <w:t>21</w:t>
      </w:r>
      <w:r>
        <w:rPr>
          <w:b/>
        </w:rPr>
        <w:t>, x</w:t>
      </w:r>
      <w:r>
        <w:rPr>
          <w:b/>
          <w:vertAlign w:val="subscript"/>
        </w:rPr>
        <w:t>22</w:t>
      </w:r>
      <w:r>
        <w:rPr>
          <w:b/>
        </w:rPr>
        <w:t>, …x</w:t>
      </w:r>
      <w:r>
        <w:rPr>
          <w:b/>
          <w:vertAlign w:val="subscript"/>
        </w:rPr>
        <w:t>2n</w:t>
      </w:r>
      <w:r>
        <w:rPr>
          <w:b/>
        </w:rPr>
        <w:t>;</w:t>
      </w:r>
    </w:p>
    <w:p>
      <w:pPr>
        <w:pStyle w:val="Normal"/>
        <w:rPr>
          <w:rFonts w:ascii="Tahoma" w:hAnsi="Tahoma" w:cs="Tahoma"/>
        </w:rPr>
      </w:pPr>
      <w:r>
        <w:rPr>
          <w:b/>
        </w:rPr>
        <w:t>…</w:t>
      </w:r>
      <w:r>
        <w:rPr>
          <w:b/>
        </w:rPr>
        <w:br/>
        <w:t>Day N: x</w:t>
      </w:r>
      <w:r>
        <w:rPr>
          <w:b/>
          <w:vertAlign w:val="subscript"/>
        </w:rPr>
        <w:t>N1</w:t>
      </w:r>
      <w:r>
        <w:rPr>
          <w:b/>
        </w:rPr>
        <w:t>, x</w:t>
      </w:r>
      <w:r>
        <w:rPr>
          <w:b/>
          <w:vertAlign w:val="subscript"/>
        </w:rPr>
        <w:t>N2</w:t>
      </w:r>
      <w:r>
        <w:rPr>
          <w:b/>
        </w:rPr>
        <w:t>, …x</w:t>
      </w:r>
      <w:r>
        <w:rPr>
          <w:b/>
          <w:vertAlign w:val="subscript"/>
        </w:rPr>
        <w:t>Nn</w:t>
      </w:r>
      <w:r>
        <w:rPr>
          <w:b/>
        </w:rPr>
        <w:t>.</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t>Then covariance between components i and j will be calculated as follows:</w:t>
      </w:r>
    </w:p>
    <w:p>
      <w:pPr>
        <w:pStyle w:val="Normal"/>
        <w:jc w:val="center"/>
        <w:rPr>
          <w:rFonts w:ascii="Tahoma" w:hAnsi="Tahoma" w:cs="Tahoma"/>
        </w:rPr>
      </w:pPr>
      <w:r>
        <w:rPr>
          <w:rFonts w:cs="Tahoma" w:ascii="Tahoma" w:hAnsi="Tahoma"/>
        </w:rPr>
      </w:r>
      <m:oMath xmlns:m="http://schemas.openxmlformats.org/officeDocument/2006/math">
        <m:eqArr>
          <m:e>
            <m:r>
              <m:rPr>
                <m:lit/>
                <m:nor/>
              </m:rPr>
              <m:t xml:space="preserve">cov</m:t>
            </m:r>
            <m:r>
              <m:t xml:space="preserve">(</m:t>
            </m:r>
            <m:sSub>
              <m:e>
                <m:r>
                  <m:t xml:space="preserve">η</m:t>
                </m:r>
              </m:e>
              <m:sub>
                <m:r>
                  <m:t xml:space="preserve">i</m:t>
                </m:r>
              </m:sub>
            </m:sSub>
            <m:r>
              <m:t xml:space="preserve">,</m:t>
            </m:r>
            <m:sSub>
              <m:e>
                <m:r>
                  <m:t xml:space="preserve">η</m:t>
                </m:r>
              </m:e>
              <m:sub>
                <m:r>
                  <m:t xml:space="preserve">j</m:t>
                </m:r>
              </m:sub>
            </m:sSub>
            <m:r>
              <m:t xml:space="preserve">)</m:t>
            </m:r>
            <m:r>
              <m:t xml:space="preserve">=</m:t>
            </m:r>
            <m:f>
              <m:num>
                <m:r>
                  <m:t xml:space="preserve">1</m:t>
                </m:r>
              </m:num>
              <m:den>
                <m:r>
                  <m:t xml:space="preserve">N</m:t>
                </m:r>
                <m:r>
                  <m:t xml:space="preserve">−</m:t>
                </m:r>
                <m:r>
                  <m:t xml:space="preserve">1</m:t>
                </m:r>
              </m:den>
            </m:f>
            <m:nary>
              <m:naryPr>
                <m:chr m:val="∑"/>
              </m:naryPr>
              <m:sub>
                <m:r>
                  <m:t xml:space="preserve">k</m:t>
                </m:r>
                <m:r>
                  <m:t xml:space="preserve">=</m:t>
                </m:r>
                <m:r>
                  <m:t xml:space="preserve">1</m:t>
                </m:r>
              </m:sub>
              <m:sup>
                <m:r>
                  <m:t xml:space="preserve">N</m:t>
                </m:r>
              </m:sup>
              <m:e>
                <m:r>
                  <m:t xml:space="preserve">(</m:t>
                </m:r>
                <m:sSub>
                  <m:e>
                    <m:r>
                      <m:t xml:space="preserve">x</m:t>
                    </m:r>
                  </m:e>
                  <m:sub>
                    <m:r>
                      <m:rPr>
                        <m:lit/>
                        <m:nor/>
                      </m:rPr>
                      <m:t xml:space="preserve">ki</m:t>
                    </m:r>
                  </m:sub>
                </m:sSub>
                <m:r>
                  <m:t xml:space="preserve">−</m:t>
                </m:r>
                <m:sSub>
                  <m:e>
                    <m:r>
                      <m:rPr>
                        <m:lit/>
                        <m:nor/>
                      </m:rPr>
                      <m:t xml:space="preserve">mean</m:t>
                    </m:r>
                  </m:e>
                  <m:sub>
                    <m:r>
                      <m:t xml:space="preserve">i</m:t>
                    </m:r>
                  </m:sub>
                </m:sSub>
                <m:r>
                  <m:t xml:space="preserve">)</m:t>
                </m:r>
                <m:r>
                  <m:t xml:space="preserve">(</m:t>
                </m:r>
                <m:sSub>
                  <m:e>
                    <m:r>
                      <m:t xml:space="preserve">x</m:t>
                    </m:r>
                  </m:e>
                  <m:sub>
                    <m:r>
                      <m:rPr>
                        <m:lit/>
                        <m:nor/>
                      </m:rPr>
                      <m:t xml:space="preserve">kj</m:t>
                    </m:r>
                  </m:sub>
                </m:sSub>
                <m:r>
                  <m:t xml:space="preserve">−</m:t>
                </m:r>
                <m:sSub>
                  <m:e>
                    <m:r>
                      <m:rPr>
                        <m:lit/>
                        <m:nor/>
                      </m:rPr>
                      <m:t xml:space="preserve">mean</m:t>
                    </m:r>
                  </m:e>
                  <m:sub>
                    <m:r>
                      <m:t xml:space="preserve">j</m:t>
                    </m:r>
                  </m:sub>
                </m:sSub>
                <m:r>
                  <m:t xml:space="preserve">)</m:t>
                </m:r>
              </m:e>
            </m:nary>
            <m:r>
              <m:t xml:space="preserve">,</m:t>
            </m:r>
          </m:e>
          <m:e>
            <m:sSub>
              <m:e>
                <m:r>
                  <m:rPr>
                    <m:lit/>
                    <m:nor/>
                  </m:rPr>
                  <m:t xml:space="preserve">mean</m:t>
                </m:r>
              </m:e>
              <m:sub>
                <m:r>
                  <m:t xml:space="preserve">i</m:t>
                </m:r>
              </m:sub>
            </m:sSub>
            <m:r>
              <m:t xml:space="preserve">=</m:t>
            </m:r>
            <m:f>
              <m:num>
                <m:r>
                  <m:t xml:space="preserve">1</m:t>
                </m:r>
              </m:num>
              <m:den>
                <m:r>
                  <m:t xml:space="preserve">N</m:t>
                </m:r>
              </m:den>
            </m:f>
            <m:nary>
              <m:naryPr>
                <m:chr m:val="∑"/>
              </m:naryPr>
              <m:sub>
                <m:r>
                  <m:t xml:space="preserve">k</m:t>
                </m:r>
                <m:r>
                  <m:t xml:space="preserve">=</m:t>
                </m:r>
                <m:r>
                  <m:t xml:space="preserve">1</m:t>
                </m:r>
              </m:sub>
              <m:sup>
                <m:r>
                  <m:t xml:space="preserve">N</m:t>
                </m:r>
              </m:sup>
              <m:e>
                <m:sSub>
                  <m:e>
                    <m:r>
                      <m:t xml:space="preserve">x</m:t>
                    </m:r>
                  </m:e>
                  <m:sub>
                    <m:r>
                      <m:rPr>
                        <m:lit/>
                        <m:nor/>
                      </m:rPr>
                      <m:t xml:space="preserve">ki</m:t>
                    </m:r>
                  </m:sub>
                </m:sSub>
              </m:e>
            </m:nary>
            <m:r>
              <m:rPr>
                <m:lit/>
                <m:nor/>
              </m:rPr>
              <m:t xml:space="preserve">.</m:t>
            </m:r>
          </m:e>
        </m:eqArr>
      </m:oMath>
      <w:r>
        <w:rPr>
          <w:rFonts w:cs="Tahoma" w:ascii="Tahoma" w:hAnsi="Tahoma"/>
        </w:rPr>
        <w:tab/>
        <w:tab/>
        <w:tab/>
      </w:r>
      <w:r>
        <w:rPr>
          <w:rFonts w:cs="Tahoma" w:ascii="Tahoma" w:hAnsi="Tahoma"/>
          <w:b/>
        </w:rPr>
        <w:t>(5)</w:t>
      </w:r>
    </w:p>
    <w:p>
      <w:pPr>
        <w:pStyle w:val="Normal"/>
        <w:rPr>
          <w:rFonts w:ascii="Tahoma" w:hAnsi="Tahoma" w:cs="Tahoma"/>
        </w:rPr>
      </w:pPr>
      <w:r>
        <w:rPr>
          <w:rFonts w:cs="Tahoma" w:ascii="Tahoma" w:hAnsi="Tahoma"/>
        </w:rPr>
        <w:t>Equation (5) implies that variance-covariance matrix in this case can be expressed as in equation (3) where F is n x N matrix:</w:t>
      </w:r>
    </w:p>
    <w:p>
      <w:pPr>
        <w:pStyle w:val="Normal"/>
        <w:jc w:val="center"/>
        <w:rPr>
          <w:rFonts w:ascii="Tahoma" w:hAnsi="Tahoma" w:cs="Tahoma"/>
        </w:rPr>
      </w:pPr>
      <w:r>
        <w:rPr>
          <w:rFonts w:cs="Tahoma" w:ascii="Tahoma" w:hAnsi="Tahoma"/>
        </w:rPr>
      </w:r>
      <m:oMathPara xmlns:m="http://schemas.openxmlformats.org/officeDocument/2006/math">
        <m:oMathParaPr>
          <m:jc m:val="center"/>
        </m:oMathParaPr>
        <m:oMath>
          <m:sSub>
            <m:e>
              <m:d>
                <m:dPr>
                  <m:begChr m:val="{"/>
                  <m:endChr m:val="}"/>
                </m:dPr>
                <m:e>
                  <m:r>
                    <m:t xml:space="preserve">F</m:t>
                  </m:r>
                </m:e>
              </m:d>
            </m:e>
            <m:sub>
              <m:r>
                <m:rPr>
                  <m:lit/>
                  <m:nor/>
                </m:rPr>
                <m:t xml:space="preserve">ik</m:t>
              </m:r>
            </m:sub>
          </m:sSub>
          <m:r>
            <m:t xml:space="preserve">=</m:t>
          </m:r>
          <m:f>
            <m:num>
              <m:r>
                <m:t xml:space="preserve">1</m:t>
              </m:r>
            </m:num>
            <m:den>
              <m:rad>
                <m:radPr>
                  <m:degHide m:val="1"/>
                </m:radPr>
                <m:deg/>
                <m:e>
                  <m:r>
                    <m:t xml:space="preserve">N</m:t>
                  </m:r>
                  <m:r>
                    <m:t xml:space="preserve">−</m:t>
                  </m:r>
                  <m:r>
                    <m:t xml:space="preserve">1</m:t>
                  </m:r>
                </m:e>
              </m:rad>
            </m:den>
          </m:f>
          <m:r>
            <m:t xml:space="preserve">(</m:t>
          </m:r>
          <m:sSub>
            <m:e>
              <m:r>
                <m:t xml:space="preserve">x</m:t>
              </m:r>
            </m:e>
            <m:sub>
              <m:r>
                <m:rPr>
                  <m:lit/>
                  <m:nor/>
                </m:rPr>
                <m:t xml:space="preserve">ik</m:t>
              </m:r>
            </m:sub>
          </m:sSub>
          <m:r>
            <m:t xml:space="preserve">−</m:t>
          </m:r>
          <m:sSub>
            <m:e>
              <m:r>
                <m:rPr>
                  <m:lit/>
                  <m:nor/>
                </m:rPr>
                <m:t xml:space="preserve">mean</m:t>
              </m:r>
            </m:e>
            <m:sub>
              <m:r>
                <m:t xml:space="preserve">i</m:t>
              </m:r>
            </m:sub>
          </m:sSub>
          <m:r>
            <m:t xml:space="preserve">)</m:t>
          </m:r>
        </m:oMath>
      </m:oMathPara>
    </w:p>
    <w:p>
      <w:pPr>
        <w:pStyle w:val="Normal"/>
        <w:rPr/>
      </w:pPr>
      <w:r>
        <w:rPr>
          <w:rFonts w:cs="Tahoma" w:ascii="Tahoma" w:hAnsi="Tahoma"/>
        </w:rPr>
        <w:t xml:space="preserve">It is important here that on each day we observe </w:t>
      </w:r>
      <w:r>
        <w:rPr>
          <w:rFonts w:cs="Tahoma" w:ascii="Tahoma" w:hAnsi="Tahoma"/>
          <w:b/>
        </w:rPr>
        <w:t>all</w:t>
      </w:r>
      <w:r>
        <w:rPr>
          <w:rFonts w:cs="Tahoma" w:ascii="Tahoma" w:hAnsi="Tahoma"/>
        </w:rPr>
        <w:t xml:space="preserve"> components of vector </w:t>
      </w:r>
      <w:r>
        <w:rPr>
          <w:rFonts w:eastAsia="Symbol" w:cs="Symbol" w:ascii="Symbol" w:hAnsi="Symbol"/>
          <w:b/>
        </w:rPr>
        <w:sym w:font="Symbol" w:char="f068"/>
      </w:r>
      <w:r>
        <w:rPr>
          <w:rFonts w:cs="Tahoma" w:ascii="Tahoma" w:hAnsi="Tahoma"/>
        </w:rPr>
        <w:t>. If for some days observations for some components are missing and the covariances for each pair of random variables are calculated based on slightly different time series then the resulting variance-covariance matrix might not be positive-definite and it will be impossible to generate random variables with such variance-covariance matrix.</w:t>
      </w:r>
    </w:p>
    <w:p>
      <w:pPr>
        <w:pStyle w:val="Normal"/>
        <w:rPr>
          <w:rFonts w:ascii="Tahoma" w:hAnsi="Tahoma" w:cs="Tahoma"/>
        </w:rPr>
      </w:pPr>
      <w:r>
        <w:rPr>
          <w:rFonts w:cs="Tahoma" w:ascii="Tahoma" w:hAnsi="Tahoma"/>
        </w:rPr>
      </w:r>
    </w:p>
    <w:p>
      <w:pPr>
        <w:pStyle w:val="Normal"/>
        <w:rPr/>
      </w:pPr>
      <w:r>
        <w:rPr>
          <w:rFonts w:cs="Tahoma" w:ascii="Tahoma" w:hAnsi="Tahoma"/>
          <w:b/>
        </w:rPr>
        <w:t>Geometrical interpretation of correlation matrix</w:t>
      </w:r>
      <w:r>
        <w:rPr>
          <w:rFonts w:cs="Tahoma" w:ascii="Tahoma" w:hAnsi="Tahoma"/>
        </w:rPr>
        <w:t>: For each n x n correlation matrix it is possible to construct n vectors in n-dimensional space so that the cosine of angle between vector i and vector j is equal to the correlation in cell i,j of the correlation matrix.</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t>Example of symmetric matrix which can not represent a correlation matrix:</w:t>
      </w:r>
    </w:p>
    <w:p>
      <w:pPr>
        <w:pStyle w:val="Normal"/>
        <w:rPr>
          <w:rFonts w:ascii="Tahoma" w:hAnsi="Tahoma" w:cs="Tahoma"/>
        </w:rPr>
      </w:pPr>
      <w:r>
        <w:rPr>
          <w:rFonts w:cs="Tahoma" w:ascii="Tahoma" w:hAnsi="Tahoma"/>
        </w:rPr>
      </w:r>
    </w:p>
    <w:tbl>
      <w:tblPr>
        <w:tblW w:w="1138" w:type="dxa"/>
        <w:jc w:val="start"/>
        <w:tblInd w:w="0" w:type="dxa"/>
        <w:tblLayout w:type="fixed"/>
        <w:tblCellMar>
          <w:top w:w="0" w:type="dxa"/>
          <w:start w:w="30" w:type="dxa"/>
          <w:bottom w:w="0" w:type="dxa"/>
          <w:end w:w="30" w:type="dxa"/>
        </w:tblCellMar>
      </w:tblPr>
      <w:tblGrid>
        <w:gridCol w:w="379"/>
        <w:gridCol w:w="379"/>
        <w:gridCol w:w="380"/>
      </w:tblGrid>
      <w:tr>
        <w:trPr>
          <w:trHeight w:val="247" w:hRule="atLeast"/>
        </w:trPr>
        <w:tc>
          <w:tcPr>
            <w:tcW w:w="379" w:type="dxa"/>
            <w:tcBorders>
              <w:top w:val="single" w:sz="6" w:space="0" w:color="000000"/>
              <w:start w:val="single" w:sz="6" w:space="0" w:color="000000"/>
              <w:bottom w:val="single" w:sz="6" w:space="0" w:color="000000"/>
              <w:end w:val="single" w:sz="6" w:space="0" w:color="000000"/>
            </w:tcBorders>
          </w:tcPr>
          <w:p>
            <w:pPr>
              <w:pStyle w:val="Normal"/>
              <w:jc w:val="center"/>
              <w:rPr>
                <w:rFonts w:ascii="Arial" w:hAnsi="Arial" w:cs="Arial"/>
                <w:color w:val="000000"/>
                <w:lang w:eastAsia="en-US"/>
              </w:rPr>
            </w:pPr>
            <w:r>
              <w:rPr>
                <w:rFonts w:cs="Arial" w:ascii="Arial" w:hAnsi="Arial"/>
                <w:color w:val="000000"/>
                <w:lang w:eastAsia="en-US"/>
              </w:rPr>
              <w:t>1</w:t>
            </w:r>
          </w:p>
        </w:tc>
        <w:tc>
          <w:tcPr>
            <w:tcW w:w="379" w:type="dxa"/>
            <w:tcBorders>
              <w:top w:val="single" w:sz="6" w:space="0" w:color="000000"/>
              <w:start w:val="single" w:sz="6" w:space="0" w:color="000000"/>
              <w:bottom w:val="single" w:sz="6" w:space="0" w:color="000000"/>
              <w:end w:val="single" w:sz="6" w:space="0" w:color="000000"/>
            </w:tcBorders>
          </w:tcPr>
          <w:p>
            <w:pPr>
              <w:pStyle w:val="Normal"/>
              <w:jc w:val="center"/>
              <w:rPr>
                <w:rFonts w:ascii="Arial" w:hAnsi="Arial" w:cs="Arial"/>
                <w:color w:val="000000"/>
                <w:lang w:eastAsia="en-US"/>
              </w:rPr>
            </w:pPr>
            <w:r>
              <w:rPr>
                <w:rFonts w:cs="Arial" w:ascii="Arial" w:hAnsi="Arial"/>
                <w:color w:val="000000"/>
                <w:lang w:eastAsia="en-US"/>
              </w:rPr>
              <w:t>-1</w:t>
            </w:r>
          </w:p>
        </w:tc>
        <w:tc>
          <w:tcPr>
            <w:tcW w:w="380" w:type="dxa"/>
            <w:tcBorders>
              <w:top w:val="single" w:sz="6" w:space="0" w:color="000000"/>
              <w:start w:val="single" w:sz="6" w:space="0" w:color="000000"/>
              <w:bottom w:val="single" w:sz="6" w:space="0" w:color="000000"/>
              <w:end w:val="single" w:sz="6" w:space="0" w:color="000000"/>
            </w:tcBorders>
          </w:tcPr>
          <w:p>
            <w:pPr>
              <w:pStyle w:val="Normal"/>
              <w:jc w:val="center"/>
              <w:rPr>
                <w:rFonts w:ascii="Arial" w:hAnsi="Arial" w:cs="Arial"/>
                <w:color w:val="000000"/>
                <w:lang w:eastAsia="en-US"/>
              </w:rPr>
            </w:pPr>
            <w:r>
              <w:rPr>
                <w:rFonts w:cs="Arial" w:ascii="Arial" w:hAnsi="Arial"/>
                <w:color w:val="000000"/>
                <w:lang w:eastAsia="en-US"/>
              </w:rPr>
              <w:t>-1</w:t>
            </w:r>
          </w:p>
        </w:tc>
      </w:tr>
      <w:tr>
        <w:trPr>
          <w:trHeight w:val="247" w:hRule="atLeast"/>
        </w:trPr>
        <w:tc>
          <w:tcPr>
            <w:tcW w:w="379" w:type="dxa"/>
            <w:tcBorders>
              <w:top w:val="single" w:sz="6" w:space="0" w:color="000000"/>
              <w:start w:val="single" w:sz="6" w:space="0" w:color="000000"/>
              <w:bottom w:val="single" w:sz="6" w:space="0" w:color="000000"/>
              <w:end w:val="single" w:sz="6" w:space="0" w:color="000000"/>
            </w:tcBorders>
          </w:tcPr>
          <w:p>
            <w:pPr>
              <w:pStyle w:val="Normal"/>
              <w:jc w:val="center"/>
              <w:rPr>
                <w:rFonts w:ascii="Arial" w:hAnsi="Arial" w:cs="Arial"/>
                <w:color w:val="000000"/>
                <w:lang w:eastAsia="en-US"/>
              </w:rPr>
            </w:pPr>
            <w:r>
              <w:rPr>
                <w:rFonts w:cs="Arial" w:ascii="Arial" w:hAnsi="Arial"/>
                <w:color w:val="000000"/>
                <w:lang w:eastAsia="en-US"/>
              </w:rPr>
              <w:t>-1</w:t>
            </w:r>
          </w:p>
        </w:tc>
        <w:tc>
          <w:tcPr>
            <w:tcW w:w="379" w:type="dxa"/>
            <w:tcBorders>
              <w:top w:val="single" w:sz="6" w:space="0" w:color="000000"/>
              <w:start w:val="single" w:sz="6" w:space="0" w:color="000000"/>
              <w:bottom w:val="single" w:sz="6" w:space="0" w:color="000000"/>
              <w:end w:val="single" w:sz="6" w:space="0" w:color="000000"/>
            </w:tcBorders>
          </w:tcPr>
          <w:p>
            <w:pPr>
              <w:pStyle w:val="Normal"/>
              <w:jc w:val="center"/>
              <w:rPr>
                <w:rFonts w:ascii="Arial" w:hAnsi="Arial" w:cs="Arial"/>
                <w:color w:val="000000"/>
                <w:lang w:eastAsia="en-US"/>
              </w:rPr>
            </w:pPr>
            <w:r>
              <w:rPr>
                <w:rFonts w:cs="Arial" w:ascii="Arial" w:hAnsi="Arial"/>
                <w:color w:val="000000"/>
                <w:lang w:eastAsia="en-US"/>
              </w:rPr>
              <w:t>1</w:t>
            </w:r>
          </w:p>
        </w:tc>
        <w:tc>
          <w:tcPr>
            <w:tcW w:w="380" w:type="dxa"/>
            <w:tcBorders>
              <w:top w:val="single" w:sz="6" w:space="0" w:color="000000"/>
              <w:start w:val="single" w:sz="6" w:space="0" w:color="000000"/>
              <w:bottom w:val="single" w:sz="6" w:space="0" w:color="000000"/>
              <w:end w:val="single" w:sz="6" w:space="0" w:color="000000"/>
            </w:tcBorders>
          </w:tcPr>
          <w:p>
            <w:pPr>
              <w:pStyle w:val="Normal"/>
              <w:jc w:val="center"/>
              <w:rPr>
                <w:rFonts w:ascii="Arial" w:hAnsi="Arial" w:cs="Arial"/>
                <w:color w:val="000000"/>
                <w:lang w:eastAsia="en-US"/>
              </w:rPr>
            </w:pPr>
            <w:r>
              <w:rPr>
                <w:rFonts w:cs="Arial" w:ascii="Arial" w:hAnsi="Arial"/>
                <w:color w:val="000000"/>
                <w:lang w:eastAsia="en-US"/>
              </w:rPr>
              <w:t>-1</w:t>
            </w:r>
          </w:p>
        </w:tc>
      </w:tr>
      <w:tr>
        <w:trPr>
          <w:trHeight w:val="247" w:hRule="atLeast"/>
        </w:trPr>
        <w:tc>
          <w:tcPr>
            <w:tcW w:w="379" w:type="dxa"/>
            <w:tcBorders>
              <w:top w:val="single" w:sz="6" w:space="0" w:color="000000"/>
              <w:start w:val="single" w:sz="6" w:space="0" w:color="000000"/>
              <w:bottom w:val="single" w:sz="6" w:space="0" w:color="000000"/>
              <w:end w:val="single" w:sz="6" w:space="0" w:color="000000"/>
            </w:tcBorders>
          </w:tcPr>
          <w:p>
            <w:pPr>
              <w:pStyle w:val="Normal"/>
              <w:jc w:val="center"/>
              <w:rPr>
                <w:rFonts w:ascii="Arial" w:hAnsi="Arial" w:cs="Arial"/>
                <w:color w:val="000000"/>
                <w:lang w:eastAsia="en-US"/>
              </w:rPr>
            </w:pPr>
            <w:r>
              <w:rPr>
                <w:rFonts w:cs="Arial" w:ascii="Arial" w:hAnsi="Arial"/>
                <w:color w:val="000000"/>
                <w:lang w:eastAsia="en-US"/>
              </w:rPr>
              <w:t>-1</w:t>
            </w:r>
          </w:p>
        </w:tc>
        <w:tc>
          <w:tcPr>
            <w:tcW w:w="379" w:type="dxa"/>
            <w:tcBorders>
              <w:top w:val="single" w:sz="6" w:space="0" w:color="000000"/>
              <w:start w:val="single" w:sz="6" w:space="0" w:color="000000"/>
              <w:bottom w:val="single" w:sz="6" w:space="0" w:color="000000"/>
              <w:end w:val="single" w:sz="6" w:space="0" w:color="000000"/>
            </w:tcBorders>
          </w:tcPr>
          <w:p>
            <w:pPr>
              <w:pStyle w:val="Normal"/>
              <w:jc w:val="center"/>
              <w:rPr>
                <w:rFonts w:ascii="Arial" w:hAnsi="Arial" w:cs="Arial"/>
                <w:color w:val="000000"/>
                <w:lang w:eastAsia="en-US"/>
              </w:rPr>
            </w:pPr>
            <w:r>
              <w:rPr>
                <w:rFonts w:cs="Arial" w:ascii="Arial" w:hAnsi="Arial"/>
                <w:color w:val="000000"/>
                <w:lang w:eastAsia="en-US"/>
              </w:rPr>
              <w:t>-1</w:t>
            </w:r>
          </w:p>
        </w:tc>
        <w:tc>
          <w:tcPr>
            <w:tcW w:w="380" w:type="dxa"/>
            <w:tcBorders>
              <w:top w:val="single" w:sz="6" w:space="0" w:color="000000"/>
              <w:start w:val="single" w:sz="6" w:space="0" w:color="000000"/>
              <w:bottom w:val="single" w:sz="6" w:space="0" w:color="000000"/>
              <w:end w:val="single" w:sz="6" w:space="0" w:color="000000"/>
            </w:tcBorders>
          </w:tcPr>
          <w:p>
            <w:pPr>
              <w:pStyle w:val="Normal"/>
              <w:jc w:val="center"/>
              <w:rPr>
                <w:rFonts w:ascii="Arial" w:hAnsi="Arial" w:cs="Arial"/>
                <w:color w:val="000000"/>
                <w:lang w:eastAsia="en-US"/>
              </w:rPr>
            </w:pPr>
            <w:r>
              <w:rPr>
                <w:rFonts w:cs="Arial" w:ascii="Arial" w:hAnsi="Arial"/>
                <w:color w:val="000000"/>
                <w:lang w:eastAsia="en-US"/>
              </w:rPr>
              <w:t>1</w:t>
            </w:r>
          </w:p>
        </w:tc>
      </w:tr>
    </w:tbl>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t xml:space="preserve">According to geometrical interpretation of correlation matrix the matrix above means that for some vector in 3-dimensional space there exist 2 other vectors collinear with the first one, pointing in the opposite direction and, in addition, these 2 other vectors are also pointing into directions opposite to each other. </w:t>
      </w:r>
    </w:p>
    <w:p>
      <w:pPr>
        <w:pStyle w:val="Normal"/>
        <w:rPr>
          <w:rFonts w:ascii="Tahoma" w:hAnsi="Tahoma" w:cs="Tahoma"/>
        </w:rPr>
      </w:pPr>
      <w:r>
        <w:rPr>
          <w:rFonts w:cs="Tahoma" w:ascii="Tahoma" w:hAnsi="Tahoma"/>
        </w:rPr>
      </w:r>
    </w:p>
    <w:p>
      <w:pPr>
        <w:pStyle w:val="Normal"/>
        <w:rPr/>
      </w:pPr>
      <w:r>
        <w:rPr>
          <w:rFonts w:cs="Tahoma" w:ascii="Tahoma" w:hAnsi="Tahoma"/>
          <w:b/>
        </w:rPr>
        <w:t>Definition:</w:t>
      </w:r>
      <w:r>
        <w:rPr>
          <w:rFonts w:cs="Tahoma" w:ascii="Tahoma" w:hAnsi="Tahoma"/>
        </w:rPr>
        <w:t xml:space="preserve"> Matrix </w:t>
      </w:r>
      <w:r>
        <w:rPr>
          <w:rFonts w:cs="Tahoma" w:ascii="Tahoma" w:hAnsi="Tahoma"/>
          <w:b/>
        </w:rPr>
        <w:t>V</w:t>
      </w:r>
      <w:r>
        <w:rPr>
          <w:rFonts w:cs="Tahoma" w:ascii="Tahoma" w:hAnsi="Tahoma"/>
        </w:rPr>
        <w:t xml:space="preserve"> is called positive-definite if for any vector </w:t>
      </w:r>
      <w:r>
        <w:rPr>
          <w:rFonts w:cs="Tahoma" w:ascii="Tahoma" w:hAnsi="Tahoma"/>
          <w:b/>
        </w:rPr>
        <w:t>x</w:t>
      </w:r>
      <w:r>
        <w:rPr>
          <w:rFonts w:cs="Tahoma" w:ascii="Tahoma" w:hAnsi="Tahoma"/>
          <w:b/>
          <w:vertAlign w:val="superscript"/>
        </w:rPr>
        <w:t>T</w:t>
      </w:r>
      <w:r>
        <w:rPr>
          <w:rFonts w:cs="Tahoma" w:ascii="Tahoma" w:hAnsi="Tahoma"/>
          <w:b/>
        </w:rPr>
        <w:t>Vx</w:t>
      </w:r>
      <w:r>
        <w:rPr>
          <w:rFonts w:cs="Tahoma" w:ascii="Tahoma" w:hAnsi="Tahoma"/>
        </w:rPr>
        <w:t>&gt;0.</w:t>
      </w:r>
    </w:p>
    <w:p>
      <w:pPr>
        <w:pStyle w:val="Normal"/>
        <w:rPr/>
      </w:pPr>
      <w:r>
        <w:rPr>
          <w:rFonts w:cs="Tahoma" w:ascii="Tahoma" w:hAnsi="Tahoma"/>
        </w:rPr>
        <w:t xml:space="preserve">(Matrix </w:t>
      </w:r>
      <w:r>
        <w:rPr>
          <w:rFonts w:cs="Tahoma" w:ascii="Tahoma" w:hAnsi="Tahoma"/>
          <w:b/>
        </w:rPr>
        <w:t>V</w:t>
      </w:r>
      <w:r>
        <w:rPr>
          <w:rFonts w:cs="Tahoma" w:ascii="Tahoma" w:hAnsi="Tahoma"/>
        </w:rPr>
        <w:t xml:space="preserve"> is called non-negative definite if for any vector </w:t>
      </w:r>
      <w:r>
        <w:rPr>
          <w:rFonts w:cs="Tahoma" w:ascii="Tahoma" w:hAnsi="Tahoma"/>
          <w:b/>
        </w:rPr>
        <w:t>x</w:t>
      </w:r>
      <w:r>
        <w:rPr>
          <w:rFonts w:cs="Tahoma" w:ascii="Tahoma" w:hAnsi="Tahoma"/>
          <w:b/>
          <w:vertAlign w:val="superscript"/>
        </w:rPr>
        <w:t>T</w:t>
      </w:r>
      <w:r>
        <w:rPr>
          <w:rFonts w:cs="Tahoma" w:ascii="Tahoma" w:hAnsi="Tahoma"/>
          <w:b/>
        </w:rPr>
        <w:t>Vx</w:t>
      </w:r>
      <w:r>
        <w:rPr>
          <w:rFonts w:eastAsia="Symbol" w:cs="Symbol" w:ascii="Symbol" w:hAnsi="Symbol"/>
        </w:rPr>
        <w:sym w:font="Symbol" w:char="f0b3"/>
      </w:r>
      <w:r>
        <w:rPr>
          <w:rFonts w:cs="Tahoma" w:ascii="Tahoma" w:hAnsi="Tahoma"/>
        </w:rPr>
        <w:t>0).</w:t>
      </w:r>
    </w:p>
    <w:p>
      <w:pPr>
        <w:pStyle w:val="Normal"/>
        <w:rPr>
          <w:rFonts w:ascii="Tahoma" w:hAnsi="Tahoma" w:cs="Tahoma"/>
        </w:rPr>
      </w:pPr>
      <w:r>
        <w:rPr>
          <w:rFonts w:cs="Tahoma" w:ascii="Tahoma" w:hAnsi="Tahoma"/>
        </w:rPr>
      </w:r>
    </w:p>
    <w:p>
      <w:pPr>
        <w:pStyle w:val="Normal"/>
        <w:rPr/>
      </w:pPr>
      <w:r>
        <w:rPr>
          <w:rFonts w:cs="Tahoma" w:ascii="Tahoma" w:hAnsi="Tahoma"/>
          <w:b/>
        </w:rPr>
        <w:t>Theorem:</w:t>
      </w:r>
      <w:r>
        <w:rPr>
          <w:rFonts w:cs="Tahoma" w:ascii="Tahoma" w:hAnsi="Tahoma"/>
        </w:rPr>
        <w:t xml:space="preserve"> If matrix </w:t>
      </w:r>
      <w:r>
        <w:rPr>
          <w:rFonts w:cs="Tahoma" w:ascii="Tahoma" w:hAnsi="Tahoma"/>
          <w:b/>
        </w:rPr>
        <w:t>V</w:t>
      </w:r>
      <w:r>
        <w:rPr>
          <w:rFonts w:cs="Tahoma" w:ascii="Tahoma" w:hAnsi="Tahoma"/>
        </w:rPr>
        <w:t xml:space="preserve"> can be decomposed as in equation 3 then it is non-negative definite.</w:t>
      </w:r>
    </w:p>
    <w:p>
      <w:pPr>
        <w:pStyle w:val="Normal"/>
        <w:rPr>
          <w:rFonts w:ascii="Tahoma" w:hAnsi="Tahoma" w:cs="Tahoma"/>
        </w:rPr>
      </w:pPr>
      <w:r>
        <w:rPr>
          <w:rFonts w:cs="Tahoma" w:ascii="Tahoma" w:hAnsi="Tahoma"/>
        </w:rPr>
      </w:r>
    </w:p>
    <w:p>
      <w:pPr>
        <w:pStyle w:val="Normal"/>
        <w:rPr/>
      </w:pPr>
      <w:r>
        <w:rPr>
          <w:rFonts w:cs="Tahoma" w:ascii="Tahoma" w:hAnsi="Tahoma"/>
          <w:b/>
        </w:rPr>
        <w:t>Definition</w:t>
      </w:r>
      <w:r>
        <w:rPr>
          <w:rFonts w:cs="Tahoma" w:ascii="Tahoma" w:hAnsi="Tahoma"/>
        </w:rPr>
        <w:t xml:space="preserve">: If variance-covariance matrix across a number of forward contracts is decomposed in the product of some matrix </w:t>
      </w:r>
      <w:r>
        <w:rPr>
          <w:rFonts w:cs="Tahoma" w:ascii="Tahoma" w:hAnsi="Tahoma"/>
          <w:b/>
        </w:rPr>
        <w:t>F</w:t>
      </w:r>
      <w:r>
        <w:rPr>
          <w:rFonts w:cs="Tahoma" w:ascii="Tahoma" w:hAnsi="Tahoma"/>
        </w:rPr>
        <w:t xml:space="preserve"> and it’s transpose (as in equation 3) then the columns of matrix </w:t>
      </w:r>
      <w:r>
        <w:rPr>
          <w:rFonts w:cs="Tahoma" w:ascii="Tahoma" w:hAnsi="Tahoma"/>
          <w:b/>
        </w:rPr>
        <w:t>F</w:t>
      </w:r>
      <w:r>
        <w:rPr>
          <w:rFonts w:cs="Tahoma" w:ascii="Tahoma" w:hAnsi="Tahoma"/>
        </w:rPr>
        <w:t xml:space="preserve"> are called “principal components” or “factor loadings”.</w:t>
      </w:r>
    </w:p>
    <w:p>
      <w:pPr>
        <w:pStyle w:val="Normal"/>
        <w:rPr>
          <w:rFonts w:ascii="Tahoma" w:hAnsi="Tahoma" w:cs="Tahoma"/>
        </w:rPr>
      </w:pPr>
      <w:r>
        <w:rPr>
          <w:rFonts w:cs="Tahoma" w:ascii="Tahoma" w:hAnsi="Tahoma"/>
        </w:rPr>
      </w:r>
    </w:p>
    <w:p>
      <w:pPr>
        <w:pStyle w:val="Normal"/>
        <w:rPr/>
      </w:pPr>
      <w:r>
        <w:rPr>
          <w:rFonts w:cs="Tahoma" w:ascii="Tahoma" w:hAnsi="Tahoma"/>
        </w:rPr>
        <w:t xml:space="preserve">The decomposition of matrix into a product of some other matrix and it’s transpose is not unique. It’s non-uniqueness is obvious from the geometrical interpretation: if we found n such vectors, then we can rotate all of them around some origin. Then the coordinates of these vectors (matrix </w:t>
      </w:r>
      <w:r>
        <w:rPr>
          <w:rFonts w:cs="Tahoma" w:ascii="Tahoma" w:hAnsi="Tahoma"/>
          <w:b/>
        </w:rPr>
        <w:t>F</w:t>
      </w:r>
      <w:r>
        <w:rPr>
          <w:rFonts w:cs="Tahoma" w:ascii="Tahoma" w:hAnsi="Tahoma"/>
        </w:rPr>
        <w:t xml:space="preserve"> in equation 3) will change, but the angles between them (correlations) will stay unchanged. Most well known are Cholesky decomposition (matrix </w:t>
      </w:r>
      <w:r>
        <w:rPr>
          <w:rFonts w:cs="Tahoma" w:ascii="Tahoma" w:hAnsi="Tahoma"/>
          <w:b/>
        </w:rPr>
        <w:t>F</w:t>
      </w:r>
      <w:r>
        <w:rPr>
          <w:rFonts w:cs="Tahoma" w:ascii="Tahoma" w:hAnsi="Tahoma"/>
        </w:rPr>
        <w:t xml:space="preserve"> is triangular, all elements above main diagonal are zeroes) and Jacobi decomposition (matrix </w:t>
      </w:r>
      <w:r>
        <w:rPr>
          <w:rFonts w:cs="Tahoma" w:ascii="Tahoma" w:hAnsi="Tahoma"/>
          <w:b/>
        </w:rPr>
        <w:t>F</w:t>
      </w:r>
      <w:r>
        <w:rPr>
          <w:rFonts w:cs="Tahoma" w:ascii="Tahoma" w:hAnsi="Tahoma"/>
        </w:rPr>
        <w:t xml:space="preserve"> is rectangular, each column of </w:t>
      </w:r>
      <w:r>
        <w:rPr>
          <w:rFonts w:cs="Tahoma" w:ascii="Tahoma" w:hAnsi="Tahoma"/>
          <w:b/>
        </w:rPr>
        <w:t>F</w:t>
      </w:r>
      <w:r>
        <w:rPr>
          <w:rFonts w:cs="Tahoma" w:ascii="Tahoma" w:hAnsi="Tahoma"/>
        </w:rPr>
        <w:t xml:space="preserve"> is an  eigenvector of matrix V multiplied by square root of corresponding eigenvalue).</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b/>
        </w:rPr>
        <w:t>Principal Component Analysis (PCA) or Factor Loadings analysis</w:t>
      </w:r>
    </w:p>
    <w:p>
      <w:pPr>
        <w:pStyle w:val="Normal"/>
        <w:rPr>
          <w:rFonts w:ascii="Tahoma" w:hAnsi="Tahoma" w:cs="Tahoma"/>
        </w:rPr>
      </w:pPr>
      <w:r>
        <w:rPr>
          <w:rFonts w:cs="Tahoma" w:ascii="Tahoma" w:hAnsi="Tahoma"/>
        </w:rPr>
      </w:r>
    </w:p>
    <w:p>
      <w:pPr>
        <w:pStyle w:val="Normal"/>
        <w:rPr/>
      </w:pPr>
      <w:r>
        <w:rPr>
          <w:rFonts w:cs="Tahoma" w:ascii="Tahoma" w:hAnsi="Tahoma"/>
        </w:rPr>
        <w:t xml:space="preserve">For each commodity we would like to implement a term structure of correlations across different maturity contracts. In order to do this for a specific commodity we collect recent history of forward prices. We construct variance-covariance matrix across all liquidly traded contracts for this commodity. Suppose that there are K liquidly traded contacts for some commodity. Then, generally, we would have to generate K correlated random shocks during Monte Carlo simulations. When forward contracts prices are highly correlated (which is mostly the case) then it is possible to preserve the term structure of correlations </w:t>
      </w:r>
      <w:r>
        <w:rPr>
          <w:rFonts w:cs="Tahoma" w:ascii="Tahoma" w:hAnsi="Tahoma"/>
          <w:b/>
        </w:rPr>
        <w:t>approximately</w:t>
      </w:r>
      <w:r>
        <w:rPr>
          <w:rFonts w:cs="Tahoma" w:ascii="Tahoma" w:hAnsi="Tahoma"/>
        </w:rPr>
        <w:t xml:space="preserve"> using fewer shocks than K. In the extreme case when all contracts prices are perfectly correlated a single random shock provides us with required term-structure of correlations (see Example 1 above). In the other extreme case, when all contracts have 0 correlations with each other, PCA analysis is useless – it is impossible to use fewer shocks than K and still generate K non-correlated variables. When correlations are pretty high then 3 –7 factors (principal components) do decent job in providing us with required term structure of correlations.</w:t>
      </w:r>
    </w:p>
    <w:p>
      <w:pPr>
        <w:pStyle w:val="Normal"/>
        <w:rPr>
          <w:rFonts w:ascii="Tahoma" w:hAnsi="Tahoma" w:cs="Tahoma"/>
        </w:rPr>
      </w:pPr>
      <w:r>
        <w:rPr>
          <w:rFonts w:cs="Tahoma" w:ascii="Tahoma" w:hAnsi="Tahoma"/>
        </w:rPr>
      </w:r>
    </w:p>
    <w:p>
      <w:pPr>
        <w:pStyle w:val="Normal"/>
        <w:rPr/>
      </w:pPr>
      <w:r>
        <w:rPr>
          <w:rFonts w:cs="Tahoma" w:ascii="Tahoma" w:hAnsi="Tahoma"/>
          <w:b/>
        </w:rPr>
        <w:t>Example 4.</w:t>
      </w:r>
      <w:r>
        <w:rPr>
          <w:rFonts w:cs="Tahoma" w:ascii="Tahoma" w:hAnsi="Tahoma"/>
        </w:rPr>
        <w:t xml:space="preserve"> Artificial (mathematically constructed) matrix below contains the correlations across 12 forward contracts for some commodity according to the formula: c</w:t>
      </w:r>
      <w:r>
        <w:rPr>
          <w:rFonts w:cs="Tahoma" w:ascii="Tahoma" w:hAnsi="Tahoma"/>
          <w:vertAlign w:val="subscript"/>
        </w:rPr>
        <w:t>ij</w:t>
      </w:r>
      <w:r>
        <w:rPr>
          <w:rFonts w:cs="Tahoma" w:ascii="Tahoma" w:hAnsi="Tahoma"/>
        </w:rPr>
        <w:t>=1/(1+0.02*abs(i-j)):</w:t>
      </w:r>
    </w:p>
    <w:p>
      <w:pPr>
        <w:pStyle w:val="Normal"/>
        <w:rPr>
          <w:rFonts w:ascii="Tahoma" w:hAnsi="Tahoma" w:cs="Tahoma"/>
        </w:rPr>
      </w:pPr>
      <w:r>
        <w:rPr>
          <w:rFonts w:cs="Tahoma" w:ascii="Tahoma" w:hAnsi="Tahoma"/>
        </w:rPr>
      </w:r>
    </w:p>
    <w:p>
      <w:pPr>
        <w:pStyle w:val="Normal"/>
        <w:rPr>
          <w:rFonts w:ascii="Tahoma" w:hAnsi="Tahoma" w:cs="Tahoma"/>
          <w:lang w:val="en-CA"/>
        </w:rPr>
      </w:pPr>
      <w:r>
        <w:rPr>
          <w:rFonts w:cs="Tahoma" w:ascii="Tahoma" w:hAnsi="Tahoma"/>
          <w:lang w:val="en-CA"/>
        </w:rPr>
        <w:object w:dxaOrig="9374" w:dyaOrig="3076">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position:absolute;margin-left:0pt;margin-top:0pt;width:467.9pt;height:150pt;mso-wrap-distance-left:9.05pt;mso-wrap-distance-right:9.05pt;mso-position-horizontal-relative:text;mso-position-vertical-relative:text" filled="f" o:ole="">
            <v:imagedata r:id="rId7" o:title=""/>
            <w10:wrap type="topAndBottom"/>
          </v:shape>
          <o:OLEObject Type="Embed" ProgID="Excel.Sheet.12" ShapeID="ole_rId6" DrawAspect="Content" ObjectID="_728138314" r:id="rId6"/>
        </w:objec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t>Correlations are high, especially between adjacent contracts. Largest 5 factor loadings (principal components) are plotted in the figure below.</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object w:dxaOrig="6401" w:dyaOrig="6144">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position:absolute;margin-left:27.75pt;margin-top:7.2pt;width:302.4pt;height:275.35pt;mso-wrap-distance-left:9.05pt;mso-wrap-distance-right:9.05pt;mso-position-horizontal-relative:text;mso-position-vertical-relative:text" filled="f" o:ole="">
            <v:imagedata r:id="rId9" o:title=""/>
            <w10:wrap type="topAndBottom"/>
          </v:shape>
          <o:OLEObject Type="Embed" ProgID="Excel.Sheet.12" ShapeID="ole_rId8" DrawAspect="Content" ObjectID="_1352614751" r:id="rId8"/>
        </w:object>
      </w:r>
    </w:p>
    <w:p>
      <w:pPr>
        <w:pStyle w:val="Normal"/>
        <w:rPr>
          <w:rFonts w:ascii="Tahoma" w:hAnsi="Tahoma" w:cs="Tahoma"/>
        </w:rPr>
      </w:pPr>
      <w:r>
        <w:rPr>
          <w:rFonts w:cs="Tahoma" w:ascii="Tahoma" w:hAnsi="Tahoma"/>
        </w:rPr>
        <w:t xml:space="preserve">Factor 1 is the largest factor, it’s contributes to the correlations the most. If we use just this factor it produces perfectly correlated forward prices, as shown in Example 1 above. This factor represents parallel shift of forward curve up or down depending on the random shock. </w:t>
      </w:r>
    </w:p>
    <w:p>
      <w:pPr>
        <w:pStyle w:val="Normal"/>
        <w:rPr>
          <w:rFonts w:ascii="Tahoma" w:hAnsi="Tahoma" w:cs="Tahoma"/>
        </w:rPr>
      </w:pPr>
      <w:r>
        <w:rPr>
          <w:rFonts w:cs="Tahoma" w:ascii="Tahoma" w:hAnsi="Tahoma"/>
        </w:rPr>
        <w:t>Second factor (purple curve) is much smaller in magnitude, it is negative for the front contracts and positive for the back of the curve. It re-shapes the curve so that if front contracts’ prices go up the forward prices at the back of the curve go down.</w:t>
      </w:r>
    </w:p>
    <w:p>
      <w:pPr>
        <w:pStyle w:val="Normal"/>
        <w:rPr>
          <w:rFonts w:ascii="Tahoma" w:hAnsi="Tahoma" w:cs="Tahoma"/>
        </w:rPr>
      </w:pPr>
      <w:r>
        <w:rPr>
          <w:rFonts w:cs="Tahoma" w:ascii="Tahoma" w:hAnsi="Tahoma"/>
        </w:rPr>
        <w:t>Factor 3 (yellow curve) changes sign twice. It introduces more possibilities of re-shaping the forward curve.</w:t>
      </w:r>
    </w:p>
    <w:p>
      <w:pPr>
        <w:pStyle w:val="Normal"/>
        <w:rPr>
          <w:rFonts w:ascii="Tahoma" w:hAnsi="Tahoma" w:cs="Tahoma"/>
        </w:rPr>
      </w:pPr>
      <w:r>
        <w:rPr>
          <w:rFonts w:cs="Tahoma" w:ascii="Tahoma" w:hAnsi="Tahoma"/>
        </w:rPr>
        <w:t>In this artificially constructed example the factors look like sine and cosine functions of different frequency. Examples from “real life” below for liquidly traded commodities with high correlations across forward contracts confirm this type of behavior. When liquidity and correlations go down the factors’ behavior deteriorates.</w:t>
      </w:r>
    </w:p>
    <w:p>
      <w:pPr>
        <w:pStyle w:val="Normal"/>
        <w:rPr>
          <w:rFonts w:ascii="Tahoma" w:hAnsi="Tahoma" w:cs="Tahoma"/>
        </w:rPr>
      </w:pPr>
      <w:r>
        <w:rPr>
          <w:rFonts w:cs="Tahoma" w:ascii="Tahoma" w:hAnsi="Tahoma"/>
        </w:rPr>
      </w:r>
    </w:p>
    <w:p>
      <w:pPr>
        <w:pStyle w:val="Normal"/>
        <w:rPr/>
      </w:pPr>
      <w:r>
        <w:rPr>
          <w:rFonts w:cs="Tahoma" w:ascii="Tahoma" w:hAnsi="Tahoma"/>
          <w:b/>
        </w:rPr>
        <w:t>Real life examples</w:t>
      </w:r>
      <w:r>
        <w:rPr>
          <w:rFonts w:cs="Tahoma" w:ascii="Tahoma" w:hAnsi="Tahoma"/>
        </w:rPr>
        <w:t>: A few examples of PCA for the correlation matrices calculated based on 3 months of historical forward prices for Brent, Condensate and National Balance Point (UK Gas) are shown below.</w:t>
      </w:r>
    </w:p>
    <w:p>
      <w:pPr>
        <w:pStyle w:val="Normal"/>
        <w:rPr>
          <w:rFonts w:ascii="Tahoma" w:hAnsi="Tahoma" w:cs="Tahoma"/>
          <w:lang w:val="en-CA"/>
        </w:rPr>
      </w:pPr>
      <w:r>
        <w:rPr>
          <w:rFonts w:cs="Tahoma" w:ascii="Tahoma" w:hAnsi="Tahoma"/>
          <w:lang w:val="en-CA"/>
        </w:rPr>
        <w:object w:dxaOrig="6401" w:dyaOrig="6145">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position:absolute;margin-left:0pt;margin-top:12.1pt;width:320.4pt;height:289.6pt;mso-wrap-distance-left:9.05pt;mso-wrap-distance-right:9.05pt;mso-position-horizontal-relative:text;mso-position-vertical-relative:text" filled="f" o:ole="">
            <v:imagedata r:id="rId11" o:title=""/>
            <w10:wrap type="topAndBottom"/>
          </v:shape>
          <o:OLEObject Type="Embed" ProgID="Excel.Sheet.12" ShapeID="ole_rId10" DrawAspect="Content" ObjectID="_1472553676" r:id="rId10"/>
        </w:object>
      </w:r>
    </w:p>
    <w:p>
      <w:pPr>
        <w:pStyle w:val="Normal"/>
        <w:rPr>
          <w:rFonts w:ascii="Tahoma" w:hAnsi="Tahoma" w:cs="Tahoma"/>
        </w:rPr>
      </w:pPr>
      <w:r>
        <w:rPr>
          <w:rFonts w:cs="Tahoma" w:ascii="Tahoma" w:hAnsi="Tahoma"/>
        </w:rPr>
        <w:object w:dxaOrig="6401" w:dyaOrig="5633">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position:absolute;margin-left:3.6pt;margin-top:311.5pt;width:338.25pt;height:278.25pt;mso-wrap-distance-left:9.05pt;mso-wrap-distance-right:9.05pt;mso-position-horizontal-relative:text;mso-position-vertical-relative:text" filled="f" o:ole="">
            <v:imagedata r:id="rId13" o:title=""/>
            <w10:wrap type="topAndBottom"/>
          </v:shape>
          <o:OLEObject Type="Embed" ProgID="Excel.Sheet.12" ShapeID="ole_rId12" DrawAspect="Content" ObjectID="_437973590" r:id="rId12"/>
        </w:object>
      </w:r>
    </w:p>
    <w:p>
      <w:pPr>
        <w:pStyle w:val="Normal"/>
        <w:rPr>
          <w:rFonts w:ascii="Tahoma" w:hAnsi="Tahoma" w:cs="Tahoma"/>
          <w:lang w:val="en-CA"/>
        </w:rPr>
      </w:pPr>
      <w:r>
        <w:rPr>
          <w:rFonts w:cs="Tahoma" w:ascii="Tahoma" w:hAnsi="Tahoma"/>
          <w:lang w:val="en-CA"/>
        </w:rPr>
        <w:object w:dxaOrig="6401" w:dyaOrig="6144">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position:absolute;margin-left:10.8pt;margin-top:-14.4pt;width:327pt;height:309.75pt;mso-wrap-distance-left:9.05pt;mso-wrap-distance-right:9.05pt;mso-position-horizontal-relative:text;mso-position-vertical-relative:text" filled="f" o:ole="">
            <v:imagedata r:id="rId15" o:title=""/>
            <w10:wrap type="topAndBottom"/>
          </v:shape>
          <o:OLEObject Type="Embed" ProgID="Excel.Sheet.12" ShapeID="ole_rId14" DrawAspect="Content" ObjectID="_1005804076" r:id="rId14"/>
        </w:objec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sectPr>
      <w:type w:val="nextPage"/>
      <w:pgSz w:w="12240" w:h="15840"/>
      <w:pgMar w:left="1800" w:right="180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ahoma">
    <w:charset w:val="00" w:characterSet="windows-1252"/>
    <w:family w:val="swiss"/>
    <w:pitch w:val="variable"/>
  </w:font>
  <w:font w:name="Liberation Sans">
    <w:altName w:val="Arial"/>
    <w:charset w:val="01" w:characterSet="utf-8"/>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120"/>
  <w:defaultTabStop w:val="720"/>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eastAsia="zh-CN" w:bidi="hi-IN"/>
    </w:rPr>
  </w:style>
  <w:style w:type="paragraph" w:styleId="Heading1">
    <w:name w:val="heading 1"/>
    <w:basedOn w:val="Normal"/>
    <w:next w:val="Normal"/>
    <w:qFormat/>
    <w:pPr>
      <w:keepNext w:val="true"/>
      <w:numPr>
        <w:ilvl w:val="0"/>
        <w:numId w:val="1"/>
      </w:numPr>
      <w:jc w:val="center"/>
      <w:outlineLvl w:val="0"/>
    </w:pPr>
    <w:rPr>
      <w:rFonts w:ascii="Tahoma" w:hAnsi="Tahoma" w:cs="Tahoma"/>
      <w:b/>
    </w:rPr>
  </w:style>
  <w:style w:type="character" w:styleId="DefaultParagraphFont">
    <w:name w:val="Default Paragraph Font"/>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rPr>
      <w:rFonts w:ascii="Tahoma" w:hAnsi="Tahoma" w:cs="Tahoma"/>
      <w:sz w:val="24"/>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DocumentMap">
    <w:name w:val="Document Map"/>
    <w:basedOn w:val="Normal"/>
    <w:qFormat/>
    <w:pPr>
      <w:shd w:fill="000080" w:val="clear"/>
    </w:pPr>
    <w:rPr>
      <w:rFonts w:ascii="Tahoma" w:hAnsi="Tahoma" w:cs="Tahoma"/>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package" Target="embeddings/oleObject1.xlsx"/><Relationship Id="rId3" Type="http://schemas.openxmlformats.org/officeDocument/2006/relationships/image" Target="media/image1.wmf"/><Relationship Id="rId4" Type="http://schemas.openxmlformats.org/officeDocument/2006/relationships/package" Target="embeddings/oleObject2.xlsx"/><Relationship Id="rId5" Type="http://schemas.openxmlformats.org/officeDocument/2006/relationships/image" Target="media/image2.wmf"/><Relationship Id="rId6" Type="http://schemas.openxmlformats.org/officeDocument/2006/relationships/package" Target="embeddings/oleObject3.xlsx"/><Relationship Id="rId7" Type="http://schemas.openxmlformats.org/officeDocument/2006/relationships/image" Target="media/image3.wmf"/><Relationship Id="rId8" Type="http://schemas.openxmlformats.org/officeDocument/2006/relationships/package" Target="embeddings/oleObject4.xlsx"/><Relationship Id="rId9" Type="http://schemas.openxmlformats.org/officeDocument/2006/relationships/image" Target="media/image4.wmf"/><Relationship Id="rId10" Type="http://schemas.openxmlformats.org/officeDocument/2006/relationships/package" Target="embeddings/oleObject5.xlsx"/><Relationship Id="rId11" Type="http://schemas.openxmlformats.org/officeDocument/2006/relationships/image" Target="media/image5.wmf"/><Relationship Id="rId12" Type="http://schemas.openxmlformats.org/officeDocument/2006/relationships/package" Target="embeddings/oleObject6.xlsx"/><Relationship Id="rId13" Type="http://schemas.openxmlformats.org/officeDocument/2006/relationships/image" Target="media/image6.wmf"/><Relationship Id="rId14" Type="http://schemas.openxmlformats.org/officeDocument/2006/relationships/package" Target="embeddings/oleObject7.xlsx"/><Relationship Id="rId15" Type="http://schemas.openxmlformats.org/officeDocument/2006/relationships/image" Target="media/image7.wmf"/><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291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2001-02-08T13:09:00Z</dcterms:created>
  <dc:creator>ttamarc</dc:creator>
  <dc:description/>
  <dc:language>en-CA</dc:language>
  <cp:lastModifiedBy>ttamarc</cp:lastModifiedBy>
  <cp:lastPrinted>2001-02-08T16:39:00Z</cp:lastPrinted>
  <dcterms:modified xsi:type="dcterms:W3CDTF">2001-02-09T12:30:00Z</dcterms:modified>
  <cp:revision>31</cp:revision>
  <dc:subject/>
  <dc:title>Principal component analysis for capturing term structure of correlations in Value-at-Risk</dc:title>
</cp:coreProperties>
</file>