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tabs>
          <w:tab w:val="clear" w:pos="720"/>
          <w:tab w:val="right" w:pos="8550" w:leader="none"/>
        </w:tabs>
        <w:ind w:hanging="0" w:start="0"/>
        <w:jc w:val="both"/>
        <w:rPr>
          <w:b w:val="false"/>
          <w:sz w:val="24"/>
        </w:rPr>
      </w:pPr>
      <w:r>
        <w:rPr/>
        <w:t>MEMORANDUM</w:t>
        <w:tab/>
      </w:r>
    </w:p>
    <w:p>
      <w:pPr>
        <w:pStyle w:val="Normal"/>
        <w:jc w:val="both"/>
        <w:rPr>
          <w:b/>
          <w:sz w:val="24"/>
        </w:rPr>
      </w:pPr>
      <w:r>
        <w:rPr>
          <w:b/>
          <w:sz w:val="24"/>
        </w:rPr>
      </w:r>
    </w:p>
    <w:p>
      <w:pPr>
        <w:pStyle w:val="Normal"/>
        <w:jc w:val="both"/>
        <w:rPr/>
      </w:pPr>
      <w:r>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FILLIN "MERGEFORMAT"</w:instrText>
      </w:r>
      <w:r>
        <w:rPr>
          <w:rFonts w:cs="Times New Roman" w:ascii="Times New Roman" w:hAnsi="Times New Roman"/>
        </w:rPr>
        <w:fldChar w:fldCharType="separate"/>
      </w:r>
      <w:r>
        <w:rPr>
          <w:rFonts w:cs="Times New Roman" w:ascii="Times New Roman" w:hAnsi="Times New Roman"/>
        </w:rPr>
        <w:t>October 24, 2000</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
    </w:p>
    <w:p>
      <w:pPr>
        <w:pStyle w:val="BodyText"/>
        <w:jc w:val="start"/>
        <w:rPr/>
      </w:pPr>
      <w:r>
        <w:rPr/>
        <w:fldChar w:fldCharType="begin"/>
      </w:r>
      <w:r>
        <w:rPr/>
        <w:instrText xml:space="preserve"> FILLIN "MERGEFORMAT"</w:instrText>
      </w:r>
      <w:r>
        <w:rPr/>
        <w:fldChar w:fldCharType="separate"/>
      </w:r>
      <w:r>
        <w:rPr/>
        <w:t>Dave Butters</w:t>
        <w:br/>
        <w:t>Executive Vice President</w:t>
        <w:br/>
        <w:t>OEB International</w:t>
      </w:r>
      <w:r>
        <w:rPr/>
        <w:fldChar w:fldCharType="end"/>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u w:val="single"/>
        </w:rPr>
      </w:pPr>
      <w:r>
        <w:rPr>
          <w:rFonts w:cs="Times New Roman" w:ascii="Times New Roman" w:hAnsi="Times New Roman"/>
          <w:u w:val="single"/>
        </w:rPr>
        <w:fldChar w:fldCharType="begin"/>
      </w:r>
      <w:r>
        <w:rPr>
          <w:u w:val="single"/>
          <w:rFonts w:cs="Times New Roman" w:ascii="Times New Roman" w:hAnsi="Times New Roman"/>
        </w:rPr>
        <w:instrText xml:space="preserve"> FILLIN "MERGEFORMAT"</w:instrText>
      </w:r>
      <w:r>
        <w:rPr>
          <w:u w:val="single"/>
          <w:rFonts w:cs="Times New Roman" w:ascii="Times New Roman" w:hAnsi="Times New Roman"/>
        </w:rPr>
        <w:fldChar w:fldCharType="separate"/>
      </w:r>
      <w:r>
        <w:rPr>
          <w:u w:val="single"/>
          <w:rFonts w:cs="Times New Roman" w:ascii="Times New Roman" w:hAnsi="Times New Roman"/>
        </w:rPr>
        <w:t>Standard Physical Bilateral Power Purchase Contract</w:t>
        <w:br/>
        <w:t>- Market Rule Considerations</w:t>
      </w:r>
      <w:r>
        <w:rPr>
          <w:u w:val="single"/>
          <w:rFonts w:cs="Times New Roman" w:ascii="Times New Roman" w:hAnsi="Times New Roman"/>
        </w:rPr>
        <w:fldChar w:fldCharType="end"/>
      </w:r>
    </w:p>
    <w:p>
      <w:pPr>
        <w:pStyle w:val="Normal"/>
        <w:jc w:val="both"/>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FILLIN "MERGEFORMAT"</w:instrText>
      </w:r>
      <w:r>
        <w:rPr>
          <w:rFonts w:cs="Times New Roman" w:ascii="Times New Roman" w:hAnsi="Times New Roman"/>
        </w:rPr>
        <w:fldChar w:fldCharType="separate"/>
      </w:r>
      <w:r>
        <w:rPr>
          <w:rFonts w:cs="Times New Roman" w:ascii="Times New Roman" w:hAnsi="Times New Roman"/>
        </w:rPr>
        <w:t>As requested at the meeting on October 11, 2000, I have listed in the attached table market rules which may be relevant to the development of a standard physical bilateral contract (PBC).  The intent of this list is to identify areas of the market rules that parties to a PBC  may want to take into account.</w:t>
        <w:br/>
        <w:br/>
        <w:t xml:space="preserve">It is worth repeating that the IMO supports the effort of the development of standard PBC contracts, and other related activities that will lead to a more robust and efficient wholesale market. Although the IMO need not endorse any particular form of contract, since the terms are matters between the two parties involved, it is to the advantage of all that contracts are compatible with market rules. </w:t>
        <w:br/>
        <w:t xml:space="preserve">    </w:t>
        <w:br/>
        <w:t xml:space="preserve">I look forward to further discussions. If you have any questions about the attached material you can call me at 905-212-3564 </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FILLIN "MERGEFORMAT"</w:instrText>
      </w:r>
      <w:r>
        <w:rPr>
          <w:rFonts w:cs="Times New Roman" w:ascii="Times New Roman" w:hAnsi="Times New Roman"/>
        </w:rPr>
        <w:fldChar w:fldCharType="separate"/>
      </w:r>
      <w:r>
        <w:rPr>
          <w:rFonts w:cs="Times New Roman" w:ascii="Times New Roman" w:hAnsi="Times New Roman"/>
        </w:rPr>
        <w:t>Jack Lubek</w:t>
        <w:br/>
        <w:t>Senior Engineer</w:t>
        <w:br/>
        <w:t>Corporate &amp; Market Development</w:t>
        <w:br/>
        <w:t>IMO</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FILLIN "MERGEFORMAT"</w:instrText>
      </w:r>
      <w:r>
        <w:rPr>
          <w:rFonts w:cs="Times New Roman" w:ascii="Times New Roman" w:hAnsi="Times New Roman"/>
        </w:rPr>
        <w:fldChar w:fldCharType="separate"/>
      </w:r>
      <w:r>
        <w:rPr>
          <w:rFonts w:cs="Times New Roman" w:ascii="Times New Roman" w:hAnsi="Times New Roman"/>
        </w:rPr>
        <w:t>Attach</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FILLIN "MERGEFORMAT"</w:instrText>
      </w:r>
      <w:r>
        <w:rPr>
          <w:rFonts w:cs="Times New Roman" w:ascii="Times New Roman" w:hAnsi="Times New Roman"/>
        </w:rPr>
        <w:fldChar w:fldCharType="separate"/>
      </w:r>
      <w:r>
        <w:rPr>
          <w:rFonts w:cs="Times New Roman" w:ascii="Times New Roman" w:hAnsi="Times New Roman"/>
        </w:rPr>
        <w:t>cc:   Barry Chuddy</w:t>
        <w:br/>
        <w:t xml:space="preserve">        Paul Murphy</w:t>
        <w:br/>
        <w:t xml:space="preserve">        Larry Murphy</w:t>
        <w:br/>
        <w:t xml:space="preserve">        Rob Cary </w:t>
      </w:r>
      <w:r>
        <w:rPr>
          <w:rFonts w:cs="Times New Roman" w:ascii="Times New Roman" w:hAnsi="Times New Roman"/>
        </w:rPr>
        <w:fldChar w:fldCharType="end"/>
      </w:r>
    </w:p>
    <w:p>
      <w:pPr>
        <w:sectPr>
          <w:headerReference w:type="default" r:id="rId2"/>
          <w:footerReference w:type="default" r:id="rId3"/>
          <w:type w:val="nextPage"/>
          <w:pgSz w:w="12240" w:h="15840"/>
          <w:pgMar w:left="1800" w:right="1440" w:gutter="0" w:header="720" w:top="1440" w:footer="720" w:bottom="1440"/>
          <w:pgNumType w:fmt="decimal"/>
          <w:formProt w:val="false"/>
          <w:textDirection w:val="lrTb"/>
          <w:docGrid w:type="default" w:linePitch="360" w:charSpace="0"/>
        </w:sectPr>
      </w:pPr>
    </w:p>
    <w:p>
      <w:pPr>
        <w:pStyle w:val="Normal"/>
        <w:numPr>
          <w:ilvl w:val="0"/>
          <w:numId w:val="0"/>
        </w:numPr>
        <w:rPr>
          <w:rFonts w:ascii="Times New Roman" w:hAnsi="Times New Roman" w:cs="Times New Roman"/>
        </w:rPr>
      </w:pPr>
      <w:r>
        <w:rPr>
          <w:rFonts w:cs="Times New Roman" w:ascii="Times New Roman" w:hAnsi="Times New Roman"/>
        </w:rPr>
      </w:r>
      <w:r>
        <w:br w:type="page"/>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u w:val="single"/>
        </w:rPr>
      </w:pPr>
      <w:r>
        <w:rPr>
          <w:rFonts w:cs="Times New Roman" w:ascii="Times New Roman" w:hAnsi="Times New Roman"/>
          <w:b/>
          <w:u w:val="single"/>
        </w:rPr>
        <w:t>Market Rule Considerations for Physical Bilateral Contracts</w:t>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r>
    </w:p>
    <w:tbl>
      <w:tblPr>
        <w:tblW w:w="9774" w:type="dxa"/>
        <w:jc w:val="start"/>
        <w:tblInd w:w="0" w:type="dxa"/>
        <w:tblLayout w:type="fixed"/>
        <w:tblCellMar>
          <w:top w:w="0" w:type="dxa"/>
          <w:start w:w="108" w:type="dxa"/>
          <w:bottom w:w="0" w:type="dxa"/>
          <w:end w:w="108" w:type="dxa"/>
        </w:tblCellMar>
      </w:tblPr>
      <w:tblGrid>
        <w:gridCol w:w="828"/>
        <w:gridCol w:w="990"/>
        <w:gridCol w:w="3420"/>
        <w:gridCol w:w="4536"/>
      </w:tblGrid>
      <w:tr>
        <w:trPr>
          <w:trHeight w:val="480"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Chap</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Sect</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2"/>
              </w:rPr>
              <w:t>Market Rule</w:t>
            </w:r>
            <w:r>
              <w:rPr>
                <w:rStyle w:val="FootnoteCharacters"/>
                <w:rStyle w:val="FootnoteReference"/>
                <w:b/>
                <w:sz w:val="22"/>
              </w:rPr>
              <w:footnoteReference w:id="2"/>
            </w:r>
            <w:r>
              <w:rPr>
                <w:b/>
                <w:sz w:val="22"/>
              </w:rPr>
              <w:t xml:space="preserve"> </w:t>
            </w:r>
          </w:p>
          <w:p>
            <w:pPr>
              <w:pStyle w:val="Normal"/>
              <w:jc w:val="center"/>
              <w:rPr>
                <w:b/>
                <w:sz w:val="22"/>
              </w:rPr>
            </w:pPr>
            <w:r>
              <w:rPr>
                <w:b/>
                <w:sz w:val="22"/>
              </w:rPr>
            </w:r>
          </w:p>
        </w:tc>
        <w:tc>
          <w:tcPr>
            <w:tcW w:w="4536"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Possible PBC Consideration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2.2.2</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IMO dispute mechanism process is available to market participants.</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Whether contract disputes are resolved through the IMO dispute process.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5.3.4C</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Adjustment to maximum net exposure related to PBC, following a suspension order to the seller </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PBC may want to consider this, and certainly other impacts, in the event of suspension, termination (etc.)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5.3.6A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 the first 6 months after market opening, maximum net exposure may not be reviewed upon submission of PBC data or revisions unless the change exceeds 15%.</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timing of recalculation of MNE may or may not have an impact on PBC contract terms.</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5.7.2</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Prudential support obligations can be met through various means</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PBC may specify the manner in which the seller may assist the buyer in meeting its prudential support obligation to the IMO (i.e. guarantee or cash deposits).</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Uniform market price</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Implication for contract if locational pricing is introduced within the period of the contract.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Capacity reserve market</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Treatment of any capacity reserve charges (part of hourly uplift) which may emerge during the period of the contract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2.1.2</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PBC quantities added or deducted from market participant quantities.</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PBC data can only be used by the IMO to affect calculations for market participants. Thus a market participant can only contract under a PBC with another market participant if it wants to submit the PBC to the IMO.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2.2.1</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Content of Bilateral Contract data</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PBC should specify the location of sale in a manner which is compatible with identifying a specific primary RWM or intertie metering point.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2.2.1</w:t>
            </w:r>
          </w:p>
          <w:p>
            <w:pPr>
              <w:pStyle w:val="Normal"/>
              <w:rPr>
                <w:sz w:val="20"/>
              </w:rPr>
            </w:pPr>
            <w:r>
              <w:rPr>
                <w:sz w:val="20"/>
              </w:rPr>
              <w:t>2.4.11</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Selling market participant may submit data (See also section 2.4.1)</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PBC can specify the requirement for the seller to submit data and the timing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2.2.2</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Seller accepting responsibility for some or all components of hourly uplift for physical bilateral contract quantities.</w:t>
            </w:r>
          </w:p>
        </w:tc>
        <w:tc>
          <w:tcPr>
            <w:tcW w:w="4536" w:type="dxa"/>
            <w:tcBorders>
              <w:top w:val="single" w:sz="4" w:space="0" w:color="000000"/>
              <w:start w:val="single" w:sz="4" w:space="0" w:color="000000"/>
              <w:bottom w:val="single" w:sz="4" w:space="0" w:color="000000"/>
              <w:end w:val="single" w:sz="4" w:space="0" w:color="000000"/>
            </w:tcBorders>
          </w:tcPr>
          <w:p>
            <w:pPr>
              <w:pStyle w:val="Normal"/>
              <w:rPr/>
            </w:pPr>
            <w:r>
              <w:rPr>
                <w:sz w:val="20"/>
              </w:rPr>
              <w:t>PBC should indicate which quantities, if any, the seller accepts and is to be specified in the data submitted to the IMO.</w:t>
            </w:r>
            <w:r>
              <w:rPr>
                <w:rStyle w:val="FootnoteCharacters"/>
                <w:rStyle w:val="FootnoteReference"/>
                <w:sz w:val="20"/>
              </w:rPr>
              <w:footnoteReference w:id="3"/>
            </w:r>
            <w:r>
              <w:rPr>
                <w:sz w:val="20"/>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2.3.1</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Form of bilateral contract data</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PBC should specify quantities in a manner which will be compatible with IMO capabilities.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2.4.1</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PBC data submitted for the purpose of adjusting prudential support obligations. (See also Chapter 2 section 5.3.4 and 5.3.6)</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PBC should require the submission of the PBC data to permit the intended adjustments to prudential support obligations to the IMO.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2.4.2</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Revisions to PBC data</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Conditions under which PBC quantities may be revised.</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2.4.9    2.4.10</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Acceptance by IMO of PBC data is contingent on there being appropriate prudential support in place</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PBC may deal with the obligation to maintain appropriate prudential support with the IMO and the consequences of the PBC data being rejected by the IMO if prudential support is insufficient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2.6.3</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PBC quantities are totals for each settlement hour</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PBC quantity should be a single energy value for any given hour</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Market power mitigation</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PC treatment of OPGI rebate quantities for load</w:t>
            </w:r>
          </w:p>
        </w:tc>
      </w:tr>
    </w:tbl>
    <w:p>
      <w:pPr>
        <w:pStyle w:val="Normal"/>
        <w:rPr/>
      </w:pPr>
      <w:r>
        <w:rPr/>
      </w:r>
    </w:p>
    <w:p>
      <w:pPr>
        <w:pStyle w:val="Normal"/>
        <w:rPr/>
      </w:pPr>
      <w:r>
        <w:rPr/>
      </w:r>
    </w:p>
    <w:p>
      <w:pPr>
        <w:pStyle w:val="Normal"/>
        <w:rPr>
          <w:sz w:val="20"/>
        </w:rPr>
      </w:pPr>
      <w:r>
        <w:rPr>
          <w:sz w:val="20"/>
        </w:rPr>
      </w:r>
    </w:p>
    <w:p>
      <w:pPr>
        <w:pStyle w:val="Normal"/>
        <w:rPr>
          <w:sz w:val="20"/>
        </w:rPr>
      </w:pPr>
      <w:r>
        <w:rPr>
          <w:sz w:val="20"/>
        </w:rPr>
      </w:r>
    </w:p>
    <w:p>
      <w:pPr>
        <w:pStyle w:val="Normal"/>
        <w:rPr>
          <w:sz w:val="20"/>
        </w:rPr>
      </w:pPr>
      <w:r>
        <w:rPr>
          <w:sz w:val="20"/>
        </w:rPr>
        <w:t>Note: The IMO does not warrant the completeness of this listing.</w:t>
      </w:r>
    </w:p>
    <w:sectPr>
      <w:footnotePr>
        <w:numFmt w:val="decimal"/>
      </w:footnotePr>
      <w:type w:val="continuous"/>
      <w:pgSz w:w="12240" w:h="15840"/>
      <w:pgMar w:left="1440" w:right="1440"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 xml:space="preserve">Station A Box 4474 Toronto ON M5W 4E5 Canada  </w:t>
    </w:r>
    <w:r>
      <w:rPr>
        <w:rFonts w:cs="Times New Roman" w:ascii="Times New Roman" w:hAnsi="Times New Roman"/>
        <w:b/>
        <w:sz w:val="16"/>
      </w:rPr>
      <w:t>tel</w:t>
    </w:r>
    <w:r>
      <w:rPr>
        <w:rFonts w:cs="Times New Roman" w:ascii="Times New Roman" w:hAnsi="Times New Roman"/>
        <w:sz w:val="16"/>
      </w:rPr>
      <w:t xml:space="preserve"> 905.855.6100  </w:t>
    </w:r>
    <w:r>
      <w:rPr>
        <w:rFonts w:cs="Times New Roman" w:ascii="Times New Roman" w:hAnsi="Times New Roman"/>
        <w:b/>
        <w:sz w:val="16"/>
      </w:rPr>
      <w:t>fax</w:t>
    </w:r>
    <w:r>
      <w:rPr>
        <w:rFonts w:cs="Times New Roman" w:ascii="Times New Roman" w:hAnsi="Times New Roman"/>
        <w:sz w:val="16"/>
      </w:rPr>
      <w:t xml:space="preserve"> 905.855.6372  </w:t>
    </w:r>
    <w:r>
      <w:rPr>
        <w:rFonts w:cs="Times New Roman" w:ascii="Times New Roman" w:hAnsi="Times New Roman"/>
        <w:b/>
        <w:sz w:val="16"/>
      </w:rPr>
      <w:t>www.theIMO.com</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represents the subject matter or a paraphrasing of the actual market rule.</w:t>
      </w:r>
    </w:p>
  </w:footnote>
  <w:footnote w:id="3">
    <w:p>
      <w:pPr>
        <w:pStyle w:val="FootnoteText"/>
        <w:rPr/>
      </w:pPr>
      <w:r>
        <w:rPr>
          <w:rStyle w:val="FootnoteCharacters"/>
        </w:rPr>
        <w:footnoteRef/>
      </w:r>
      <w:r>
        <w:rPr/>
        <w:t xml:space="preserve"> </w:t>
      </w:r>
      <w:r>
        <w:rPr/>
        <w:t>The issue of reassigning components is broader than implied here and needs further discussion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2146300" cy="1005840"/>
          <wp:effectExtent l="0" t="0" r="0" b="0"/>
          <wp:docPr id="1" name="IEMO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MO_logo" descr="" title=""/>
                  <pic:cNvPicPr>
                    <a:picLocks noChangeAspect="1" noChangeArrowheads="1"/>
                  </pic:cNvPicPr>
                </pic:nvPicPr>
                <pic:blipFill>
                  <a:blip r:embed="rId1"/>
                  <a:srcRect l="-5" t="-11" r="-5" b="-11"/>
                  <a:stretch>
                    <a:fillRect/>
                  </a:stretch>
                </pic:blipFill>
                <pic:spPr bwMode="auto">
                  <a:xfrm>
                    <a:off x="0" y="0"/>
                    <a:ext cx="2146300" cy="10058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2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Standard Memorandum1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2000-11-01T14:59:00Z</dcterms:created>
  <dc:creator>mccullol</dc:creator>
  <dc:description>Corporate Standard</dc:description>
  <dc:language>en-CA</dc:language>
  <cp:lastModifiedBy>Andrew S. Katz</cp:lastModifiedBy>
  <cp:lastPrinted>2000-10-24T15:44:00Z</cp:lastPrinted>
  <dcterms:modified xsi:type="dcterms:W3CDTF">2000-11-01T14:59:00Z</dcterms:modified>
  <cp:revision>2</cp:revision>
  <dc:subject/>
  <dc:title>New Standard Memorandum</dc:title>
</cp:coreProperties>
</file>