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widowControl/>
        <w:bidi w:val="0"/>
        <w:spacing w:lineRule="atLeast" w:line="600" w:before="140" w:after="540"/>
        <w:ind w:hanging="0" w:start="840" w:end="0"/>
        <w:rPr/>
      </w:pPr>
      <w:bookmarkStart w:id="0" w:name="xgraphic"/>
      <w:bookmarkEnd w:id="0"/>
      <w:r>
        <mc:AlternateContent>
          <mc:Choice Requires="wpg">
            <w:drawing>
              <wp:anchor behindDoc="1" distT="0" distB="0" distL="114935" distR="114935" simplePos="0" locked="0" layoutInCell="0" allowOverlap="1" relativeHeight="5">
                <wp:simplePos x="0" y="0"/>
                <wp:positionH relativeFrom="page">
                  <wp:posOffset>458470</wp:posOffset>
                </wp:positionH>
                <wp:positionV relativeFrom="page">
                  <wp:posOffset>4114800</wp:posOffset>
                </wp:positionV>
                <wp:extent cx="1859280" cy="1859280"/>
                <wp:effectExtent l="0" t="0" r="635" b="635"/>
                <wp:wrapNone/>
                <wp:docPr id="1" name=""/>
                <a:graphic xmlns:a="http://schemas.openxmlformats.org/drawingml/2006/main">
                  <a:graphicData uri="http://schemas.microsoft.com/office/word/2010/wordprocessingGroup">
                    <wpg:wgp>
                      <wpg:cNvGrpSpPr/>
                      <wpg:grpSpPr>
                        <a:xfrm>
                          <a:off x="0" y="0"/>
                          <a:ext cx="1859400" cy="1859400"/>
                          <a:chOff x="0" y="0"/>
                          <a:chExt cx="1859400" cy="1859400"/>
                        </a:xfrm>
                      </wpg:grpSpPr>
                      <wps:wsp>
                        <wps:cNvPr id="2" name=""/>
                        <wps:cNvSpPr/>
                        <wps:spPr>
                          <a:xfrm>
                            <a:off x="0" y="0"/>
                            <a:ext cx="1859400" cy="1859400"/>
                          </a:xfrm>
                          <a:prstGeom prst="ellipse">
                            <a:avLst/>
                          </a:prstGeom>
                          <a:solidFill>
                            <a:srgbClr val="f2f2f2"/>
                          </a:solidFill>
                          <a:ln w="0">
                            <a:noFill/>
                          </a:ln>
                        </wps:spPr>
                        <wps:style>
                          <a:lnRef idx="0"/>
                          <a:fillRef idx="0"/>
                          <a:effectRef idx="0"/>
                          <a:fontRef idx="minor"/>
                        </wps:style>
                        <wps:bodyPr/>
                      </wps:wsp>
                      <wps:wsp>
                        <wps:cNvPr id="3" name=""/>
                        <wps:cNvSpPr/>
                        <wps:spPr>
                          <a:xfrm>
                            <a:off x="617760" y="0"/>
                            <a:ext cx="597600" cy="185940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36.1pt;margin-top:324pt;width:146.4pt;height:146.4pt" coordorigin="722,6480" coordsize="2928,2928">
                <v:oval id="shape_0" fillcolor="#f2f2f2" stroked="f" o:allowincell="f" style="position:absolute;left:722;top:6480;width:2927;height:2927;mso-wrap-style:none;v-text-anchor:middle;mso-position-horizontal-relative:page;mso-position-vertical-relative:page">
                  <v:fill o:detectmouseclick="t" type="solid" color2="#0d0d0d"/>
                  <v:stroke color="#3465a4" joinstyle="round" endcap="flat"/>
                  <w10:wrap type="none"/>
                </v:oval>
                <v:rect id="shape_0" fillcolor="white" stroked="f" o:allowincell="f" style="position:absolute;left:1695;top:6480;width:940;height:2927;mso-wrap-style:none;v-text-anchor:middle;mso-position-horizontal-relative:page;mso-position-vertical-relative:page">
                  <v:fill o:detectmouseclick="t" type="solid" color2="black"/>
                  <v:stroke color="#3465a4" joinstyle="round" endcap="flat"/>
                  <w10:wrap type="none"/>
                </v:rect>
              </v:group>
            </w:pict>
          </mc:Fallback>
        </mc:AlternateContent>
      </w:r>
      <w:r>
        <w:rPr/>
        <w:t>Memorandum</w:t>
      </w:r>
    </w:p>
    <w:p>
      <w:pPr>
        <w:pStyle w:val="MessageHeaderFirst"/>
        <w:rPr/>
      </w:pPr>
      <w:r>
        <w:rPr>
          <w:rStyle w:val="MessageHeaderLabel"/>
          <w:spacing w:val="-20"/>
        </w:rPr>
        <w:t>T</w:t>
      </w:r>
      <w:r>
        <w:rPr>
          <w:rStyle w:val="MessageHeaderLabel"/>
        </w:rPr>
        <w:t>o:</w:t>
      </w:r>
      <w:r>
        <w:rPr/>
        <w:tab/>
        <w:t>Scott Galwicki</w:t>
        <w:tab/>
        <w:tab/>
        <w:tab/>
      </w:r>
    </w:p>
    <w:p>
      <w:pPr>
        <w:pStyle w:val="MessageHeader"/>
        <w:rPr/>
      </w:pPr>
      <w:r>
        <w:rPr>
          <w:rStyle w:val="MessageHeaderLabel"/>
        </w:rPr>
        <w:t>CC:</w:t>
      </w:r>
      <w:r>
        <w:rPr/>
        <w:tab/>
        <w:t>Elizabeth Linnell</w:t>
      </w:r>
    </w:p>
    <w:p>
      <w:pPr>
        <w:pStyle w:val="MessageHeader"/>
        <w:rPr/>
      </w:pPr>
      <w:r>
        <w:rPr>
          <w:rStyle w:val="MessageHeaderLabel"/>
        </w:rPr>
        <w:t>From:</w:t>
      </w:r>
      <w:r>
        <w:rPr/>
        <w:tab/>
        <w:t>Tom Chapman</w:t>
      </w:r>
    </w:p>
    <w:p>
      <w:pPr>
        <w:pStyle w:val="MessageHeader"/>
        <w:rPr/>
      </w:pPr>
      <w:r>
        <w:rPr>
          <w:rStyle w:val="MessageHeaderLabel"/>
        </w:rPr>
        <w:t>Date:</w:t>
      </w:r>
      <w:r>
        <w:rPr/>
        <w:tab/>
      </w:r>
      <w:r>
        <w:rPr/>
        <w:fldChar w:fldCharType="begin"/>
      </w:r>
      <w:r>
        <w:rPr/>
        <w:instrText xml:space="preserve"> DATE \@"M/d/yyyy" </w:instrText>
      </w:r>
      <w:r>
        <w:rPr/>
        <w:fldChar w:fldCharType="separate"/>
      </w:r>
      <w:r>
        <w:rPr/>
        <w:t>9/28/2025</w:t>
      </w:r>
      <w:r>
        <w:rPr/>
        <w:fldChar w:fldCharType="end"/>
      </w:r>
    </w:p>
    <w:p>
      <w:pPr>
        <w:pStyle w:val="MessageHeaderLast"/>
        <w:rPr/>
      </w:pPr>
      <w:r>
        <w:rPr>
          <w:rStyle w:val="MessageHeaderLabel"/>
        </w:rPr>
        <w:t>Re:</w:t>
      </w:r>
      <w:r>
        <w:rPr/>
        <w:tab/>
        <w:t>Pennsylvania Electric Market</w:t>
      </w:r>
    </w:p>
    <w:p>
      <w:pPr>
        <w:pStyle w:val="Closing"/>
        <w:spacing w:lineRule="auto" w:line="240"/>
        <w:rPr/>
      </w:pPr>
      <w:r>
        <w:rPr/>
        <w:t>The Pennsylvania Customer Choice Act was approved on December 3, 1996.  This act transformed the electric industry in the state.  This “restructured” market is commonly referred to as “the” most competitive retail electric market in the United States today.  This statement is true, but it does not represent a “perfect” market, or a market that has reached a final stage.  Instead like other markets, this market is still in a state of transition, but a number of factors have helped ease Pennsylvanians into the new world.</w:t>
      </w:r>
    </w:p>
    <w:p>
      <w:pPr>
        <w:pStyle w:val="Closing"/>
        <w:spacing w:lineRule="auto" w:line="240"/>
        <w:rPr/>
      </w:pPr>
      <w:r>
        <w:rPr/>
      </w:r>
    </w:p>
    <w:p>
      <w:pPr>
        <w:pStyle w:val="Closing"/>
        <w:spacing w:lineRule="auto" w:line="240"/>
        <w:rPr/>
      </w:pPr>
      <w:r>
        <w:rPr/>
        <w:t>First, the Pennsylvania process works.  Unlike other areas of the country, Pennsylvania has clearly recognized that deregulation is a work in progress.  Pennsylvania’s Commission has done a good job of both leadership and delegation.  All of the parties and the processes established are logical and deliberate.  For example, the Commission has often pointed the parties in the right direction, but has allowed the various stakeholder groups who have the information and knowledge to dialogue and develop appropriate answers.  This underscores one of the key differences with California where many political interests have attempted to make a political football out of deregulation.  In Pennsylvania, each utility has its own negotiated restructuring settlement that has been geared to better fit the utility and the market participants in the utility’s service territory.  Furthermore, when need arises these utilities have been able to discuss the issues both publicly and privately with the Commission and Commission staff.  Clearly, the Pennsylvania folks “get it.”</w:t>
      </w:r>
    </w:p>
    <w:p>
      <w:pPr>
        <w:pStyle w:val="Closing"/>
        <w:spacing w:lineRule="auto" w:line="240"/>
        <w:rPr/>
      </w:pPr>
      <w:r>
        <w:rPr/>
      </w:r>
    </w:p>
    <w:p>
      <w:pPr>
        <w:pStyle w:val="Closing"/>
        <w:spacing w:lineRule="auto" w:line="240"/>
        <w:rPr/>
      </w:pPr>
      <w:r>
        <w:rPr/>
        <w:t>For example, during the course of the last couple of years, the wholesale market prices in the PJM Interconnection have increased dramatically.  These increases have particularly affected parties like GPU who divested their generation near the onset of deregulation. As such, they were relatively unhedged against the wholesale market run up.  This has caused GPU to bear much of the risk associated with selling at low cost and buying at high cost.  For this reason, GPU lost approximately $40 million in 2000 and was projected to lose as much as $250 million in 2001 (Philadelphia Inquirer, 4/5/01).  This type of crisis echoes of California.  However, through rational action, the Commission and the regulatory process look to have the problem well in hand.  Although not finalized by the Commission, an ALJ (Administrative Law Judge) ruling of April 26,2001 indicates that it would be appropriate to raise the fixed price rate caps that had been established for the GPU service territories of Penelec and Met-Ed.  This represents the correct decision in this case, that, although painful to rate payers, more closely aligns the shopping credit with market forces.  Simply put, the rational answer to this rate cap dilemma is to align the rate cap with the actual cost of power.  Although Enron would prefer that Pennsylvania move to a market based default service in entirety, in this instance, the various regulatory parties have observed the problem and to this point have been able to make the difficult decision to move the rate cap higher.  This was done in an appropriate time period and in time to protect GPU from some of the problems that its sister utilities in California have seen.</w:t>
      </w:r>
    </w:p>
    <w:p>
      <w:pPr>
        <w:pStyle w:val="Closing"/>
        <w:spacing w:lineRule="auto" w:line="240"/>
        <w:rPr/>
      </w:pPr>
      <w:r>
        <w:rPr/>
      </w:r>
    </w:p>
    <w:p>
      <w:pPr>
        <w:pStyle w:val="Closing"/>
        <w:spacing w:lineRule="auto" w:line="240"/>
        <w:rPr/>
      </w:pPr>
      <w:r>
        <w:rPr/>
        <w:t>The second major reason that competition in Pennsylvania has been successful is the solid infrastructure that exists within Pennsylvania.  Pennsylvania has both solid generation in the form of a diverse mix (approximately 57% coal, 36% nuclear, and 9% gas) and perhaps the best run ISO in the country in the PJM Interconnection.</w:t>
      </w:r>
    </w:p>
    <w:p>
      <w:pPr>
        <w:pStyle w:val="Closing"/>
        <w:spacing w:lineRule="auto" w:line="240"/>
        <w:rPr/>
      </w:pPr>
      <w:r>
        <w:rPr/>
      </w:r>
    </w:p>
    <w:p>
      <w:pPr>
        <w:pStyle w:val="Closing"/>
        <w:spacing w:lineRule="auto" w:line="240"/>
        <w:rPr/>
      </w:pPr>
      <w:r>
        <w:rPr/>
        <w:t xml:space="preserve">Like many of the other states that have deregulated, Pennsylvania has seen a major increase in generation built and suggested within its boundaries.  This represents another major success of Pennsylvania and PJM--that the siting laws have allowed new development to take place.  Although this new generation has been primarily gas-fired, because of the diversity of fuels already used within Pennsylvania, the increase of gas prices did not severely constrain the market.  Instead, although prices have trended upwards in Pennsylvania and PJM, the increases have been relatively mild compared to other parts of the country.  Furthermore, a surprising amount of new generation has consisted of highly effiicient fuels like wind, solar, and fuel cells.  In fact, in early March Exelon and a number of other parties proposed a 15 MW facility in Fayette County, representing the largest wind farm in the eastern United States. (To see full article: </w:t>
      </w:r>
      <w:hyperlink r:id="rId2">
        <w:r>
          <w:rPr>
            <w:rStyle w:val="Hyperlink"/>
          </w:rPr>
          <w:t>http://www.pennfuture.org/news/news_index.html</w:t>
        </w:r>
      </w:hyperlink>
      <w:r>
        <w:rPr/>
        <w:t xml:space="preserve"> ).</w:t>
      </w:r>
    </w:p>
    <w:p>
      <w:pPr>
        <w:pStyle w:val="Closing"/>
        <w:spacing w:lineRule="auto" w:line="240"/>
        <w:rPr/>
      </w:pPr>
      <w:r>
        <w:rPr/>
      </w:r>
    </w:p>
    <w:p>
      <w:pPr>
        <w:pStyle w:val="Closing"/>
        <w:spacing w:lineRule="auto" w:line="240"/>
        <w:rPr/>
      </w:pPr>
      <w:r>
        <w:rPr/>
        <w:t>Furthermore, the PJM Interconnection represents the most finely tuned ISO currently in operation. This ISO has an excellent governance structure that again allows the stakeholders to make appropriate decisions and guide the efforts of the ISO.  And although Enron disagrees with some of the provisions within PJM, such as ICAP (Installed Capacity) and the allocation of FTRs (Financial Transmission Rights), Enron respects the fact that PJM is able to provide price signals within its various zones and a liquid trading hub in the West.  It is in no small part that the successes of Pennsylvania’s retail markets are based on the success of PJM.</w:t>
      </w:r>
    </w:p>
    <w:p>
      <w:pPr>
        <w:pStyle w:val="Closing"/>
        <w:spacing w:lineRule="auto" w:line="240"/>
        <w:rPr/>
      </w:pPr>
      <w:r>
        <w:rPr/>
      </w:r>
    </w:p>
    <w:p>
      <w:pPr>
        <w:pStyle w:val="Closing"/>
        <w:spacing w:lineRule="auto" w:line="240"/>
        <w:rPr/>
      </w:pPr>
      <w:r>
        <w:rPr/>
        <w:t>The amount of generation coupled with the well-run transmission grid has created an active wholesale market in Pennsylvania.  This has, in turn, allowed retail providers to access wholesalers to secure energy at relatively low costs.  Because of this ready access to energy, retailers are able to create opportunities to sell power below many of the shopping credits (and market prices).  For this reason, some areas of Pennsylvania like Duquesne Light (which is not currently a PJM member but does have access to the West Hub) and PECO have seen switching rates over 30% of all customers.</w:t>
      </w:r>
    </w:p>
    <w:p>
      <w:pPr>
        <w:pStyle w:val="Closing"/>
        <w:spacing w:lineRule="auto" w:line="240"/>
        <w:rPr/>
      </w:pPr>
      <w:r>
        <w:rPr/>
      </w:r>
    </w:p>
    <w:p>
      <w:pPr>
        <w:pStyle w:val="Closing"/>
        <w:spacing w:lineRule="auto" w:line="240"/>
        <w:rPr/>
      </w:pPr>
      <w:r>
        <w:rPr/>
        <w:t>However, in stating the successes of PECO and Duquesne to push customers to new retail providers, there have been numerous lackluster service territories that continue to lag behind switching expectations.  For example, as of April 1, 2001, Allegheny, PPL, and UGI all have customer switching rates below 3%.  In Allegheny’s case, the rate is only .5%.  Although some of these customers may have made a choice to stick with their former incumbent utility, if given the right incentive many of these customers could well have made (and could eventually make) a different choice.  For this reason, it is important to investigate sections of the restructuring plans and some of the major differences within these settlements.</w:t>
      </w:r>
    </w:p>
    <w:p>
      <w:pPr>
        <w:pStyle w:val="Closing"/>
        <w:spacing w:lineRule="auto" w:line="240"/>
        <w:rPr/>
      </w:pPr>
      <w:r>
        <w:rPr/>
      </w:r>
    </w:p>
    <w:p>
      <w:pPr>
        <w:pStyle w:val="Closing"/>
        <w:spacing w:lineRule="auto" w:line="240"/>
        <w:rPr/>
      </w:pPr>
      <w:r>
        <w:rPr/>
        <w:t>The most fundamental indicator of whether or not competition will be effective is the rate cap feature of each restructuring settlement.  In establishing rate caps, the various settlements have artificially set a price at which default service will be granted.  This price is called the shopping credit; it ranges from $3.25 in Allegheny to $5.67 in PECO (as of April 2001).  If a customer can get a price below the shopping credit, then the customer will receive savings from the basic default service offered in most jurisdictions.  If the shopping credit is lower than any available price, the customer will be paying a premium to shop.  Although some customers are willing to pay a premium under certain circumstances (typically green power), this number is relatively low.</w:t>
      </w:r>
    </w:p>
    <w:p>
      <w:pPr>
        <w:pStyle w:val="Closing"/>
        <w:spacing w:lineRule="auto" w:line="240"/>
        <w:rPr/>
      </w:pPr>
      <w:r>
        <w:rPr/>
      </w:r>
    </w:p>
    <w:p>
      <w:pPr>
        <w:pStyle w:val="Closing"/>
        <w:spacing w:lineRule="auto" w:line="240"/>
        <w:rPr/>
      </w:pPr>
      <w:r>
        <w:rPr/>
        <w:t>For most customers, the choice promised in electric restructuring simply comes down to price, and with such a disparity in price, the reason that PECO has seen switching rates of 30% and Allegheny has seen switching rates of .5% is clear.  Allegheny is benefitting because of its lower price, but the problem with this price is not that it is low, but that it is artificial.  None of the price caps in Pennsylvania are variable caps that move with the market, instead these caps represent a snapshot in time.  Thus, because the market has moved upwards, in many instances the shopping credit, which was originally above the market price, is now well below the market price.  For this reason, in many areas competition has sputtered, even within Pennsylvania.</w:t>
      </w:r>
    </w:p>
    <w:p>
      <w:pPr>
        <w:pStyle w:val="Closing"/>
        <w:spacing w:lineRule="auto" w:line="240"/>
        <w:rPr/>
      </w:pPr>
      <w:r>
        <w:rPr/>
      </w:r>
    </w:p>
    <w:p>
      <w:pPr>
        <w:pStyle w:val="Closing"/>
        <w:spacing w:lineRule="auto" w:line="240"/>
        <w:rPr/>
      </w:pPr>
      <w:r>
        <w:rPr/>
        <w:t xml:space="preserve">The snapshots are based primarily on a utility’s position in 1997-98, at which time the restructuring settlements were being molded.  Although the actual legislation proposed only a rate freeze, some of these settlements suggested high reductions in price.  For example, PECO’s settlement proposed an 8% reduction in 1999 followed by a 6% reduction in 2000.  Most of the other settlements reductions were significantly less, typically in the 5% or less range.  For this reason, the prices that are currently the basis for the Pennsylvania market are only loosely based on the wholesale market realities of today.  </w:t>
      </w:r>
    </w:p>
    <w:p>
      <w:pPr>
        <w:pStyle w:val="Closing"/>
        <w:spacing w:lineRule="auto" w:line="240"/>
        <w:rPr/>
      </w:pPr>
      <w:r>
        <w:rPr/>
      </w:r>
    </w:p>
    <w:p>
      <w:pPr>
        <w:pStyle w:val="Closing"/>
        <w:spacing w:lineRule="auto" w:line="240"/>
        <w:rPr/>
      </w:pPr>
      <w:r>
        <w:rPr/>
        <w:t>Compared to other states, Pennsylvania’s utilities have recovered unusually large dollar amounts of stranded costs.  For example, PECO was awarded only a partial recovery of their stranded costs and this number totaled up to $4 Billion.  Although this stranded cost figure may appear high, it was decided as part of a comprehensive settlement in 1998 and thus is based on 1998 information.  The current issue associated with this amount of stranded costs is the length of the recovery period and the amount of the CTC necessary to recover the entire $4 Billion.  First, the large amounts of stranded costs mean that many Pennsylvania utilities will not fully recover these costs for another five to ten years.  Only Duquesne Light will see its CTC roll off prior to 2003, and this date was originally stated as 2005 in the restructuring settlement.  The reason for this relatively short time period is that Duquesne divested its generating assets and was able to recover nearly $1.7 Billion on the sale of their plants to Orion.  As such, most of their stranded costs were recovered through the sale.</w:t>
      </w:r>
    </w:p>
    <w:p>
      <w:pPr>
        <w:pStyle w:val="Closing"/>
        <w:spacing w:lineRule="auto" w:line="240"/>
        <w:rPr/>
      </w:pPr>
      <w:r>
        <w:rPr/>
      </w:r>
    </w:p>
    <w:p>
      <w:pPr>
        <w:pStyle w:val="Closing"/>
        <w:spacing w:lineRule="auto" w:line="240"/>
        <w:rPr/>
      </w:pPr>
      <w:r>
        <w:rPr/>
        <w:t xml:space="preserve">Although Enron is typically agnostic on fully mitigated stranded costs, the effect of the length of the stranded cost recovery period in Pennsylvania could be highly risky.  Because wholesale markets are constantly in flux, the fact that GPU will not fully recover its stranded costs until 2010 and PECO not until 2011 could create market inconsistencies in the long term.  As stated above, the rate caps have fixed an artificial price in Pennsylvania, and as such, these prices will constantly move further from the reality of market prices in 1998 when they were set.  As such, these rate caps could create further problems for the market in Pennsylvania, as has already been indicated by the GPU problems discussed above.  Essentially without some type of variable mechanism in these caps, they are never assured to resemble the wholesale prices.  </w:t>
      </w:r>
    </w:p>
    <w:p>
      <w:pPr>
        <w:pStyle w:val="Closing"/>
        <w:spacing w:lineRule="auto" w:line="240"/>
        <w:rPr/>
      </w:pPr>
      <w:r>
        <w:rPr/>
      </w:r>
    </w:p>
    <w:p>
      <w:pPr>
        <w:pStyle w:val="Closing"/>
        <w:spacing w:lineRule="auto" w:line="240"/>
        <w:rPr/>
      </w:pPr>
      <w:r>
        <w:rPr/>
        <w:t>However, the move by the ALJ (and probably the Commission) indicates that parties in Pennsylvania are aware of the inconsistency associated with setting a fixed rate cap over a long recovery period.  Hopefully, this understanding will play itself out in practice as markets move away from their 1998 basis.  [The issue of moving the rate cap is always highly contentious because of the fact that it raises residential rates.  For this reasons, the Office of the Consumer Advocate (OCA) has strongly pushed for steadfast, fixed rate caps that do not move over time.  With the ALJ ruling and the possible move by the Commission to allow GPU to move their rates, a potential quagmire of retail market issues could be uncovered regarding residential and OCA responses to this shift.  In talking to Chairman John Quain, he seemed stalwart in his belief that the rate caps should not be touched unless the whole restructuring settlements were re-opened.  Thus, today, we are in a period of flux waiting for the Commission’s ruling to determine how these issues will be handled.]</w:t>
      </w:r>
    </w:p>
    <w:p>
      <w:pPr>
        <w:pStyle w:val="Closing"/>
        <w:spacing w:lineRule="auto" w:line="240"/>
        <w:ind w:start="0" w:end="0"/>
        <w:rPr/>
      </w:pPr>
      <w:r>
        <w:rPr/>
      </w:r>
    </w:p>
    <w:p>
      <w:pPr>
        <w:pStyle w:val="Closing"/>
        <w:spacing w:lineRule="auto" w:line="240"/>
        <w:rPr/>
      </w:pPr>
      <w:r>
        <w:rPr/>
        <w:t xml:space="preserve">Although a number of issues are left to be discussed, their importance pales in comparison to the rate cap issue.  Without some type of rate cap relief, many of the fledgling markets in Pennsylvania will die.  And with the long time frame associated with the stranded cost recovery, the fixed rate caps could move in either direction causing other possible issues within the market.  To make a long story short, although Pennsylvania has had some success in the development of retail electric markets, the hold on this success is somewhat tenuous.  Should the wholesale market shift dramatically for the worse, customers will return to default service in force.  </w:t>
      </w:r>
    </w:p>
    <w:p>
      <w:pPr>
        <w:pStyle w:val="Closing"/>
        <w:spacing w:lineRule="auto" w:line="240"/>
        <w:rPr/>
      </w:pPr>
      <w:r>
        <w:rPr/>
      </w:r>
    </w:p>
    <w:p>
      <w:pPr>
        <w:pStyle w:val="Closing"/>
        <w:spacing w:lineRule="auto" w:line="240"/>
        <w:rPr/>
      </w:pPr>
      <w:r>
        <w:rPr/>
        <w:t>Although these issues could potentially derail deregulation, the Pennsylvania regulators and legislature have proven themselves to be adroit at balancing the issues before them.  Furthermore, the foundation of the wholesale market is significantly stronger than most other parts of the country.  As such, it is likely that Pennsylvania will continue to succeed at its attempt to deregulate retail electricity.</w:t>
      </w:r>
    </w:p>
    <w:p>
      <w:pPr>
        <w:pStyle w:val="Closing"/>
        <w:spacing w:lineRule="auto" w:line="240"/>
        <w:rPr/>
      </w:pPr>
      <w:r>
        <w:rPr/>
      </w:r>
    </w:p>
    <w:p>
      <w:pPr>
        <w:pStyle w:val="Closing"/>
        <w:spacing w:lineRule="auto" w:line="240"/>
        <w:rPr>
          <w:b/>
          <w:bCs/>
        </w:rPr>
      </w:pPr>
      <w:r>
        <w:rPr>
          <w:b/>
          <w:bCs/>
        </w:rPr>
      </w:r>
    </w:p>
    <w:p>
      <w:pPr>
        <w:pStyle w:val="Closing"/>
        <w:spacing w:lineRule="auto" w:line="240"/>
        <w:ind w:start="0" w:end="0"/>
        <w:rPr>
          <w:b/>
          <w:bCs/>
        </w:rPr>
      </w:pPr>
      <w:r>
        <w:rPr>
          <w:b/>
          <w:bCs/>
        </w:rPr>
      </w:r>
    </w:p>
    <w:sectPr>
      <w:headerReference w:type="default" r:id="rId3"/>
      <w:headerReference w:type="first" r:id="rId4"/>
      <w:footerReference w:type="default" r:id="rId5"/>
      <w:footerReference w:type="first" r:id="rId6"/>
      <w:type w:val="nextPage"/>
      <w:pgSz w:w="12240" w:h="15840"/>
      <w:pgMar w:left="1800" w:right="1440" w:gutter="0" w:header="965" w:top="1440" w:footer="1440" w:bottom="1496"/>
      <w:pgNumType w:fmt="decimal"/>
      <w:formProt w:val="false"/>
      <w:titlePg/>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hanging="0" w:start="-1080" w:end="-1080"/>
      <w:rPr/>
    </w:pPr>
    <w:r>
      <w:rPr/>
      <w:tab/>
      <w:tab/>
    </w:r>
    <w:r>
      <w:rPr/>
      <w:fldChar w:fldCharType="begin"/>
    </w:r>
    <w:r>
      <w:rPr/>
      <w:instrText xml:space="preserve"> PAGE \* ARABIC </w:instrText>
    </w:r>
    <w:r>
      <w:rPr/>
      <w:fldChar w:fldCharType="separate"/>
    </w:r>
    <w:r>
      <w:rPr/>
      <w:t>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hanging="0" w:start="-1080" w:end="-1080"/>
      <w:rPr/>
    </w:pPr>
    <w:r>
      <mc:AlternateContent>
        <mc:Choice Requires="wps">
          <w:drawing>
            <wp:anchor behindDoc="1" distT="0" distB="0" distL="114935" distR="114300" simplePos="0" locked="0" layoutInCell="0" allowOverlap="1" relativeHeight="2">
              <wp:simplePos x="0" y="0"/>
              <wp:positionH relativeFrom="page">
                <wp:posOffset>457200</wp:posOffset>
              </wp:positionH>
              <wp:positionV relativeFrom="paragraph">
                <wp:posOffset>635</wp:posOffset>
              </wp:positionV>
              <wp:extent cx="3502025" cy="609600"/>
              <wp:effectExtent l="635" t="0" r="0" b="0"/>
              <wp:wrapNone/>
              <wp:docPr id="6" name=""/>
              <a:graphic xmlns:a="http://schemas.openxmlformats.org/drawingml/2006/main">
                <a:graphicData uri="http://schemas.microsoft.com/office/word/2010/wordprocessingShape">
                  <wps:wsp>
                    <wps:cNvSpPr/>
                    <wps:spPr>
                      <a:xfrm>
                        <a:off x="0" y="0"/>
                        <a:ext cx="3502080" cy="609480"/>
                      </a:xfrm>
                      <a:prstGeom prst="rect">
                        <a:avLst/>
                      </a:prstGeom>
                      <a:solidFill>
                        <a:srgbClr val="dfdfdf"/>
                      </a:solidFill>
                      <a:ln w="0">
                        <a:noFill/>
                      </a:ln>
                    </wps:spPr>
                    <wps:style>
                      <a:lnRef idx="0"/>
                      <a:fillRef idx="0"/>
                      <a:effectRef idx="0"/>
                      <a:fontRef idx="minor"/>
                    </wps:style>
                    <wps:bodyPr/>
                  </wps:wsp>
                </a:graphicData>
              </a:graphic>
            </wp:anchor>
          </w:drawing>
        </mc:Choice>
        <mc:Fallback>
          <w:pict>
            <v:rect id="shape_0" fillcolor="#dfdfdf" stroked="f" o:allowincell="f" style="position:absolute;margin-left:36pt;margin-top:0pt;width:275.7pt;height:47.95pt;mso-wrap-style:none;v-text-anchor:middle;mso-position-horizontal-relative:page">
              <v:fill o:detectmouseclick="t" type="solid" color2="#202020"/>
              <v:stroke color="#3465a4" joinstyle="round" endcap="flat"/>
              <w10:wrap type="none"/>
            </v:rect>
          </w:pict>
        </mc:Fallback>
      </mc:AlternateContent>
    </w:r>
    <w:r>
      <w:rPr/>
      <w:tab/>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fldChar w:fldCharType="begin"/>
    </w:r>
    <w:r>
      <w:rPr/>
      <w:instrText xml:space="preserve"> DATE \@"MMMM\ d', 'yyyy" </w:instrText>
    </w:r>
    <w:r>
      <w:rPr/>
      <w:fldChar w:fldCharType="separate"/>
    </w:r>
    <w:r>
      <w:rPr/>
      <w:t>September 28, 2025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bidi="he-IL"/>
      </w:rPr>
    </w:pPr>
    <w:r>
      <w:rPr>
        <w:lang w:val="en-CA" w:eastAsia="en-CA" w:bidi="he-IL"/>
      </w:rPr>
      <mc:AlternateContent>
        <mc:Choice Requires="wps">
          <w:drawing>
            <wp:anchor behindDoc="1" distT="0" distB="0" distL="114935" distR="114935" simplePos="0" locked="0" layoutInCell="0" allowOverlap="1" relativeHeight="3">
              <wp:simplePos x="0" y="0"/>
              <wp:positionH relativeFrom="page">
                <wp:posOffset>1695450</wp:posOffset>
              </wp:positionH>
              <wp:positionV relativeFrom="page">
                <wp:posOffset>457200</wp:posOffset>
              </wp:positionV>
              <wp:extent cx="34925" cy="762000"/>
              <wp:effectExtent l="2540" t="1905" r="1270" b="1905"/>
              <wp:wrapNone/>
              <wp:docPr id="4" name=""/>
              <a:graphic xmlns:a="http://schemas.openxmlformats.org/drawingml/2006/main">
                <a:graphicData uri="http://schemas.microsoft.com/office/word/2010/wordprocessingShape">
                  <wps:wsp>
                    <wps:cNvSpPr/>
                    <wps:spPr>
                      <a:xfrm>
                        <a:off x="0" y="0"/>
                        <a:ext cx="34920" cy="762120"/>
                      </a:xfrm>
                      <a:prstGeom prst="rect">
                        <a:avLst/>
                      </a:prstGeom>
                      <a:solidFill>
                        <a:srgbClr val="bebebe"/>
                      </a:solidFill>
                      <a:ln w="3240">
                        <a:solidFill>
                          <a:srgbClr val="ffffff"/>
                        </a:solidFill>
                        <a:miter/>
                      </a:ln>
                    </wps:spPr>
                    <wps:style>
                      <a:lnRef idx="0"/>
                      <a:fillRef idx="0"/>
                      <a:effectRef idx="0"/>
                      <a:fontRef idx="minor"/>
                    </wps:style>
                    <wps:bodyPr/>
                  </wps:wsp>
                </a:graphicData>
              </a:graphic>
            </wp:anchor>
          </w:drawing>
        </mc:Choice>
        <mc:Fallback>
          <w:pict>
            <v:rect id="shape_0" fillcolor="#bebebe" stroked="t" o:allowincell="f" style="position:absolute;margin-left:133.5pt;margin-top:36pt;width:2.7pt;height:59.95pt;mso-wrap-style:none;v-text-anchor:middle;mso-position-horizontal-relative:page;mso-position-vertical-relative:page">
              <v:fill o:detectmouseclick="t" type="solid" color2="#414141"/>
              <v:stroke color="white" weight="3240" joinstyle="miter" endcap="flat"/>
              <w10:wrap type="none"/>
            </v:rect>
          </w:pict>
        </mc:Fallback>
      </mc:AlternateContent>
      <mc:AlternateContent>
        <mc:Choice Requires="wps">
          <w:drawing>
            <wp:anchor behindDoc="1" distT="0" distB="0" distL="114935" distR="114935" simplePos="0" locked="0" layoutInCell="0" allowOverlap="1" relativeHeight="4">
              <wp:simplePos x="0" y="0"/>
              <wp:positionH relativeFrom="page">
                <wp:posOffset>5486400</wp:posOffset>
              </wp:positionH>
              <wp:positionV relativeFrom="page">
                <wp:posOffset>1463040</wp:posOffset>
              </wp:positionV>
              <wp:extent cx="1676400" cy="34925"/>
              <wp:effectExtent l="1905" t="2540" r="1905" b="1270"/>
              <wp:wrapNone/>
              <wp:docPr id="5" name=""/>
              <a:graphic xmlns:a="http://schemas.openxmlformats.org/drawingml/2006/main">
                <a:graphicData uri="http://schemas.microsoft.com/office/word/2010/wordprocessingShape">
                  <wps:wsp>
                    <wps:cNvSpPr/>
                    <wps:spPr>
                      <a:xfrm>
                        <a:off x="0" y="0"/>
                        <a:ext cx="1676520" cy="34920"/>
                      </a:xfrm>
                      <a:prstGeom prst="rect">
                        <a:avLst/>
                      </a:prstGeom>
                      <a:solidFill>
                        <a:srgbClr val="bebebe"/>
                      </a:solidFill>
                      <a:ln w="3240">
                        <a:solidFill>
                          <a:srgbClr val="ffffff"/>
                        </a:solidFill>
                        <a:miter/>
                      </a:ln>
                    </wps:spPr>
                    <wps:style>
                      <a:lnRef idx="0"/>
                      <a:fillRef idx="0"/>
                      <a:effectRef idx="0"/>
                      <a:fontRef idx="minor"/>
                    </wps:style>
                    <wps:bodyPr/>
                  </wps:wsp>
                </a:graphicData>
              </a:graphic>
            </wp:anchor>
          </w:drawing>
        </mc:Choice>
        <mc:Fallback>
          <w:pict>
            <v:rect id="shape_0" fillcolor="#bebebe" stroked="t" o:allowincell="f" style="position:absolute;margin-left:432pt;margin-top:115.2pt;width:131.95pt;height:2.7pt;mso-wrap-style:none;v-text-anchor:middle;mso-position-horizontal-relative:page;mso-position-vertical-relative:page">
              <v:fill o:detectmouseclick="t" type="solid" color2="#414141"/>
              <v:stroke color="white" weight="3240" joinstyle="miter" endcap="flat"/>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835" w:end="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BodyText"/>
    <w:qFormat/>
    <w:pPr>
      <w:keepNext w:val="true"/>
      <w:keepLines/>
      <w:numPr>
        <w:ilvl w:val="0"/>
        <w:numId w:val="1"/>
      </w:numPr>
      <w:spacing w:lineRule="atLeast" w:line="200"/>
      <w:outlineLvl w:val="0"/>
    </w:pPr>
    <w:rPr>
      <w:rFonts w:ascii="Arial" w:hAnsi="Arial" w:cs="Arial"/>
      <w:b/>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w:hAnsi="Arial" w:cs="Arial"/>
      <w:spacing w:val="-10"/>
      <w:kern w:val="2"/>
    </w:rPr>
  </w:style>
  <w:style w:type="paragraph" w:styleId="Heading3">
    <w:name w:val="heading 3"/>
    <w:basedOn w:val="Normal"/>
    <w:next w:val="BodyText"/>
    <w:qFormat/>
    <w:pPr>
      <w:keepNext w:val="true"/>
      <w:keepLines/>
      <w:numPr>
        <w:ilvl w:val="2"/>
        <w:numId w:val="1"/>
      </w:numPr>
      <w:spacing w:lineRule="atLeast" w:line="220" w:before="220" w:after="220"/>
      <w:outlineLvl w:val="2"/>
    </w:pPr>
    <w:rPr>
      <w:i/>
      <w:spacing w:val="-5"/>
      <w:kern w:val="2"/>
    </w:rPr>
  </w:style>
  <w:style w:type="paragraph" w:styleId="Heading4">
    <w:name w:val="heading 4"/>
    <w:basedOn w:val="Normal"/>
    <w:next w:val="BodyText"/>
    <w:qFormat/>
    <w:pPr>
      <w:keepNext w:val="true"/>
      <w:keepLines/>
      <w:numPr>
        <w:ilvl w:val="3"/>
        <w:numId w:val="1"/>
      </w:numPr>
      <w:spacing w:lineRule="atLeast" w:line="220"/>
      <w:outlineLvl w:val="3"/>
    </w:pPr>
    <w:rPr>
      <w:i/>
      <w:spacing w:val="-2"/>
      <w:kern w:val="2"/>
    </w:rPr>
  </w:style>
  <w:style w:type="paragraph" w:styleId="Heading5">
    <w:name w:val="heading 5"/>
    <w:basedOn w:val="Normal"/>
    <w:next w:val="BodyText"/>
    <w:qFormat/>
    <w:pPr>
      <w:keepNext w:val="true"/>
      <w:keepLines/>
      <w:numPr>
        <w:ilvl w:val="4"/>
        <w:numId w:val="1"/>
      </w:numPr>
      <w:spacing w:lineRule="atLeast" w:line="220"/>
      <w:ind w:hanging="0" w:start="1440" w:end="0"/>
      <w:outlineLvl w:val="4"/>
    </w:pPr>
    <w:rPr>
      <w:i/>
      <w:spacing w:val="-2"/>
      <w:kern w:val="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MessageHeaderLabel">
    <w:name w:val="Message Header Label"/>
    <w:qFormat/>
    <w:rPr>
      <w:rFonts w:ascii="Arial" w:hAnsi="Arial" w:cs="Arial"/>
      <w:b/>
      <w:spacing w:val="-4"/>
      <w:position w:val="0"/>
      <w:sz w:val="18"/>
      <w:sz w:val="18"/>
      <w:vertAlign w:val="baseline"/>
    </w:rPr>
  </w:style>
  <w:style w:type="character" w:styleId="PageNumber">
    <w:name w:val="page number"/>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spacing w:lineRule="atLeast" w:line="220"/>
    </w:pPr>
    <w:rPr/>
  </w:style>
  <w:style w:type="paragraph" w:styleId="CompanyName">
    <w:name w:val="Company Name"/>
    <w:basedOn w:val="Normal"/>
    <w:qFormat/>
    <w:pPr>
      <w:keepLines/>
      <w:spacing w:lineRule="atLeast" w:line="200"/>
      <w:ind w:hanging="0" w:start="0" w:end="-115"/>
    </w:pPr>
    <w:rPr>
      <w:sz w:val="16"/>
    </w:rPr>
  </w:style>
  <w:style w:type="paragraph" w:styleId="DocumentLabel">
    <w:name w:val="Document Label"/>
    <w:next w:val="Normal"/>
    <w:qFormat/>
    <w:pPr>
      <w:widowControl/>
      <w:bidi w:val="0"/>
      <w:spacing w:lineRule="atLeast" w:line="600" w:before="140" w:after="540"/>
      <w:ind w:hanging="0" w:start="840" w:end="0"/>
    </w:pPr>
    <w:rPr>
      <w:rFonts w:ascii="Times New Roman" w:hAnsi="Times New Roman" w:eastAsia="Times New Roman" w:cs="Times New Roman"/>
      <w:color w:val="auto"/>
      <w:spacing w:val="-38"/>
      <w:sz w:val="60"/>
      <w:szCs w:val="20"/>
      <w:lang w:val="en-US" w:bidi="ar-SA" w:eastAsia="zh-CN"/>
    </w:rPr>
  </w:style>
  <w:style w:type="paragraph" w:styleId="Enclosure">
    <w:name w:val="Enclosure"/>
    <w:basedOn w:val="BodyText"/>
    <w:next w:val="Normal"/>
    <w:qFormat/>
    <w:pPr>
      <w:keepLines/>
      <w:spacing w:before="220" w:after="220"/>
    </w:pPr>
    <w:rPr/>
  </w:style>
  <w:style w:type="paragraph" w:styleId="HeaderBase">
    <w:name w:val="Header Base"/>
    <w:basedOn w:val="Normal"/>
    <w:qFormat/>
    <w:pPr>
      <w:keepLines/>
      <w:tabs>
        <w:tab w:val="clear" w:pos="720"/>
        <w:tab w:val="left" w:pos="-1080" w:leader="none"/>
        <w:tab w:val="center" w:pos="4320" w:leader="none"/>
        <w:tab w:val="right" w:pos="9480" w:leader="none"/>
      </w:tabs>
      <w:ind w:hanging="0" w:start="-1080" w:end="-84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420" w:after="0"/>
      <w:ind w:hanging="0" w:start="-1080" w:end="-1080"/>
    </w:pPr>
    <w:rPr>
      <w:b/>
    </w:rPr>
  </w:style>
  <w:style w:type="paragraph" w:styleId="Header">
    <w:name w:val="header"/>
    <w:basedOn w:val="HeaderBase"/>
    <w:pPr>
      <w:ind w:hanging="0" w:start="-1080" w:end="-1080"/>
    </w:pPr>
    <w:rPr>
      <w:i/>
    </w:rPr>
  </w:style>
  <w:style w:type="paragraph" w:styleId="HeadingBase">
    <w:name w:val="Heading Base"/>
    <w:basedOn w:val="BodyText"/>
    <w:next w:val="BodyText"/>
    <w:qFormat/>
    <w:pPr>
      <w:keepNext w:val="true"/>
      <w:keepLines/>
      <w:spacing w:before="0" w:after="0"/>
    </w:pPr>
    <w:rPr>
      <w:rFonts w:ascii="Arial" w:hAnsi="Arial" w:cs="Arial"/>
      <w:spacing w:val="-10"/>
      <w:kern w:val="2"/>
      <w:sz w:val="18"/>
    </w:rPr>
  </w:style>
  <w:style w:type="paragraph" w:styleId="MessageHeader">
    <w:name w:val="Message Header"/>
    <w:basedOn w:val="BodyText"/>
    <w:qFormat/>
    <w:pPr>
      <w:keepLines/>
      <w:spacing w:lineRule="atLeast" w:line="415" w:before="0" w:after="0"/>
      <w:ind w:hanging="720" w:start="1560" w:end="0"/>
    </w:pPr>
    <w:rPr/>
  </w:style>
  <w:style w:type="paragraph" w:styleId="MessageHeaderFirst">
    <w:name w:val="Message Header First"/>
    <w:basedOn w:val="MessageHeader"/>
    <w:next w:val="MessageHeader"/>
    <w:qFormat/>
    <w:pPr/>
    <w:rPr/>
  </w:style>
  <w:style w:type="paragraph" w:styleId="MessageHeaderLast">
    <w:name w:val="Message Header Last"/>
    <w:basedOn w:val="MessageHeader"/>
    <w:next w:val="BodyText"/>
    <w:qFormat/>
    <w:pPr>
      <w:pBdr>
        <w:bottom w:val="single" w:sz="6" w:space="22" w:color="000000"/>
      </w:pBdr>
      <w:spacing w:before="0" w:after="400"/>
    </w:pPr>
    <w:rPr/>
  </w:style>
  <w:style w:type="paragraph" w:styleId="NormalIndent">
    <w:name w:val="Normal Indent"/>
    <w:basedOn w:val="Normal"/>
    <w:qFormat/>
    <w:pPr>
      <w:ind w:hanging="0" w:start="1440" w:end="0"/>
    </w:pPr>
    <w:rPr/>
  </w:style>
  <w:style w:type="paragraph" w:styleId="ReturnAddress">
    <w:name w:val="Return Address"/>
    <w:basedOn w:val="Normal"/>
    <w:qFormat/>
    <w:pPr>
      <w:keepLines/>
      <w:spacing w:lineRule="atLeast" w:line="200"/>
      <w:ind w:hanging="0" w:start="0" w:end="-120"/>
    </w:pPr>
    <w:rPr>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ind w:hanging="0" w:start="835" w:end="0"/>
    </w:pPr>
    <w:rPr/>
  </w:style>
  <w:style w:type="paragraph" w:styleId="SignatureName">
    <w:name w:val="Signature Name"/>
    <w:basedOn w:val="Signature"/>
    <w:next w:val="SignatureJobTitle"/>
    <w:qFormat/>
    <w:pPr>
      <w:spacing w:before="720" w:after="0"/>
    </w:pPr>
    <w:rPr/>
  </w:style>
  <w:style w:type="paragraph" w:styleId="Slogan">
    <w:name w:val="Slogan"/>
    <w:basedOn w:val="Normal"/>
    <w:qFormat/>
    <w:pPr>
      <w:ind w:hanging="0" w:start="0" w:end="0"/>
    </w:pPr>
    <w:rPr>
      <w:rFonts w:ascii="Impact" w:hAnsi="Impact" w:cs="Impact"/>
      <w:caps/>
      <w:color w:val="DFDFDF"/>
      <w:spacing w:val="20"/>
      <w:sz w:val="48"/>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ennfuture.org/news/news_index.htm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Contemporary Memo.dot</Template>
  <TotalTime>182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2001-04-27T17:51:00Z</dcterms:created>
  <dc:creator>tchapm2</dc:creator>
  <dc:description/>
  <dc:language>en-CA</dc:language>
  <cp:lastModifiedBy>tchapm2</cp:lastModifiedBy>
  <dcterms:modified xsi:type="dcterms:W3CDTF">2001-04-27T21:00:00Z</dcterms:modified>
  <cp:revision>4</cp:revision>
  <dc:subject/>
  <dc:title>Contemporary 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r8>1033</vt:r8>
  </property>
  <property fmtid="{D5CDD505-2E9C-101B-9397-08002B2CF9AE}" pid="3" name="UseDefaultLanguage">
    <vt:bool>1</vt:bool>
  </property>
  <property fmtid="{D5CDD505-2E9C-101B-9397-08002B2CF9AE}" pid="4" name="Version">
    <vt:r8>99022200</vt:r8>
  </property>
</Properties>
</file>