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180" w:leader="none"/>
        </w:tabs>
        <w:ind w:end="180"/>
        <w:jc w:val="center"/>
        <w:rPr>
          <w:rFonts w:ascii="Times New Roman" w:hAnsi="Times New Roman" w:cs="Times New Roman"/>
          <w:b/>
          <w:sz w:val="28"/>
        </w:rPr>
      </w:pPr>
      <w:r>
        <w:rPr>
          <w:rFonts w:cs="Times New Roman" w:ascii="Times New Roman" w:hAnsi="Times New Roman"/>
          <w:b/>
          <w:sz w:val="44"/>
        </w:rPr>
        <w:t>S</w:t>
      </w:r>
      <w:r>
        <w:rPr>
          <w:rFonts w:cs="Times New Roman" w:ascii="Times New Roman" w:hAnsi="Times New Roman"/>
          <w:b/>
          <w:sz w:val="36"/>
        </w:rPr>
        <w:t>HASHI</w:t>
      </w:r>
      <w:r>
        <w:rPr>
          <w:rFonts w:cs="Times New Roman" w:ascii="Times New Roman" w:hAnsi="Times New Roman"/>
          <w:b/>
          <w:sz w:val="28"/>
        </w:rPr>
        <w:t xml:space="preserve"> </w:t>
      </w:r>
      <w:r>
        <w:rPr>
          <w:rFonts w:cs="Times New Roman" w:ascii="Times New Roman" w:hAnsi="Times New Roman"/>
          <w:b/>
          <w:sz w:val="44"/>
        </w:rPr>
        <w:t>P</w:t>
      </w:r>
      <w:r>
        <w:rPr>
          <w:rFonts w:cs="Times New Roman" w:ascii="Times New Roman" w:hAnsi="Times New Roman"/>
          <w:b/>
          <w:sz w:val="36"/>
        </w:rPr>
        <w:t>ATEL</w:t>
      </w:r>
    </w:p>
    <w:p>
      <w:pPr>
        <w:pStyle w:val="Normal"/>
        <w:jc w:val="center"/>
        <w:rPr>
          <w:b/>
          <w:sz w:val="24"/>
          <w:u w:val="single"/>
        </w:rPr>
      </w:pPr>
      <w:r>
        <w:rPr>
          <w:b/>
          <w:sz w:val="24"/>
          <w:u w:val="single"/>
        </w:rPr>
        <w:t>________________________________________________________________________</w:t>
      </w:r>
    </w:p>
    <w:p>
      <w:pPr>
        <w:pStyle w:val="Normal"/>
        <w:jc w:val="center"/>
        <w:rPr>
          <w:rFonts w:ascii="Times New Roman" w:hAnsi="Times New Roman" w:cs="Times New Roman"/>
          <w:b/>
          <w:sz w:val="18"/>
          <w:u w:val="single"/>
        </w:rPr>
      </w:pPr>
      <w:r>
        <w:rPr>
          <w:rFonts w:cs="Times New Roman" w:ascii="Times New Roman" w:hAnsi="Times New Roman"/>
          <w:b/>
          <w:sz w:val="18"/>
          <w:u w:val="single"/>
        </w:rPr>
      </w:r>
    </w:p>
    <w:p>
      <w:pPr>
        <w:pStyle w:val="Normal"/>
        <w:jc w:val="center"/>
        <w:rPr>
          <w:rFonts w:ascii="Times New Roman" w:hAnsi="Times New Roman" w:cs="Times New Roman"/>
          <w:sz w:val="18"/>
        </w:rPr>
      </w:pPr>
      <w:r>
        <w:rPr>
          <w:rFonts w:cs="Times New Roman" w:ascii="Times New Roman" w:hAnsi="Times New Roman"/>
          <w:sz w:val="18"/>
        </w:rPr>
        <w:t>14906 Broadgreen  Drive  Houston, Texas  77079  (281) 589-9175</w:t>
      </w:r>
    </w:p>
    <w:p>
      <w:pPr>
        <w:pStyle w:val="Normal"/>
        <w:tabs>
          <w:tab w:val="clear" w:pos="720"/>
          <w:tab w:val="left" w:pos="1728" w:leader="none"/>
        </w:tabs>
        <w:ind w:hanging="1728" w:start="1728" w:end="0"/>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728" w:leader="none"/>
        </w:tabs>
        <w:ind w:hanging="1728" w:start="1728" w:end="0"/>
        <w:rPr>
          <w:rFonts w:ascii="Times New Roman" w:hAnsi="Times New Roman" w:cs="Times New Roman"/>
          <w:b/>
          <w:sz w:val="22"/>
        </w:rPr>
      </w:pPr>
      <w:r>
        <w:rPr>
          <w:rFonts w:cs="Times New Roman" w:ascii="Times New Roman" w:hAnsi="Times New Roman"/>
          <w:b/>
          <w:sz w:val="22"/>
        </w:rPr>
      </w:r>
    </w:p>
    <w:p>
      <w:pPr>
        <w:pStyle w:val="Heading1"/>
        <w:ind w:end="180"/>
        <w:rPr>
          <w:sz w:val="24"/>
        </w:rPr>
      </w:pPr>
      <w:r>
        <w:rPr>
          <w:sz w:val="24"/>
        </w:rPr>
        <w:t>SUMMARY</w:t>
      </w:r>
    </w:p>
    <w:p>
      <w:pPr>
        <w:pStyle w:val="Normal"/>
        <w:tabs>
          <w:tab w:val="clear" w:pos="720"/>
          <w:tab w:val="left" w:pos="1728" w:leader="none"/>
        </w:tabs>
        <w:ind w:hanging="1728" w:start="1728" w:end="180"/>
        <w:rPr>
          <w:rFonts w:ascii="Times New Roman" w:hAnsi="Times New Roman" w:cs="Times New Roman"/>
          <w:b/>
          <w:sz w:val="24"/>
        </w:rPr>
      </w:pPr>
      <w:r>
        <w:rPr>
          <w:rFonts w:cs="Times New Roman" w:ascii="Times New Roman" w:hAnsi="Times New Roman"/>
          <w:b/>
          <w:sz w:val="24"/>
        </w:rPr>
      </w:r>
    </w:p>
    <w:p>
      <w:pPr>
        <w:pStyle w:val="BodyText2"/>
        <w:rPr>
          <w:sz w:val="24"/>
        </w:rPr>
      </w:pPr>
      <w:r>
        <w:rPr>
          <w:sz w:val="24"/>
        </w:rPr>
        <w:t>A skilled leader with degrees in business, law, and engineering; holding fifteen plus years of broad and integrated experience with significant contributions towards developing new opportunities and executing plans to accomplish financial and strategic goals.</w:t>
      </w:r>
    </w:p>
    <w:p>
      <w:pPr>
        <w:pStyle w:val="Heading7"/>
        <w:rPr>
          <w:b w:val="false"/>
          <w:sz w:val="24"/>
        </w:rPr>
      </w:pPr>
      <w:r>
        <w:rPr>
          <w:b w:val="false"/>
          <w:sz w:val="24"/>
        </w:rPr>
      </w:r>
    </w:p>
    <w:p>
      <w:pPr>
        <w:pStyle w:val="Heading7"/>
        <w:ind w:hanging="0" w:end="180"/>
        <w:rPr>
          <w:sz w:val="24"/>
        </w:rPr>
      </w:pPr>
      <w:r>
        <w:rPr>
          <w:sz w:val="24"/>
        </w:rPr>
        <w:t xml:space="preserve">    </w:t>
      </w:r>
      <w:r>
        <w:rPr>
          <w:sz w:val="24"/>
        </w:rPr>
        <w:t>BUSINESS EXPERIENCE</w:t>
      </w:r>
    </w:p>
    <w:p>
      <w:pPr>
        <w:pStyle w:val="Normal"/>
        <w:ind w:end="180"/>
        <w:rPr>
          <w:rFonts w:ascii="Times New Roman" w:hAnsi="Times New Roman" w:cs="Times New Roman"/>
          <w:b/>
          <w:sz w:val="24"/>
        </w:rPr>
      </w:pPr>
      <w:r>
        <w:rPr>
          <w:rFonts w:cs="Times New Roman" w:ascii="Times New Roman" w:hAnsi="Times New Roman"/>
          <w:b/>
          <w:sz w:val="24"/>
        </w:rPr>
      </w:r>
    </w:p>
    <w:p>
      <w:pPr>
        <w:pStyle w:val="Normal"/>
        <w:numPr>
          <w:ilvl w:val="0"/>
          <w:numId w:val="5"/>
        </w:numPr>
        <w:ind w:hanging="360" w:start="360" w:end="180"/>
        <w:rPr>
          <w:rFonts w:ascii="Times New Roman" w:hAnsi="Times New Roman" w:cs="Times New Roman"/>
          <w:sz w:val="24"/>
        </w:rPr>
      </w:pPr>
      <w:r>
        <w:rPr>
          <w:rFonts w:cs="Times New Roman" w:ascii="Times New Roman" w:hAnsi="Times New Roman"/>
          <w:sz w:val="24"/>
        </w:rPr>
        <w:t>Private Equity investments experience for Enron with a focus on the energy and telecom markets, specifically for strategic fit, technology, e-commerce and software opportunities.</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180"/>
        <w:rPr>
          <w:rFonts w:ascii="Times New Roman" w:hAnsi="Times New Roman" w:cs="Times New Roman"/>
          <w:sz w:val="24"/>
        </w:rPr>
      </w:pPr>
      <w:r>
        <w:rPr>
          <w:rFonts w:cs="Times New Roman" w:ascii="Times New Roman" w:hAnsi="Times New Roman"/>
          <w:sz w:val="24"/>
        </w:rPr>
        <w:t xml:space="preserve">Strategic Planning and Implementation expertise </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180"/>
        <w:rPr>
          <w:rFonts w:ascii="Times New Roman" w:hAnsi="Times New Roman" w:cs="Times New Roman"/>
          <w:sz w:val="24"/>
        </w:rPr>
      </w:pPr>
      <w:r>
        <w:rPr>
          <w:rFonts w:cs="Times New Roman" w:ascii="Times New Roman" w:hAnsi="Times New Roman"/>
          <w:sz w:val="24"/>
        </w:rPr>
        <w:t>Domestic and International business experience</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180"/>
        <w:rPr>
          <w:rFonts w:ascii="Times New Roman" w:hAnsi="Times New Roman" w:cs="Times New Roman"/>
          <w:sz w:val="24"/>
        </w:rPr>
      </w:pPr>
      <w:r>
        <w:rPr>
          <w:rFonts w:cs="Times New Roman" w:ascii="Times New Roman" w:hAnsi="Times New Roman"/>
          <w:sz w:val="24"/>
        </w:rPr>
        <w:t>M&amp;A</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270"/>
        <w:rPr>
          <w:rFonts w:ascii="Times New Roman" w:hAnsi="Times New Roman" w:cs="Times New Roman"/>
          <w:sz w:val="24"/>
        </w:rPr>
      </w:pPr>
      <w:r>
        <w:rPr>
          <w:rFonts w:cs="Times New Roman" w:ascii="Times New Roman" w:hAnsi="Times New Roman"/>
          <w:sz w:val="24"/>
        </w:rPr>
        <w:t>Led commercial, technical, legal teams for negotiated and competitive bid ventures</w:t>
      </w:r>
    </w:p>
    <w:p>
      <w:pPr>
        <w:pStyle w:val="Normal"/>
        <w:ind w:end="27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270"/>
        <w:rPr>
          <w:rFonts w:ascii="Times New Roman" w:hAnsi="Times New Roman" w:cs="Times New Roman"/>
          <w:sz w:val="24"/>
        </w:rPr>
      </w:pPr>
      <w:r>
        <w:rPr>
          <w:rFonts w:cs="Times New Roman" w:ascii="Times New Roman" w:hAnsi="Times New Roman"/>
          <w:sz w:val="24"/>
        </w:rPr>
        <w:t>Created significant value through transactions</w:t>
      </w:r>
    </w:p>
    <w:p>
      <w:pPr>
        <w:pStyle w:val="Normal"/>
        <w:ind w:end="27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270"/>
        <w:rPr>
          <w:rFonts w:ascii="Times New Roman" w:hAnsi="Times New Roman" w:cs="Times New Roman"/>
          <w:sz w:val="24"/>
        </w:rPr>
      </w:pPr>
      <w:r>
        <w:rPr>
          <w:rFonts w:cs="Times New Roman" w:ascii="Times New Roman" w:hAnsi="Times New Roman"/>
          <w:sz w:val="24"/>
        </w:rPr>
        <w:t>Integrated new businesses</w:t>
      </w:r>
    </w:p>
    <w:p>
      <w:pPr>
        <w:pStyle w:val="Normal"/>
        <w:ind w:firstLine="60" w:end="18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180"/>
        <w:rPr>
          <w:rFonts w:ascii="Times New Roman" w:hAnsi="Times New Roman" w:cs="Times New Roman"/>
          <w:sz w:val="24"/>
        </w:rPr>
      </w:pPr>
      <w:r>
        <w:rPr>
          <w:rFonts w:cs="Times New Roman" w:ascii="Times New Roman" w:hAnsi="Times New Roman"/>
          <w:sz w:val="24"/>
        </w:rPr>
        <w:t>Managed and fostered both business and technical staff</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9"/>
        </w:numPr>
        <w:ind w:hanging="360" w:start="360" w:end="180"/>
        <w:rPr>
          <w:rFonts w:ascii="Times New Roman" w:hAnsi="Times New Roman" w:cs="Times New Roman"/>
          <w:sz w:val="24"/>
        </w:rPr>
      </w:pPr>
      <w:r>
        <w:rPr>
          <w:rFonts w:cs="Times New Roman" w:ascii="Times New Roman" w:hAnsi="Times New Roman"/>
          <w:sz w:val="24"/>
        </w:rPr>
        <w:t>Negotiated large contracts</w:t>
      </w:r>
    </w:p>
    <w:p>
      <w:pPr>
        <w:pStyle w:val="Normal"/>
        <w:ind w:end="180"/>
        <w:rPr>
          <w:rFonts w:ascii="Times New Roman" w:hAnsi="Times New Roman" w:cs="Times New Roman"/>
          <w:b/>
          <w:sz w:val="24"/>
        </w:rPr>
      </w:pPr>
      <w:r>
        <w:rPr>
          <w:rFonts w:cs="Times New Roman" w:ascii="Times New Roman" w:hAnsi="Times New Roman"/>
          <w:b/>
          <w:sz w:val="24"/>
        </w:rPr>
      </w:r>
    </w:p>
    <w:p>
      <w:pPr>
        <w:pStyle w:val="Heading7"/>
        <w:ind w:hanging="0" w:end="180"/>
        <w:rPr>
          <w:sz w:val="24"/>
        </w:rPr>
      </w:pPr>
      <w:r>
        <w:rPr>
          <w:sz w:val="24"/>
        </w:rPr>
        <w:t>TECHNICAL EXPERIENCE</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6"/>
        </w:numPr>
        <w:ind w:hanging="360" w:start="360" w:end="180"/>
        <w:rPr>
          <w:rFonts w:ascii="Times New Roman" w:hAnsi="Times New Roman" w:cs="Times New Roman"/>
          <w:sz w:val="24"/>
        </w:rPr>
      </w:pPr>
      <w:r>
        <w:rPr>
          <w:rFonts w:cs="Times New Roman" w:ascii="Times New Roman" w:hAnsi="Times New Roman"/>
          <w:sz w:val="24"/>
        </w:rPr>
        <w:t>Information flow analysis of large enterprise systems and software</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6"/>
        </w:numPr>
        <w:ind w:hanging="360" w:start="360" w:end="180"/>
        <w:rPr>
          <w:rFonts w:ascii="Times New Roman" w:hAnsi="Times New Roman" w:cs="Times New Roman"/>
          <w:sz w:val="24"/>
        </w:rPr>
      </w:pPr>
      <w:r>
        <w:rPr>
          <w:rFonts w:cs="Times New Roman" w:ascii="Times New Roman" w:hAnsi="Times New Roman"/>
          <w:sz w:val="24"/>
        </w:rPr>
        <w:t>High tech equipment and industrial purchase evaluations</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6"/>
        </w:numPr>
        <w:ind w:hanging="360" w:start="360" w:end="180"/>
        <w:rPr>
          <w:rFonts w:ascii="Times New Roman" w:hAnsi="Times New Roman" w:cs="Times New Roman"/>
          <w:sz w:val="24"/>
        </w:rPr>
      </w:pPr>
      <w:r>
        <w:rPr>
          <w:rFonts w:cs="Times New Roman" w:ascii="Times New Roman" w:hAnsi="Times New Roman"/>
          <w:sz w:val="24"/>
        </w:rPr>
        <w:t>Complex specifications development</w:t>
      </w:r>
    </w:p>
    <w:p>
      <w:pPr>
        <w:pStyle w:val="Normal"/>
        <w:ind w:end="180"/>
        <w:rPr>
          <w:rFonts w:ascii="Times New Roman" w:hAnsi="Times New Roman" w:cs="Times New Roman"/>
          <w:sz w:val="24"/>
        </w:rPr>
      </w:pPr>
      <w:r>
        <w:rPr>
          <w:rFonts w:cs="Times New Roman" w:ascii="Times New Roman" w:hAnsi="Times New Roman"/>
          <w:sz w:val="24"/>
        </w:rPr>
      </w:r>
    </w:p>
    <w:p>
      <w:pPr>
        <w:pStyle w:val="Normal"/>
        <w:numPr>
          <w:ilvl w:val="0"/>
          <w:numId w:val="6"/>
        </w:numPr>
        <w:ind w:hanging="360" w:start="360" w:end="180"/>
        <w:rPr>
          <w:rFonts w:ascii="Times New Roman" w:hAnsi="Times New Roman" w:cs="Times New Roman"/>
          <w:sz w:val="24"/>
        </w:rPr>
      </w:pPr>
      <w:r>
        <w:rPr>
          <w:rFonts w:cs="Times New Roman" w:ascii="Times New Roman" w:hAnsi="Times New Roman"/>
          <w:sz w:val="24"/>
        </w:rPr>
        <w:t xml:space="preserve">Engineering, purchasing, and installation of industrial plants, pipelines and related systems </w:t>
      </w:r>
    </w:p>
    <w:p>
      <w:pPr>
        <w:pStyle w:val="Normal"/>
        <w:ind w:end="180"/>
        <w:rPr>
          <w:rFonts w:ascii="Times New Roman" w:hAnsi="Times New Roman" w:cs="Times New Roman"/>
          <w:sz w:val="24"/>
        </w:rPr>
      </w:pPr>
      <w:r>
        <w:rPr>
          <w:rFonts w:cs="Times New Roman" w:ascii="Times New Roman" w:hAnsi="Times New Roman"/>
          <w:sz w:val="24"/>
        </w:rPr>
      </w:r>
    </w:p>
    <w:p>
      <w:pPr>
        <w:pStyle w:val="Normal"/>
        <w:ind w:end="180"/>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b/>
          <w:sz w:val="24"/>
          <w:u w:val="single"/>
        </w:rPr>
        <w:t>______________________________________________________________________________</w:t>
      </w:r>
    </w:p>
    <w:p>
      <w:pPr>
        <w:pStyle w:val="Normal"/>
        <w:tabs>
          <w:tab w:val="clear" w:pos="720"/>
          <w:tab w:val="left" w:pos="432" w:leader="none"/>
        </w:tabs>
        <w:ind w:end="900"/>
        <w:rPr>
          <w:rFonts w:ascii="Times New Roman" w:hAnsi="Times New Roman" w:cs="Times New Roman"/>
          <w:b/>
          <w:sz w:val="24"/>
        </w:rPr>
      </w:pPr>
      <w:r>
        <w:rPr>
          <w:rFonts w:cs="Times New Roman" w:ascii="Times New Roman" w:hAnsi="Times New Roman"/>
          <w:b/>
          <w:sz w:val="24"/>
        </w:rPr>
      </w:r>
    </w:p>
    <w:p>
      <w:pPr>
        <w:pStyle w:val="Heading6"/>
        <w:ind w:start="3600" w:end="900"/>
        <w:rPr>
          <w:b w:val="false"/>
          <w:sz w:val="24"/>
        </w:rPr>
      </w:pPr>
      <w:r>
        <w:rPr>
          <w:sz w:val="24"/>
        </w:rPr>
        <w:t>EXPERIENCE</w:t>
      </w:r>
    </w:p>
    <w:p>
      <w:pPr>
        <w:pStyle w:val="Normal"/>
        <w:tabs>
          <w:tab w:val="clear" w:pos="720"/>
          <w:tab w:val="left" w:pos="432" w:leader="none"/>
        </w:tabs>
        <w:ind w:end="900"/>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530" w:leader="none"/>
        </w:tabs>
        <w:jc w:val="both"/>
        <w:rPr>
          <w:rFonts w:ascii="Times New Roman" w:hAnsi="Times New Roman" w:cs="Times New Roman"/>
          <w:sz w:val="22"/>
        </w:rPr>
      </w:pPr>
      <w:r>
        <w:rPr>
          <w:rFonts w:cs="Times New Roman" w:ascii="Times New Roman" w:hAnsi="Times New Roman"/>
          <w:sz w:val="22"/>
        </w:rPr>
        <w:t>ENRON, 1995 –2001 Director, Strategic Development, Equity Investments, Business Development</w:t>
      </w:r>
    </w:p>
    <w:p>
      <w:pPr>
        <w:pStyle w:val="Normal"/>
        <w:numPr>
          <w:ilvl w:val="0"/>
          <w:numId w:val="3"/>
        </w:numPr>
        <w:tabs>
          <w:tab w:val="clear" w:pos="720"/>
          <w:tab w:val="left" w:pos="1530" w:leader="none"/>
        </w:tabs>
        <w:jc w:val="both"/>
        <w:rPr>
          <w:rFonts w:ascii="Times New Roman" w:hAnsi="Times New Roman" w:cs="Times New Roman"/>
          <w:sz w:val="22"/>
        </w:rPr>
      </w:pPr>
      <w:r>
        <w:rPr>
          <w:rFonts w:cs="Times New Roman" w:ascii="Times New Roman" w:hAnsi="Times New Roman"/>
          <w:sz w:val="22"/>
        </w:rPr>
        <w:t>Evaluated, negotiated and closed private equity investments in the energy and telecom vertical industries, yielding over $250MM in gains.  Focus was on e-commerce, software, and new technology.</w:t>
      </w:r>
    </w:p>
    <w:p>
      <w:pPr>
        <w:pStyle w:val="Normal"/>
        <w:numPr>
          <w:ilvl w:val="0"/>
          <w:numId w:val="3"/>
        </w:numPr>
        <w:tabs>
          <w:tab w:val="clear" w:pos="720"/>
          <w:tab w:val="left" w:pos="1530" w:leader="none"/>
        </w:tabs>
        <w:jc w:val="both"/>
        <w:rPr>
          <w:rFonts w:ascii="Times New Roman" w:hAnsi="Times New Roman" w:cs="Times New Roman"/>
          <w:sz w:val="22"/>
        </w:rPr>
      </w:pPr>
      <w:r>
        <w:rPr>
          <w:rFonts w:cs="Times New Roman" w:ascii="Times New Roman" w:hAnsi="Times New Roman"/>
          <w:sz w:val="22"/>
        </w:rPr>
        <w:t>Managed investment portfolio companies to develop business with Enron and partners.</w:t>
      </w:r>
    </w:p>
    <w:p>
      <w:pPr>
        <w:pStyle w:val="Normal"/>
        <w:numPr>
          <w:ilvl w:val="0"/>
          <w:numId w:val="7"/>
        </w:numPr>
        <w:tabs>
          <w:tab w:val="clear" w:pos="720"/>
          <w:tab w:val="left" w:pos="1530" w:leader="none"/>
        </w:tabs>
        <w:jc w:val="both"/>
        <w:rPr>
          <w:rFonts w:ascii="Times New Roman" w:hAnsi="Times New Roman" w:cs="Times New Roman"/>
          <w:sz w:val="22"/>
        </w:rPr>
      </w:pPr>
      <w:r>
        <w:rPr>
          <w:rFonts w:cs="Times New Roman" w:ascii="Times New Roman" w:hAnsi="Times New Roman"/>
          <w:sz w:val="22"/>
        </w:rPr>
        <w:t>Originated opportunities for new business lines, which included mergers and acquisitions.  Projected revenues exceeded $250MM/yr. Quick response taken for market opportunities. Currently pursuing business through contractual arrangements with major nationally known firms.</w:t>
      </w:r>
    </w:p>
    <w:p>
      <w:pPr>
        <w:pStyle w:val="Normal"/>
        <w:numPr>
          <w:ilvl w:val="0"/>
          <w:numId w:val="8"/>
        </w:numPr>
        <w:tabs>
          <w:tab w:val="clear" w:pos="720"/>
          <w:tab w:val="left" w:pos="1530" w:leader="none"/>
        </w:tabs>
        <w:jc w:val="both"/>
        <w:rPr>
          <w:rFonts w:ascii="Times New Roman" w:hAnsi="Times New Roman" w:cs="Times New Roman"/>
          <w:sz w:val="22"/>
        </w:rPr>
      </w:pPr>
      <w:r>
        <w:rPr>
          <w:rFonts w:cs="Times New Roman" w:ascii="Times New Roman" w:hAnsi="Times New Roman"/>
          <w:sz w:val="22"/>
        </w:rPr>
        <w:t>Responsible to develop and execute an international business plan (Mid/Far East), which includes acquisitions, joint ventures, competitive bidding, and alliances in the power, pipeline, process and telecom industries. Work closely with treasury, finance entities, equity, operations, and the construction functions of Enron.  Accomplishments include originating $2 Billion in opportunities.</w:t>
      </w:r>
    </w:p>
    <w:p>
      <w:pPr>
        <w:pStyle w:val="Normal"/>
        <w:numPr>
          <w:ilvl w:val="0"/>
          <w:numId w:val="11"/>
        </w:numPr>
        <w:tabs>
          <w:tab w:val="clear" w:pos="720"/>
          <w:tab w:val="left" w:pos="432" w:leader="none"/>
        </w:tabs>
        <w:jc w:val="both"/>
        <w:rPr>
          <w:rFonts w:ascii="Times New Roman" w:hAnsi="Times New Roman" w:cs="Times New Roman"/>
          <w:sz w:val="22"/>
        </w:rPr>
      </w:pPr>
      <w:r>
        <w:rPr>
          <w:rFonts w:cs="Times New Roman" w:ascii="Times New Roman" w:hAnsi="Times New Roman"/>
          <w:sz w:val="22"/>
        </w:rPr>
        <w:t xml:space="preserve">For international projects, developed and negotiated in a lead position turnkey contracts, joint venture agreements, and term-sheets.  Assisted in the development of economic models. Developed studies, produced venture development documents including secrecy agreements, binding and non-binding memorandums; and further government development and fiscal agreements. </w:t>
      </w:r>
    </w:p>
    <w:p>
      <w:pPr>
        <w:pStyle w:val="Normal"/>
        <w:tabs>
          <w:tab w:val="clear" w:pos="720"/>
          <w:tab w:val="left" w:pos="1584" w:leader="none"/>
          <w:tab w:val="left" w:pos="6912"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584" w:leader="none"/>
          <w:tab w:val="left" w:pos="6912" w:leader="none"/>
        </w:tabs>
        <w:jc w:val="both"/>
        <w:rPr>
          <w:rFonts w:ascii="Times New Roman" w:hAnsi="Times New Roman" w:cs="Times New Roman"/>
          <w:sz w:val="22"/>
        </w:rPr>
      </w:pPr>
      <w:r>
        <w:rPr>
          <w:rFonts w:cs="Times New Roman" w:ascii="Times New Roman" w:hAnsi="Times New Roman"/>
          <w:sz w:val="22"/>
        </w:rPr>
        <w:t>M.W. KELLOGG COMPANY, 1989-94; Engineer/Analyst, Project Engineering Manager</w:t>
      </w:r>
    </w:p>
    <w:p>
      <w:pPr>
        <w:pStyle w:val="Normal"/>
        <w:tabs>
          <w:tab w:val="clear" w:pos="720"/>
          <w:tab w:val="left" w:pos="2160" w:leader="none"/>
          <w:tab w:val="left" w:pos="6912"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tabs>
          <w:tab w:val="clear" w:pos="720"/>
          <w:tab w:val="left" w:pos="360" w:leader="none"/>
          <w:tab w:val="left" w:pos="6912" w:leader="none"/>
        </w:tabs>
        <w:jc w:val="both"/>
        <w:rPr>
          <w:rFonts w:ascii="Times New Roman" w:hAnsi="Times New Roman" w:cs="Times New Roman"/>
          <w:sz w:val="22"/>
        </w:rPr>
      </w:pPr>
      <w:r>
        <w:rPr>
          <w:rFonts w:cs="Times New Roman" w:ascii="Times New Roman" w:hAnsi="Times New Roman"/>
          <w:sz w:val="22"/>
        </w:rPr>
        <w:t xml:space="preserve">Developed the Business and Strategy Plan with implementation plans for new opportunities. </w:t>
      </w:r>
    </w:p>
    <w:p>
      <w:pPr>
        <w:pStyle w:val="Normal"/>
        <w:numPr>
          <w:ilvl w:val="0"/>
          <w:numId w:val="2"/>
        </w:numPr>
        <w:tabs>
          <w:tab w:val="clear" w:pos="720"/>
          <w:tab w:val="left" w:pos="2160" w:leader="none"/>
          <w:tab w:val="left" w:pos="6912" w:leader="none"/>
        </w:tabs>
        <w:jc w:val="both"/>
        <w:rPr>
          <w:rFonts w:ascii="Times New Roman" w:hAnsi="Times New Roman" w:cs="Times New Roman"/>
          <w:sz w:val="22"/>
        </w:rPr>
      </w:pPr>
      <w:r>
        <w:rPr>
          <w:rFonts w:cs="Times New Roman" w:ascii="Times New Roman" w:hAnsi="Times New Roman"/>
          <w:sz w:val="22"/>
        </w:rPr>
        <w:t>Engineering Work Process development work included computer modeling of the major engineering information flows (for $2B+/yr business), cost/benefit analysis for computer/ workstation upgrades, coordination of and reporting of other strategic development projects totaling over $15MM.  Managed the upgrade of all technical procedure manuals for work worldwide (2000 employees) to comply with ISO 9001.  Serviced patents with in partner law firm.</w:t>
      </w:r>
    </w:p>
    <w:p>
      <w:pPr>
        <w:pStyle w:val="Normal"/>
        <w:numPr>
          <w:ilvl w:val="0"/>
          <w:numId w:val="4"/>
        </w:numPr>
        <w:tabs>
          <w:tab w:val="clear" w:pos="720"/>
          <w:tab w:val="left" w:pos="2160" w:leader="none"/>
          <w:tab w:val="left" w:pos="6912" w:leader="none"/>
        </w:tabs>
        <w:jc w:val="both"/>
        <w:rPr>
          <w:rFonts w:ascii="Times New Roman" w:hAnsi="Times New Roman" w:cs="Times New Roman"/>
          <w:sz w:val="22"/>
        </w:rPr>
      </w:pPr>
      <w:r>
        <w:rPr>
          <w:rFonts w:cs="Times New Roman" w:ascii="Times New Roman" w:hAnsi="Times New Roman"/>
          <w:sz w:val="22"/>
        </w:rPr>
        <w:t xml:space="preserve">Responsible for engineering a $100MM paraxylene project supervising a 70 engineer team, coordinated an area engineering package for a large ($1B) facility in S. America, co-developed the technical specifications of  $2B proposal. </w:t>
      </w:r>
    </w:p>
    <w:p>
      <w:pPr>
        <w:pStyle w:val="Normal"/>
        <w:tabs>
          <w:tab w:val="clear" w:pos="720"/>
          <w:tab w:val="left" w:pos="2160" w:leader="none"/>
          <w:tab w:val="left" w:pos="6912" w:leader="none"/>
        </w:tabs>
        <w:jc w:val="both"/>
        <w:rPr>
          <w:rFonts w:ascii="Times New Roman" w:hAnsi="Times New Roman" w:cs="Times New Roman"/>
          <w:sz w:val="22"/>
        </w:rPr>
      </w:pPr>
      <w:r>
        <w:rPr>
          <w:rFonts w:cs="Times New Roman" w:ascii="Times New Roman" w:hAnsi="Times New Roman"/>
          <w:sz w:val="22"/>
        </w:rPr>
      </w:r>
    </w:p>
    <w:p>
      <w:pPr>
        <w:pStyle w:val="BodyText"/>
        <w:ind w:end="0"/>
        <w:rPr/>
      </w:pPr>
      <w:r>
        <w:rPr/>
        <w:t>RENDLEMAN COMPANY, 1985-87, Project Engineer - Supervised technical and field personnel in medium size projects for process and pipeline.</w:t>
      </w:r>
    </w:p>
    <w:p>
      <w:pPr>
        <w:pStyle w:val="Normal"/>
        <w:tabs>
          <w:tab w:val="clear" w:pos="720"/>
          <w:tab w:val="left" w:pos="2160" w:leader="none"/>
          <w:tab w:val="left" w:pos="6912"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584" w:leader="none"/>
          <w:tab w:val="left" w:pos="6912" w:leader="none"/>
        </w:tabs>
        <w:jc w:val="both"/>
        <w:rPr>
          <w:rFonts w:ascii="Times New Roman" w:hAnsi="Times New Roman" w:cs="Times New Roman"/>
          <w:sz w:val="22"/>
        </w:rPr>
      </w:pPr>
      <w:r>
        <w:rPr>
          <w:rFonts w:cs="Times New Roman" w:ascii="Times New Roman" w:hAnsi="Times New Roman"/>
          <w:sz w:val="22"/>
        </w:rPr>
        <w:t>CONOCO Inc., 1984, Engineer - Performed engineering design and field supervision of capital projects for five natural gas liquids plants, pipelines, and gas gathering systems.</w:t>
      </w:r>
    </w:p>
    <w:p>
      <w:pPr>
        <w:pStyle w:val="Normal"/>
        <w:ind w:end="900"/>
        <w:jc w:val="both"/>
        <w:rPr>
          <w:rFonts w:ascii="Times New Roman" w:hAnsi="Times New Roman" w:cs="Times New Roman"/>
          <w:sz w:val="22"/>
        </w:rPr>
      </w:pPr>
      <w:r>
        <w:rPr>
          <w:rFonts w:cs="Times New Roman" w:ascii="Times New Roman" w:hAnsi="Times New Roman"/>
          <w:sz w:val="22"/>
        </w:rPr>
      </w:r>
    </w:p>
    <w:p>
      <w:pPr>
        <w:pStyle w:val="Heading4"/>
        <w:ind w:firstLine="720" w:start="2880" w:end="900"/>
        <w:rPr/>
      </w:pPr>
      <w:r>
        <w:rPr/>
        <w:t>EDUCATION</w:t>
      </w:r>
    </w:p>
    <w:p>
      <w:pPr>
        <w:pStyle w:val="Normal"/>
        <w:tabs>
          <w:tab w:val="clear" w:pos="720"/>
          <w:tab w:val="left" w:pos="90" w:leader="none"/>
        </w:tabs>
        <w:ind w:start="432" w:end="90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 w:leader="none"/>
          <w:tab w:val="left" w:pos="864" w:leader="none"/>
        </w:tabs>
        <w:ind w:hanging="342" w:start="432" w:end="900"/>
        <w:jc w:val="both"/>
        <w:rPr>
          <w:rFonts w:ascii="Times New Roman" w:hAnsi="Times New Roman" w:cs="Times New Roman"/>
          <w:b/>
          <w:sz w:val="22"/>
        </w:rPr>
      </w:pPr>
      <w:r>
        <w:rPr>
          <w:rFonts w:cs="Times New Roman" w:ascii="Times New Roman" w:hAnsi="Times New Roman"/>
          <w:b/>
          <w:sz w:val="22"/>
        </w:rPr>
        <w:t xml:space="preserve">M.B.A.  </w:t>
      </w:r>
      <w:r>
        <w:rPr>
          <w:rFonts w:cs="Times New Roman" w:ascii="Times New Roman" w:hAnsi="Times New Roman"/>
          <w:sz w:val="22"/>
        </w:rPr>
        <w:t xml:space="preserve"> University of Houston, 1989.  Dean's Award for Academic Excellence.</w:t>
      </w:r>
    </w:p>
    <w:p>
      <w:pPr>
        <w:pStyle w:val="Normal"/>
        <w:tabs>
          <w:tab w:val="clear" w:pos="720"/>
          <w:tab w:val="left" w:pos="90" w:leader="none"/>
        </w:tabs>
        <w:ind w:hanging="342" w:start="432" w:end="900"/>
        <w:jc w:val="both"/>
        <w:rPr>
          <w:rFonts w:ascii="Times New Roman" w:hAnsi="Times New Roman" w:cs="Times New Roman"/>
          <w:sz w:val="22"/>
        </w:rPr>
      </w:pPr>
      <w:r>
        <w:rPr>
          <w:rFonts w:cs="Times New Roman" w:ascii="Times New Roman" w:hAnsi="Times New Roman"/>
          <w:b/>
          <w:sz w:val="22"/>
        </w:rPr>
        <w:t xml:space="preserve">J.D.   </w:t>
      </w:r>
      <w:r>
        <w:rPr>
          <w:rFonts w:cs="Times New Roman" w:ascii="Times New Roman" w:hAnsi="Times New Roman"/>
          <w:sz w:val="22"/>
        </w:rPr>
        <w:t>South Texas College of Law, 1993;</w:t>
      </w:r>
      <w:r>
        <w:rPr>
          <w:rFonts w:cs="Times New Roman" w:ascii="Times New Roman" w:hAnsi="Times New Roman"/>
          <w:b/>
          <w:sz w:val="22"/>
        </w:rPr>
        <w:t xml:space="preserve"> </w:t>
      </w:r>
      <w:r>
        <w:rPr>
          <w:rFonts w:cs="Times New Roman" w:ascii="Times New Roman" w:hAnsi="Times New Roman"/>
          <w:sz w:val="22"/>
        </w:rPr>
        <w:t>Licensed Attorney</w:t>
      </w:r>
      <w:r>
        <w:rPr>
          <w:rFonts w:cs="Times New Roman" w:ascii="Times New Roman" w:hAnsi="Times New Roman"/>
          <w:b/>
          <w:sz w:val="22"/>
        </w:rPr>
        <w:t>.</w:t>
      </w:r>
    </w:p>
    <w:p>
      <w:pPr>
        <w:pStyle w:val="Normal"/>
        <w:tabs>
          <w:tab w:val="clear" w:pos="720"/>
          <w:tab w:val="left" w:pos="900" w:leader="none"/>
        </w:tabs>
        <w:ind w:hanging="342" w:start="432" w:end="900"/>
        <w:jc w:val="both"/>
        <w:rPr/>
      </w:pPr>
      <w:r>
        <w:rPr>
          <w:rFonts w:cs="Times New Roman" w:ascii="Times New Roman" w:hAnsi="Times New Roman"/>
          <w:b/>
          <w:sz w:val="22"/>
        </w:rPr>
        <w:t>B.S. Chem. Engr.</w:t>
      </w:r>
      <w:r>
        <w:rPr>
          <w:rFonts w:cs="Times New Roman" w:ascii="Times New Roman" w:hAnsi="Times New Roman"/>
          <w:sz w:val="22"/>
        </w:rPr>
        <w:t xml:space="preserve"> University of Houston, 1983. Honors Program; Licensed Professional Engineer. </w:t>
      </w:r>
    </w:p>
    <w:p>
      <w:pPr>
        <w:pStyle w:val="Normal"/>
        <w:tabs>
          <w:tab w:val="clear" w:pos="720"/>
          <w:tab w:val="left" w:pos="900" w:leader="none"/>
        </w:tabs>
        <w:ind w:hanging="342" w:start="432" w:end="900"/>
        <w:jc w:val="both"/>
        <w:rPr>
          <w:rFonts w:ascii="Times New Roman" w:hAnsi="Times New Roman" w:cs="Times New Roman"/>
          <w:b/>
          <w:sz w:val="22"/>
        </w:rPr>
      </w:pPr>
      <w:r>
        <w:rPr>
          <w:rFonts w:cs="Times New Roman" w:ascii="Times New Roman" w:hAnsi="Times New Roman"/>
          <w:b/>
          <w:sz w:val="22"/>
        </w:rPr>
        <w:tab/>
        <w:tab/>
        <w:tab/>
      </w:r>
    </w:p>
    <w:sectPr>
      <w:headerReference w:type="default" r:id="rId2"/>
      <w:footerReference w:type="default" r:id="rId3"/>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sz w:val="24"/>
        <w:u w:val="single"/>
      </w:rPr>
      <w:t>________________________________________________________________________</w:t>
    </w:r>
  </w:p>
  <w:p>
    <w:pPr>
      <w:pStyle w:val="Normal"/>
      <w:jc w:val="center"/>
      <w:rPr>
        <w:rFonts w:ascii="Times New Roman" w:hAnsi="Times New Roman" w:cs="Times New Roman"/>
        <w:b/>
        <w:sz w:val="18"/>
        <w:u w:val="single"/>
      </w:rPr>
    </w:pPr>
    <w:r>
      <w:rPr>
        <w:rFonts w:cs="Times New Roman" w:ascii="Times New Roman" w:hAnsi="Times New Roman"/>
        <w:b/>
        <w:sz w:val="18"/>
        <w:u w:val="single"/>
      </w:rPr>
    </w:r>
  </w:p>
  <w:p>
    <w:pPr>
      <w:pStyle w:val="Footer"/>
      <w:rPr>
        <w:rFonts w:ascii="Times New Roman" w:hAnsi="Times New Roman" w:cs="Times New Roman"/>
        <w:sz w:val="18"/>
      </w:rPr>
    </w:pPr>
    <w:r>
      <w:rPr>
        <w:rFonts w:cs="Times New Roman" w:ascii="Times New Roman" w:hAnsi="Times New Roman"/>
        <w:sz w:val="18"/>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 xml:space="preserve">CONFIDENTIAL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728" w:leader="none"/>
      </w:tabs>
      <w:ind w:hanging="1728" w:start="1728" w:end="0"/>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ind w:hanging="0" w:start="0" w:end="900"/>
      <w:jc w:val="center"/>
      <w:outlineLvl w:val="1"/>
    </w:pPr>
    <w:rPr>
      <w:rFonts w:ascii="Times New Roman" w:hAnsi="Times New Roman" w:cs="Times New Roman"/>
      <w:b/>
      <w:sz w:val="22"/>
    </w:rPr>
  </w:style>
  <w:style w:type="paragraph" w:styleId="Heading3">
    <w:name w:val="heading 3"/>
    <w:basedOn w:val="Normal"/>
    <w:next w:val="Normal"/>
    <w:qFormat/>
    <w:pPr>
      <w:keepNext w:val="true"/>
      <w:numPr>
        <w:ilvl w:val="2"/>
        <w:numId w:val="1"/>
      </w:numPr>
      <w:tabs>
        <w:tab w:val="clear" w:pos="720"/>
        <w:tab w:val="left" w:pos="432" w:leader="none"/>
      </w:tabs>
      <w:ind w:hanging="0" w:start="432" w:end="900"/>
      <w:jc w:val="both"/>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ind w:hanging="0" w:start="0" w:end="900"/>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1530" w:leader="none"/>
      </w:tabs>
      <w:ind w:hanging="0" w:start="0" w:end="900"/>
      <w:jc w:val="both"/>
      <w:outlineLvl w:val="4"/>
    </w:pPr>
    <w:rPr>
      <w:rFonts w:ascii="Times New Roman" w:hAnsi="Times New Roman" w:cs="Times New Roman"/>
      <w:sz w:val="24"/>
    </w:rPr>
  </w:style>
  <w:style w:type="paragraph" w:styleId="Heading6">
    <w:name w:val="heading 6"/>
    <w:basedOn w:val="Normal"/>
    <w:next w:val="Normal"/>
    <w:qFormat/>
    <w:pPr>
      <w:keepNext w:val="true"/>
      <w:numPr>
        <w:ilvl w:val="5"/>
        <w:numId w:val="1"/>
      </w:numPr>
      <w:ind w:hanging="0" w:start="0" w:end="900"/>
      <w:outlineLvl w:val="5"/>
    </w:pPr>
    <w:rPr>
      <w:rFonts w:ascii="Times New Roman" w:hAnsi="Times New Roman" w:cs="Times New Roman"/>
      <w:b/>
      <w:sz w:val="22"/>
    </w:rPr>
  </w:style>
  <w:style w:type="paragraph" w:styleId="Heading7">
    <w:name w:val="heading 7"/>
    <w:basedOn w:val="Normal"/>
    <w:next w:val="Normal"/>
    <w:qFormat/>
    <w:pPr>
      <w:keepNext w:val="true"/>
      <w:numPr>
        <w:ilvl w:val="6"/>
        <w:numId w:val="1"/>
      </w:numPr>
      <w:ind w:firstLine="720" w:start="2880" w:end="180"/>
      <w:outlineLvl w:val="6"/>
    </w:pPr>
    <w:rPr>
      <w:rFonts w:ascii="Times New Roman" w:hAnsi="Times New Roman" w:cs="Times New Roman"/>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584" w:leader="none"/>
        <w:tab w:val="left" w:pos="6912" w:leader="none"/>
      </w:tabs>
      <w:ind w:hanging="0" w:start="0" w:end="90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360" w:end="450"/>
    </w:pPr>
    <w:rPr>
      <w:rFonts w:ascii="Times New Roman" w:hAnsi="Times New Roman" w:cs="Times New Roman"/>
      <w:sz w:val="24"/>
    </w:rPr>
  </w:style>
  <w:style w:type="paragraph" w:styleId="BodyText2">
    <w:name w:val="Body Text 2"/>
    <w:basedOn w:val="Normal"/>
    <w:qFormat/>
    <w:pPr>
      <w:tabs>
        <w:tab w:val="clear" w:pos="720"/>
        <w:tab w:val="left" w:pos="0" w:leader="none"/>
      </w:tabs>
      <w:ind w:hanging="0" w:start="0" w:end="18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2001-02-12T19:33:00Z</dcterms:created>
  <dc:creator>bob williams</dc:creator>
  <dc:description/>
  <dc:language>en-CA</dc:language>
  <cp:lastModifiedBy>spatel</cp:lastModifiedBy>
  <cp:lastPrinted>1998-12-09T07:19:00Z</cp:lastPrinted>
  <dcterms:modified xsi:type="dcterms:W3CDTF">2001-02-12T19:33:00Z</dcterms:modified>
  <cp:revision>2</cp:revision>
  <dc:subject/>
  <dc:title>SHASHIPATEL</dc:title>
</cp:coreProperties>
</file>