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sz w:val="23"/>
        </w:rPr>
      </w:pPr>
      <w:r>
        <w:rPr>
          <w:sz w:val="23"/>
        </w:rPr>
      </w:r>
    </w:p>
    <w:p>
      <w:pPr>
        <w:pStyle w:val="Title"/>
        <w:bidi w:val="0"/>
        <w:rPr>
          <w:rFonts w:ascii="Times New Roman" w:hAnsi="Times New Roman"/>
          <w:sz w:val="23"/>
        </w:rPr>
      </w:pPr>
      <w:r>
        <w:rPr>
          <w:sz w:val="23"/>
        </w:rPr>
      </w:r>
    </w:p>
    <w:p>
      <w:pPr>
        <w:pStyle w:val="Title"/>
        <w:bidi w:val="0"/>
        <w:rPr>
          <w:rFonts w:ascii="Times New Roman" w:hAnsi="Times New Roman"/>
          <w:sz w:val="23"/>
        </w:rPr>
      </w:pPr>
      <w:r>
        <w:rPr>
          <w:sz w:val="23"/>
        </w:rPr>
      </w:r>
    </w:p>
    <w:p>
      <w:pPr>
        <w:pStyle w:val="Title"/>
        <w:bidi w:val="0"/>
        <w:rPr>
          <w:rFonts w:ascii="Times New Roman" w:hAnsi="Times New Roman"/>
          <w:sz w:val="23"/>
        </w:rPr>
      </w:pPr>
      <w:r>
        <w:rPr>
          <w:sz w:val="23"/>
        </w:rPr>
      </w:r>
    </w:p>
    <w:p>
      <w:pPr>
        <w:pStyle w:val="Title"/>
        <w:bidi w:val="0"/>
        <w:rPr>
          <w:rFonts w:ascii="Times New Roman" w:hAnsi="Times New Roman"/>
          <w:sz w:val="23"/>
        </w:rPr>
      </w:pPr>
      <w:r>
        <w:rPr>
          <w:sz w:val="23"/>
        </w:rPr>
      </w:r>
    </w:p>
    <w:p>
      <w:pPr>
        <w:pStyle w:val="Title"/>
        <w:bidi w:val="0"/>
        <w:rPr>
          <w:rFonts w:ascii="Times New Roman" w:hAnsi="Times New Roman"/>
          <w:sz w:val="23"/>
        </w:rPr>
      </w:pPr>
      <w:r>
        <w:rPr>
          <w:sz w:val="23"/>
        </w:rPr>
        <w:t>ENGINEERING, PROCUREMENT AND CONSTRUCTION CONTRACT</w:t>
      </w:r>
    </w:p>
    <w:p>
      <w:pPr>
        <w:pStyle w:val="Normal"/>
        <w:bidi w:val="0"/>
        <w:jc w:val="center"/>
        <w:rPr>
          <w:b/>
          <w:sz w:val="23"/>
        </w:rPr>
      </w:pPr>
      <w:r>
        <w:rPr>
          <w:b/>
          <w:sz w:val="23"/>
        </w:rPr>
      </w:r>
    </w:p>
    <w:p>
      <w:pPr>
        <w:pStyle w:val="Normal"/>
        <w:bidi w:val="0"/>
        <w:jc w:val="center"/>
        <w:rPr>
          <w:b/>
          <w:sz w:val="23"/>
        </w:rPr>
      </w:pPr>
      <w:r>
        <w:rPr>
          <w:b/>
          <w:sz w:val="23"/>
        </w:rPr>
      </w:r>
    </w:p>
    <w:p>
      <w:pPr>
        <w:pStyle w:val="Normal"/>
        <w:bidi w:val="0"/>
        <w:jc w:val="center"/>
        <w:rPr>
          <w:b/>
          <w:sz w:val="23"/>
        </w:rPr>
      </w:pPr>
      <w:r>
        <w:rPr>
          <w:b/>
          <w:sz w:val="23"/>
        </w:rPr>
      </w:r>
    </w:p>
    <w:p>
      <w:pPr>
        <w:pStyle w:val="Normal"/>
        <w:bidi w:val="0"/>
        <w:jc w:val="center"/>
        <w:rPr>
          <w:b/>
          <w:sz w:val="23"/>
        </w:rPr>
      </w:pPr>
      <w:r>
        <w:rPr>
          <w:b/>
          <w:sz w:val="23"/>
        </w:rPr>
      </w:r>
    </w:p>
    <w:p>
      <w:pPr>
        <w:pStyle w:val="Normal"/>
        <w:bidi w:val="0"/>
        <w:jc w:val="center"/>
        <w:rPr>
          <w:b/>
          <w:sz w:val="23"/>
        </w:rPr>
      </w:pPr>
      <w:r>
        <w:rPr>
          <w:b/>
          <w:sz w:val="23"/>
        </w:rPr>
      </w:r>
    </w:p>
    <w:p>
      <w:pPr>
        <w:pStyle w:val="Normal"/>
        <w:bidi w:val="0"/>
        <w:jc w:val="center"/>
        <w:rPr>
          <w:b/>
          <w:sz w:val="23"/>
        </w:rPr>
      </w:pPr>
      <w:r>
        <w:rPr>
          <w:b/>
          <w:sz w:val="23"/>
        </w:rPr>
      </w:r>
    </w:p>
    <w:p>
      <w:pPr>
        <w:pStyle w:val="Normal"/>
        <w:bidi w:val="0"/>
        <w:jc w:val="center"/>
        <w:rPr>
          <w:b/>
          <w:sz w:val="23"/>
        </w:rPr>
      </w:pPr>
      <w:r>
        <w:rPr>
          <w:b/>
          <w:sz w:val="23"/>
        </w:rPr>
        <w:t>by and between</w:t>
      </w:r>
    </w:p>
    <w:p>
      <w:pPr>
        <w:pStyle w:val="Normal"/>
        <w:bidi w:val="0"/>
        <w:jc w:val="center"/>
        <w:rPr>
          <w:b/>
          <w:sz w:val="23"/>
        </w:rPr>
      </w:pPr>
      <w:r>
        <w:rPr>
          <w:b/>
          <w:sz w:val="23"/>
        </w:rPr>
      </w:r>
    </w:p>
    <w:p>
      <w:pPr>
        <w:pStyle w:val="Normal"/>
        <w:bidi w:val="0"/>
        <w:jc w:val="center"/>
        <w:rPr>
          <w:b/>
          <w:sz w:val="23"/>
        </w:rPr>
      </w:pPr>
      <w:r>
        <w:rPr>
          <w:b/>
          <w:sz w:val="23"/>
        </w:rPr>
      </w:r>
    </w:p>
    <w:p>
      <w:pPr>
        <w:pStyle w:val="Normal"/>
        <w:bidi w:val="0"/>
        <w:jc w:val="center"/>
        <w:rPr>
          <w:b/>
          <w:strike/>
          <w:sz w:val="23"/>
        </w:rPr>
      </w:pPr>
      <w:r>
        <w:rPr>
          <w:b/>
          <w:strike/>
          <w:sz w:val="23"/>
        </w:rPr>
        <w:t>&lt;PASTORIA ENERGY FACILITY, LLC</w:t>
      </w:r>
    </w:p>
    <w:p>
      <w:pPr>
        <w:pStyle w:val="Normal"/>
        <w:bidi w:val="0"/>
        <w:jc w:val="center"/>
        <w:rPr>
          <w:b/>
          <w:strike/>
          <w:sz w:val="23"/>
        </w:rPr>
      </w:pPr>
      <w:r>
        <w:rPr>
          <w:b/>
          <w:strike/>
          <w:sz w:val="23"/>
        </w:rPr>
      </w:r>
    </w:p>
    <w:p>
      <w:pPr>
        <w:pStyle w:val="Normal"/>
        <w:bidi w:val="0"/>
        <w:jc w:val="center"/>
        <w:rPr>
          <w:b/>
          <w:strike/>
          <w:sz w:val="23"/>
        </w:rPr>
      </w:pPr>
      <w:r>
        <w:rPr>
          <w:b/>
          <w:strike/>
          <w:sz w:val="23"/>
        </w:rPr>
      </w:r>
    </w:p>
    <w:p>
      <w:pPr>
        <w:pStyle w:val="Normal"/>
        <w:bidi w:val="0"/>
        <w:jc w:val="center"/>
        <w:rPr>
          <w:b/>
          <w:strike/>
          <w:sz w:val="23"/>
        </w:rPr>
      </w:pPr>
      <w:r>
        <w:rPr>
          <w:b/>
          <w:strike/>
          <w:sz w:val="23"/>
        </w:rPr>
      </w:r>
    </w:p>
    <w:p>
      <w:pPr>
        <w:pStyle w:val="Normal"/>
        <w:bidi w:val="0"/>
        <w:jc w:val="center"/>
        <w:rPr>
          <w:b/>
          <w:strike/>
          <w:sz w:val="23"/>
        </w:rPr>
      </w:pPr>
      <w:r>
        <w:rPr>
          <w:b/>
          <w:strike/>
          <w:sz w:val="23"/>
        </w:rPr>
      </w:r>
    </w:p>
    <w:p>
      <w:pPr>
        <w:pStyle w:val="Normal"/>
        <w:bidi w:val="0"/>
        <w:jc w:val="center"/>
        <w:rPr>
          <w:b/>
          <w:sz w:val="23"/>
          <w:u w:val="double"/>
        </w:rPr>
      </w:pPr>
      <w:r>
        <w:rPr>
          <w:b/>
          <w:strike/>
          <w:sz w:val="23"/>
        </w:rPr>
        <w:t>&gt;</w:t>
      </w:r>
      <w:r>
        <w:rPr>
          <w:b/>
          <w:sz w:val="23"/>
          <w:u w:val="double"/>
        </w:rPr>
        <w:t>ENRON NORTH AMERICA CORP.,</w:t>
      </w:r>
    </w:p>
    <w:p>
      <w:pPr>
        <w:pStyle w:val="Normal"/>
        <w:bidi w:val="0"/>
        <w:jc w:val="center"/>
        <w:rPr>
          <w:b/>
          <w:sz w:val="23"/>
          <w:u w:val="double"/>
        </w:rPr>
      </w:pPr>
      <w:r>
        <w:rPr>
          <w:b/>
          <w:sz w:val="23"/>
          <w:u w:val="double"/>
        </w:rPr>
        <w:t>as Development and Construction Management Agent</w:t>
      </w:r>
    </w:p>
    <w:p>
      <w:pPr>
        <w:pStyle w:val="Normal"/>
        <w:bidi w:val="0"/>
        <w:jc w:val="center"/>
        <w:rPr>
          <w:b/>
          <w:sz w:val="23"/>
          <w:u w:val="double"/>
        </w:rPr>
      </w:pPr>
      <w:r>
        <w:rPr>
          <w:b/>
          <w:sz w:val="23"/>
          <w:u w:val="double"/>
        </w:rPr>
        <w:t>for</w:t>
      </w:r>
    </w:p>
    <w:p>
      <w:pPr>
        <w:pStyle w:val="Normal"/>
        <w:bidi w:val="0"/>
        <w:jc w:val="center"/>
        <w:rPr>
          <w:b/>
          <w:sz w:val="23"/>
          <w:u w:val="double"/>
        </w:rPr>
      </w:pPr>
      <w:r>
        <w:rPr>
          <w:b/>
          <w:sz w:val="23"/>
          <w:u w:val="double"/>
        </w:rPr>
      </w:r>
    </w:p>
    <w:p>
      <w:pPr>
        <w:pStyle w:val="Normal"/>
        <w:bidi w:val="0"/>
        <w:jc w:val="center"/>
        <w:rPr>
          <w:b/>
          <w:sz w:val="23"/>
          <w:u w:val="double"/>
        </w:rPr>
      </w:pPr>
      <w:r>
        <w:rPr>
          <w:b/>
          <w:sz w:val="23"/>
          <w:u w:val="double"/>
        </w:rPr>
      </w:r>
    </w:p>
    <w:p>
      <w:pPr>
        <w:pStyle w:val="Normal"/>
        <w:bidi w:val="0"/>
        <w:jc w:val="center"/>
        <w:rPr>
          <w:b/>
          <w:sz w:val="23"/>
          <w:u w:val="double"/>
        </w:rPr>
      </w:pPr>
      <w:r>
        <w:rPr>
          <w:b/>
          <w:sz w:val="23"/>
          <w:u w:val="double"/>
        </w:rPr>
      </w:r>
    </w:p>
    <w:p>
      <w:pPr>
        <w:pStyle w:val="Normal"/>
        <w:bidi w:val="0"/>
        <w:jc w:val="center"/>
        <w:rPr>
          <w:b/>
          <w:sz w:val="23"/>
        </w:rPr>
      </w:pPr>
      <w:r>
        <w:rPr>
          <w:b/>
          <w:sz w:val="23"/>
          <w:u w:val="double"/>
        </w:rPr>
        <w:t>___________________________________________, LLC [Project Entity],</w:t>
      </w:r>
    </w:p>
    <w:p>
      <w:pPr>
        <w:pStyle w:val="Normal"/>
        <w:bidi w:val="0"/>
        <w:jc w:val="center"/>
        <w:rPr>
          <w:b/>
          <w:sz w:val="23"/>
        </w:rPr>
      </w:pPr>
      <w:r>
        <w:rPr>
          <w:b/>
          <w:sz w:val="23"/>
        </w:rPr>
      </w:r>
    </w:p>
    <w:p>
      <w:pPr>
        <w:pStyle w:val="Normal"/>
        <w:bidi w:val="0"/>
        <w:jc w:val="center"/>
        <w:rPr>
          <w:b/>
          <w:sz w:val="23"/>
        </w:rPr>
      </w:pPr>
      <w:r>
        <w:rPr>
          <w:b/>
          <w:sz w:val="23"/>
        </w:rPr>
        <w:t>as Owner</w:t>
      </w:r>
      <w:r>
        <w:rPr>
          <w:b/>
          <w:sz w:val="23"/>
          <w:u w:val="double"/>
        </w:rPr>
        <w:t>,</w:t>
      </w:r>
    </w:p>
    <w:p>
      <w:pPr>
        <w:pStyle w:val="Normal"/>
        <w:bidi w:val="0"/>
        <w:jc w:val="center"/>
        <w:rPr>
          <w:b/>
          <w:sz w:val="23"/>
        </w:rPr>
      </w:pPr>
      <w:r>
        <w:rPr>
          <w:b/>
          <w:sz w:val="23"/>
        </w:rPr>
      </w:r>
    </w:p>
    <w:p>
      <w:pPr>
        <w:pStyle w:val="Normal"/>
        <w:bidi w:val="0"/>
        <w:jc w:val="center"/>
        <w:rPr>
          <w:b/>
          <w:sz w:val="23"/>
        </w:rPr>
      </w:pPr>
      <w:r>
        <w:rPr>
          <w:b/>
          <w:sz w:val="23"/>
        </w:rPr>
      </w:r>
    </w:p>
    <w:p>
      <w:pPr>
        <w:pStyle w:val="Normal"/>
        <w:bidi w:val="0"/>
        <w:jc w:val="center"/>
        <w:rPr>
          <w:b/>
          <w:sz w:val="23"/>
        </w:rPr>
      </w:pPr>
      <w:r>
        <w:rPr>
          <w:b/>
          <w:sz w:val="23"/>
        </w:rPr>
      </w:r>
    </w:p>
    <w:p>
      <w:pPr>
        <w:pStyle w:val="Normal"/>
        <w:bidi w:val="0"/>
        <w:jc w:val="center"/>
        <w:rPr>
          <w:b/>
          <w:sz w:val="23"/>
        </w:rPr>
      </w:pPr>
      <w:r>
        <w:rPr>
          <w:b/>
          <w:sz w:val="23"/>
        </w:rPr>
      </w:r>
    </w:p>
    <w:p>
      <w:pPr>
        <w:pStyle w:val="Normal"/>
        <w:bidi w:val="0"/>
        <w:jc w:val="center"/>
        <w:rPr>
          <w:b/>
          <w:sz w:val="23"/>
        </w:rPr>
      </w:pPr>
      <w:r>
        <w:rPr>
          <w:b/>
          <w:sz w:val="23"/>
        </w:rPr>
      </w:r>
    </w:p>
    <w:p>
      <w:pPr>
        <w:pStyle w:val="Normal"/>
        <w:bidi w:val="0"/>
        <w:jc w:val="center"/>
        <w:rPr>
          <w:b/>
          <w:sz w:val="23"/>
        </w:rPr>
      </w:pPr>
      <w:r>
        <w:rPr>
          <w:b/>
          <w:sz w:val="23"/>
        </w:rPr>
        <w:t>and</w:t>
      </w:r>
    </w:p>
    <w:p>
      <w:pPr>
        <w:pStyle w:val="Normal"/>
        <w:bidi w:val="0"/>
        <w:jc w:val="center"/>
        <w:rPr>
          <w:b/>
          <w:sz w:val="23"/>
        </w:rPr>
      </w:pPr>
      <w:r>
        <w:rPr>
          <w:b/>
          <w:sz w:val="23"/>
        </w:rPr>
      </w:r>
    </w:p>
    <w:p>
      <w:pPr>
        <w:pStyle w:val="Normal"/>
        <w:bidi w:val="0"/>
        <w:jc w:val="center"/>
        <w:rPr>
          <w:b/>
          <w:sz w:val="23"/>
        </w:rPr>
      </w:pPr>
      <w:r>
        <w:rPr>
          <w:b/>
          <w:sz w:val="23"/>
        </w:rPr>
      </w:r>
    </w:p>
    <w:p>
      <w:pPr>
        <w:pStyle w:val="Normal"/>
        <w:bidi w:val="0"/>
        <w:jc w:val="center"/>
        <w:rPr>
          <w:b/>
          <w:sz w:val="23"/>
        </w:rPr>
      </w:pPr>
      <w:r>
        <w:rPr>
          <w:b/>
          <w:sz w:val="23"/>
        </w:rPr>
      </w:r>
    </w:p>
    <w:p>
      <w:pPr>
        <w:pStyle w:val="Normal"/>
        <w:bidi w:val="0"/>
        <w:jc w:val="center"/>
        <w:rPr>
          <w:b/>
          <w:sz w:val="23"/>
        </w:rPr>
      </w:pPr>
      <w:r>
        <w:rPr>
          <w:b/>
          <w:strike/>
          <w:sz w:val="23"/>
        </w:rPr>
        <w:t>&lt;ENRON CONSOLIDATED CONSTRUCTION COMPANY&gt;</w:t>
      </w:r>
      <w:r>
        <w:rPr>
          <w:b/>
          <w:sz w:val="23"/>
          <w:u w:val="double"/>
        </w:rPr>
        <w:t>____________________________________</w:t>
      </w:r>
    </w:p>
    <w:p>
      <w:pPr>
        <w:pStyle w:val="Normal"/>
        <w:bidi w:val="0"/>
        <w:jc w:val="center"/>
        <w:rPr>
          <w:b/>
          <w:sz w:val="23"/>
        </w:rPr>
      </w:pPr>
      <w:r>
        <w:rPr>
          <w:b/>
          <w:sz w:val="23"/>
        </w:rPr>
      </w:r>
    </w:p>
    <w:p>
      <w:pPr>
        <w:pStyle w:val="Normal"/>
        <w:bidi w:val="0"/>
        <w:jc w:val="center"/>
        <w:rPr>
          <w:b/>
          <w:sz w:val="23"/>
        </w:rPr>
      </w:pPr>
      <w:r>
        <w:rPr>
          <w:b/>
          <w:sz w:val="23"/>
        </w:rPr>
        <w:t>as Contractor</w:t>
      </w:r>
      <w:r>
        <w:rPr>
          <w:b/>
          <w:sz w:val="23"/>
          <w:u w:val="double"/>
        </w:rPr>
        <w:t>,</w:t>
      </w:r>
    </w:p>
    <w:p>
      <w:pPr>
        <w:pStyle w:val="Normal"/>
        <w:bidi w:val="0"/>
        <w:jc w:val="center"/>
        <w:rPr>
          <w:b/>
          <w:sz w:val="23"/>
        </w:rPr>
      </w:pPr>
      <w:r>
        <w:rPr>
          <w:b/>
          <w:sz w:val="23"/>
        </w:rPr>
      </w:r>
    </w:p>
    <w:p>
      <w:pPr>
        <w:pStyle w:val="Normal"/>
        <w:bidi w:val="0"/>
        <w:jc w:val="center"/>
        <w:rPr>
          <w:b/>
          <w:sz w:val="23"/>
        </w:rPr>
      </w:pPr>
      <w:r>
        <w:rPr>
          <w:b/>
          <w:sz w:val="23"/>
        </w:rPr>
      </w:r>
    </w:p>
    <w:p>
      <w:pPr>
        <w:pStyle w:val="Normal"/>
        <w:bidi w:val="0"/>
        <w:jc w:val="center"/>
        <w:rPr>
          <w:b/>
          <w:sz w:val="23"/>
        </w:rPr>
      </w:pPr>
      <w:r>
        <w:rPr>
          <w:b/>
          <w:sz w:val="23"/>
        </w:rPr>
      </w:r>
    </w:p>
    <w:p>
      <w:pPr>
        <w:pStyle w:val="Normal"/>
        <w:bidi w:val="0"/>
        <w:jc w:val="center"/>
        <w:rPr>
          <w:b/>
          <w:sz w:val="23"/>
        </w:rPr>
      </w:pPr>
      <w:r>
        <w:rPr>
          <w:b/>
          <w:sz w:val="23"/>
        </w:rPr>
      </w:r>
    </w:p>
    <w:p>
      <w:pPr>
        <w:pStyle w:val="Normal"/>
        <w:bidi w:val="0"/>
        <w:jc w:val="center"/>
        <w:rPr>
          <w:b/>
          <w:sz w:val="23"/>
        </w:rPr>
      </w:pPr>
      <w:r>
        <w:rPr>
          <w:b/>
          <w:sz w:val="23"/>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Normal"/>
        <w:bidi w:val="0"/>
        <w:jc w:val="center"/>
        <w:rPr>
          <w:b/>
          <w:sz w:val="23"/>
          <w:u w:val="double"/>
        </w:rPr>
      </w:pPr>
      <w:r>
        <w:rPr>
          <w:b/>
          <w:sz w:val="23"/>
        </w:rPr>
        <w:t>Dated as of [</w:t>
      </w:r>
      <w:r>
        <w:rPr>
          <w:b/>
          <w:strike/>
          <w:sz w:val="23"/>
        </w:rPr>
        <w:t>&lt;___________, 200_]&gt;</w:t>
      </w:r>
      <w:r>
        <w:rPr>
          <w:b/>
          <w:sz w:val="23"/>
          <w:u w:val="double"/>
        </w:rPr>
        <w:t>______________, 200_]</w:t>
      </w:r>
    </w:p>
    <w:p>
      <w:pPr>
        <w:pStyle w:val="Normal"/>
        <w:bidi w:val="0"/>
        <w:ind w:hanging="0" w:start="2880"/>
        <w:jc w:val="both"/>
        <w:rPr>
          <w:b/>
          <w:sz w:val="23"/>
          <w:u w:val="double"/>
        </w:rPr>
      </w:pPr>
      <w:r>
        <w:rPr>
          <w:b/>
          <w:sz w:val="23"/>
          <w:u w:val="double"/>
        </w:rPr>
        <w:t>TABLE OF CONTENTS</w:t>
      </w:r>
    </w:p>
    <w:p>
      <w:pPr>
        <w:pStyle w:val="Normal"/>
        <w:bidi w:val="0"/>
        <w:ind w:hanging="0" w:start="2880"/>
        <w:jc w:val="both"/>
        <w:rPr>
          <w:b/>
          <w:sz w:val="23"/>
          <w:u w:val="double"/>
        </w:rPr>
      </w:pPr>
      <w:r>
        <w:rPr>
          <w:b/>
          <w:sz w:val="23"/>
          <w:u w:val="double"/>
        </w:rPr>
      </w:r>
    </w:p>
    <w:p>
      <w:pPr>
        <w:pStyle w:val="Normal"/>
        <w:tabs>
          <w:tab w:val="clear" w:pos="720"/>
          <w:tab w:val="left" w:pos="7920" w:leader="none"/>
        </w:tabs>
        <w:bidi w:val="0"/>
        <w:ind w:hanging="0" w:start="2880"/>
        <w:jc w:val="end"/>
        <w:rPr>
          <w:b/>
          <w:i/>
          <w:i/>
          <w:sz w:val="23"/>
          <w:u w:val="double"/>
        </w:rPr>
      </w:pPr>
      <w:r>
        <w:rPr>
          <w:b/>
          <w:i/>
          <w:sz w:val="23"/>
          <w:u w:val="double"/>
        </w:rPr>
        <w:t>Page</w:t>
      </w:r>
    </w:p>
    <w:p>
      <w:pPr>
        <w:pStyle w:val="Normal"/>
        <w:bidi w:val="0"/>
        <w:jc w:val="both"/>
        <w:rPr>
          <w:b/>
          <w:sz w:val="28"/>
          <w:u w:val="double"/>
        </w:rPr>
      </w:pPr>
      <w:r>
        <w:rPr>
          <w:b/>
          <w:sz w:val="28"/>
          <w:u w:val="double"/>
        </w:rPr>
        <w:t>[TO BE UPDATED]</w:t>
      </w:r>
    </w:p>
    <w:sdt>
      <w:sdtPr>
        <w:docPartObj>
          <w:docPartGallery w:val="Table of Contents"/>
          <w:docPartUnique w:val="true"/>
        </w:docPartObj>
      </w:sdtPr>
      <w:sdtContent>
        <w:p>
          <w:pPr>
            <w:pStyle w:val="TOC1"/>
            <w:bidi w:val="0"/>
            <w:jc w:val="start"/>
            <w:rPr>
              <w:rFonts w:ascii="Times New Roman" w:hAnsi="Times New Roman"/>
              <w:sz w:val="23"/>
              <w:u w:val="double"/>
            </w:rPr>
          </w:pPr>
          <w:r>
            <w:fldChar w:fldCharType="begin"/>
          </w:r>
          <w:r>
            <w:rPr>
              <w:sz w:val="23"/>
              <w:u w:val="double"/>
              <w:rFonts w:ascii="Times New Roman" w:hAnsi="Times New Roman"/>
            </w:rPr>
            <w:instrText xml:space="preserve"> TOC \f \h</w:instrText>
          </w:r>
          <w:r>
            <w:rPr>
              <w:sz w:val="23"/>
              <w:u w:val="double"/>
              <w:rFonts w:ascii="Times New Roman" w:hAnsi="Times New Roman"/>
            </w:rPr>
            <w:fldChar w:fldCharType="separate"/>
          </w:r>
          <w:r>
            <w:rPr>
              <w:rFonts w:ascii="Times New Roman" w:hAnsi="Times New Roman"/>
              <w:sz w:val="23"/>
              <w:u w:val="double"/>
            </w:rPr>
            <w:t>ARTICLE 1:  DEFINITIONS</w:t>
          </w:r>
          <w:r>
            <w:rPr>
              <w:rFonts w:ascii="Times New Roman" w:hAnsi="Times New Roman"/>
              <w:sz w:val="23"/>
            </w:rPr>
            <w:tab/>
          </w:r>
          <w:r>
            <w:rPr>
              <w:rFonts w:ascii="Times New Roman" w:hAnsi="Times New Roman"/>
              <w:sz w:val="23"/>
              <w:u w:val="double"/>
            </w:rPr>
            <w:t>1</w:t>
          </w:r>
        </w:p>
        <w:p>
          <w:pPr>
            <w:pStyle w:val="TOC1"/>
            <w:bidi w:val="0"/>
            <w:jc w:val="start"/>
            <w:rPr>
              <w:rFonts w:ascii="Times New Roman" w:hAnsi="Times New Roman"/>
              <w:sz w:val="23"/>
              <w:u w:val="double"/>
            </w:rPr>
          </w:pPr>
          <w:r>
            <w:rPr>
              <w:rFonts w:ascii="Times New Roman" w:hAnsi="Times New Roman"/>
              <w:sz w:val="23"/>
              <w:u w:val="double"/>
            </w:rPr>
            <w:t>ARTICLE 2: RELATIONSHIP OF OWNER, CONTRACTOR, SUBCONTRACTORS AND OTHERS</w:t>
          </w:r>
          <w:r>
            <w:rPr>
              <w:rFonts w:ascii="Times New Roman" w:hAnsi="Times New Roman"/>
              <w:sz w:val="23"/>
            </w:rPr>
            <w:tab/>
          </w:r>
          <w:r>
            <w:rPr>
              <w:rFonts w:ascii="Times New Roman" w:hAnsi="Times New Roman"/>
              <w:sz w:val="23"/>
              <w:u w:val="double"/>
            </w:rPr>
            <w:t>10</w:t>
          </w:r>
        </w:p>
        <w:p>
          <w:pPr>
            <w:pStyle w:val="TOC2"/>
            <w:tabs>
              <w:tab w:val="left" w:pos="960" w:leader="none"/>
              <w:tab w:val="right" w:pos="9360" w:leader="dot"/>
            </w:tabs>
            <w:bidi w:val="0"/>
            <w:jc w:val="start"/>
            <w:rPr>
              <w:rFonts w:ascii="Times New Roman" w:hAnsi="Times New Roman"/>
              <w:sz w:val="23"/>
              <w:u w:val="double"/>
            </w:rPr>
          </w:pPr>
          <w:r>
            <w:rPr>
              <w:sz w:val="23"/>
              <w:u w:val="double"/>
            </w:rPr>
            <w:t>2.1</w:t>
          </w:r>
          <w:r>
            <w:rPr>
              <w:b w:val="false"/>
              <w:sz w:val="23"/>
            </w:rPr>
            <w:tab/>
          </w:r>
          <w:r>
            <w:rPr>
              <w:sz w:val="23"/>
              <w:u w:val="double"/>
            </w:rPr>
            <w:t>Status of Contractor</w:t>
          </w:r>
          <w:r>
            <w:rPr>
              <w:sz w:val="23"/>
            </w:rPr>
            <w:tab/>
          </w:r>
          <w:r>
            <w:rPr>
              <w:sz w:val="23"/>
              <w:u w:val="double"/>
            </w:rPr>
            <w:t>10</w:t>
          </w:r>
        </w:p>
        <w:p>
          <w:pPr>
            <w:pStyle w:val="TOC2"/>
            <w:tabs>
              <w:tab w:val="left" w:pos="960" w:leader="none"/>
              <w:tab w:val="right" w:pos="9360" w:leader="dot"/>
            </w:tabs>
            <w:bidi w:val="0"/>
            <w:jc w:val="start"/>
            <w:rPr>
              <w:rFonts w:ascii="Times New Roman" w:hAnsi="Times New Roman"/>
              <w:sz w:val="23"/>
              <w:u w:val="double"/>
            </w:rPr>
          </w:pPr>
          <w:r>
            <w:rPr>
              <w:sz w:val="23"/>
              <w:u w:val="double"/>
            </w:rPr>
            <w:t>2.2</w:t>
          </w:r>
          <w:r>
            <w:rPr>
              <w:b w:val="false"/>
              <w:sz w:val="23"/>
            </w:rPr>
            <w:tab/>
          </w:r>
          <w:r>
            <w:rPr>
              <w:sz w:val="23"/>
              <w:u w:val="double"/>
            </w:rPr>
            <w:t>Subcontractors</w:t>
          </w:r>
          <w:r>
            <w:rPr>
              <w:sz w:val="23"/>
            </w:rPr>
            <w:tab/>
          </w:r>
          <w:r>
            <w:rPr>
              <w:sz w:val="23"/>
              <w:u w:val="double"/>
            </w:rPr>
            <w:t>11</w:t>
          </w:r>
        </w:p>
        <w:p>
          <w:pPr>
            <w:pStyle w:val="TOC2"/>
            <w:tabs>
              <w:tab w:val="left" w:pos="960" w:leader="none"/>
              <w:tab w:val="right" w:pos="9360" w:leader="dot"/>
            </w:tabs>
            <w:bidi w:val="0"/>
            <w:jc w:val="start"/>
            <w:rPr>
              <w:rFonts w:ascii="Times New Roman" w:hAnsi="Times New Roman"/>
              <w:sz w:val="23"/>
              <w:u w:val="double"/>
            </w:rPr>
          </w:pPr>
          <w:r>
            <w:rPr>
              <w:sz w:val="23"/>
              <w:u w:val="double"/>
            </w:rPr>
            <w:t>2.3</w:t>
          </w:r>
          <w:r>
            <w:rPr>
              <w:b w:val="false"/>
              <w:sz w:val="23"/>
            </w:rPr>
            <w:tab/>
          </w:r>
          <w:r>
            <w:rPr>
              <w:sz w:val="23"/>
              <w:u w:val="double"/>
            </w:rPr>
            <w:t>Subcontract Provisions</w:t>
          </w:r>
          <w:r>
            <w:rPr>
              <w:sz w:val="23"/>
            </w:rPr>
            <w:tab/>
          </w:r>
          <w:r>
            <w:rPr>
              <w:sz w:val="23"/>
              <w:u w:val="double"/>
            </w:rPr>
            <w:t>11</w:t>
          </w:r>
        </w:p>
        <w:p>
          <w:pPr>
            <w:pStyle w:val="TOC2"/>
            <w:tabs>
              <w:tab w:val="left" w:pos="960" w:leader="none"/>
              <w:tab w:val="right" w:pos="9360" w:leader="dot"/>
            </w:tabs>
            <w:bidi w:val="0"/>
            <w:jc w:val="start"/>
            <w:rPr>
              <w:rFonts w:ascii="Times New Roman" w:hAnsi="Times New Roman"/>
              <w:sz w:val="23"/>
              <w:u w:val="double"/>
            </w:rPr>
          </w:pPr>
          <w:r>
            <w:rPr>
              <w:sz w:val="23"/>
              <w:u w:val="double"/>
            </w:rPr>
            <w:t>2.4</w:t>
          </w:r>
          <w:r>
            <w:rPr>
              <w:b w:val="false"/>
              <w:sz w:val="23"/>
            </w:rPr>
            <w:tab/>
          </w:r>
          <w:r>
            <w:rPr>
              <w:sz w:val="23"/>
              <w:u w:val="double"/>
            </w:rPr>
            <w:t>Key Subcontracts</w:t>
          </w:r>
          <w:r>
            <w:rPr>
              <w:sz w:val="23"/>
            </w:rPr>
            <w:tab/>
          </w:r>
          <w:r>
            <w:rPr>
              <w:sz w:val="23"/>
              <w:u w:val="double"/>
            </w:rPr>
            <w:t>11</w:t>
          </w:r>
        </w:p>
        <w:p>
          <w:pPr>
            <w:pStyle w:val="TOC1"/>
            <w:bidi w:val="0"/>
            <w:jc w:val="start"/>
            <w:rPr>
              <w:rFonts w:ascii="Times New Roman" w:hAnsi="Times New Roman"/>
              <w:sz w:val="23"/>
              <w:u w:val="double"/>
            </w:rPr>
          </w:pPr>
          <w:r>
            <w:rPr>
              <w:rFonts w:ascii="Times New Roman" w:hAnsi="Times New Roman"/>
              <w:sz w:val="23"/>
              <w:u w:val="double"/>
            </w:rPr>
            <w:t>ARTICLE 3:  CONTRACTOR’S RESPONSIBILITIES</w:t>
          </w:r>
          <w:r>
            <w:rPr>
              <w:rFonts w:ascii="Times New Roman" w:hAnsi="Times New Roman"/>
              <w:sz w:val="23"/>
            </w:rPr>
            <w:tab/>
          </w:r>
          <w:r>
            <w:rPr>
              <w:rFonts w:ascii="Times New Roman" w:hAnsi="Times New Roman"/>
              <w:sz w:val="23"/>
              <w:u w:val="double"/>
            </w:rPr>
            <w:t>11</w:t>
          </w:r>
        </w:p>
        <w:p>
          <w:pPr>
            <w:pStyle w:val="TOC2"/>
            <w:tabs>
              <w:tab w:val="left" w:pos="960" w:leader="none"/>
              <w:tab w:val="right" w:pos="9360" w:leader="dot"/>
            </w:tabs>
            <w:bidi w:val="0"/>
            <w:jc w:val="start"/>
            <w:rPr>
              <w:rFonts w:ascii="Times New Roman" w:hAnsi="Times New Roman"/>
              <w:sz w:val="23"/>
              <w:u w:val="double"/>
            </w:rPr>
          </w:pPr>
          <w:r>
            <w:rPr>
              <w:sz w:val="23"/>
              <w:u w:val="double"/>
            </w:rPr>
            <w:t>3.1</w:t>
          </w:r>
          <w:r>
            <w:rPr>
              <w:b w:val="false"/>
              <w:sz w:val="23"/>
            </w:rPr>
            <w:tab/>
          </w:r>
          <w:r>
            <w:rPr>
              <w:sz w:val="23"/>
              <w:u w:val="double"/>
            </w:rPr>
            <w:t>Scope of Work</w:t>
          </w:r>
          <w:r>
            <w:rPr>
              <w:sz w:val="23"/>
            </w:rPr>
            <w:tab/>
          </w:r>
          <w:r>
            <w:rPr>
              <w:sz w:val="23"/>
              <w:u w:val="double"/>
            </w:rPr>
            <w:t>11</w:t>
          </w:r>
        </w:p>
        <w:p>
          <w:pPr>
            <w:pStyle w:val="TOC2"/>
            <w:tabs>
              <w:tab w:val="left" w:pos="960" w:leader="none"/>
              <w:tab w:val="right" w:pos="9360" w:leader="dot"/>
            </w:tabs>
            <w:bidi w:val="0"/>
            <w:jc w:val="start"/>
            <w:rPr>
              <w:rFonts w:ascii="Times New Roman" w:hAnsi="Times New Roman"/>
              <w:sz w:val="23"/>
              <w:u w:val="double"/>
            </w:rPr>
          </w:pPr>
          <w:r>
            <w:rPr>
              <w:sz w:val="23"/>
              <w:u w:val="double"/>
            </w:rPr>
            <w:t>3.2</w:t>
          </w:r>
          <w:r>
            <w:rPr>
              <w:b w:val="false"/>
              <w:sz w:val="23"/>
            </w:rPr>
            <w:tab/>
          </w:r>
          <w:r>
            <w:rPr>
              <w:sz w:val="23"/>
              <w:u w:val="double"/>
            </w:rPr>
            <w:t>Spare Parts</w:t>
          </w:r>
          <w:r>
            <w:rPr>
              <w:sz w:val="23"/>
            </w:rPr>
            <w:tab/>
          </w:r>
          <w:r>
            <w:rPr>
              <w:sz w:val="23"/>
              <w:u w:val="double"/>
            </w:rPr>
            <w:t>13</w:t>
          </w:r>
        </w:p>
        <w:p>
          <w:pPr>
            <w:pStyle w:val="TOC2"/>
            <w:tabs>
              <w:tab w:val="left" w:pos="960" w:leader="none"/>
              <w:tab w:val="right" w:pos="9360" w:leader="dot"/>
            </w:tabs>
            <w:bidi w:val="0"/>
            <w:jc w:val="start"/>
            <w:rPr>
              <w:rFonts w:ascii="Times New Roman" w:hAnsi="Times New Roman"/>
              <w:sz w:val="23"/>
              <w:u w:val="double"/>
            </w:rPr>
          </w:pPr>
          <w:r>
            <w:rPr>
              <w:sz w:val="23"/>
              <w:u w:val="double"/>
            </w:rPr>
            <w:t>3.3</w:t>
          </w:r>
          <w:r>
            <w:rPr>
              <w:b w:val="false"/>
              <w:sz w:val="23"/>
            </w:rPr>
            <w:tab/>
          </w:r>
          <w:r>
            <w:rPr>
              <w:sz w:val="23"/>
              <w:u w:val="double"/>
            </w:rPr>
            <w:t>Compliance with Drawings and Review of Drawings and Documents</w:t>
          </w:r>
          <w:r>
            <w:rPr>
              <w:sz w:val="23"/>
            </w:rPr>
            <w:tab/>
          </w:r>
          <w:r>
            <w:rPr>
              <w:sz w:val="23"/>
              <w:u w:val="double"/>
            </w:rPr>
            <w:t>14</w:t>
          </w:r>
        </w:p>
        <w:p>
          <w:pPr>
            <w:pStyle w:val="TOC2"/>
            <w:tabs>
              <w:tab w:val="left" w:pos="960" w:leader="none"/>
              <w:tab w:val="right" w:pos="9360" w:leader="dot"/>
            </w:tabs>
            <w:bidi w:val="0"/>
            <w:jc w:val="start"/>
            <w:rPr>
              <w:rFonts w:ascii="Times New Roman" w:hAnsi="Times New Roman"/>
              <w:sz w:val="23"/>
              <w:u w:val="double"/>
            </w:rPr>
          </w:pPr>
          <w:r>
            <w:rPr>
              <w:sz w:val="23"/>
              <w:u w:val="double"/>
            </w:rPr>
            <w:t>3.4</w:t>
          </w:r>
          <w:r>
            <w:rPr>
              <w:b w:val="false"/>
              <w:sz w:val="23"/>
            </w:rPr>
            <w:tab/>
          </w:r>
          <w:r>
            <w:rPr>
              <w:sz w:val="23"/>
              <w:u w:val="double"/>
            </w:rPr>
            <w:t>Contractor’s Personnel and Labor Relations</w:t>
          </w:r>
          <w:r>
            <w:rPr>
              <w:sz w:val="23"/>
            </w:rPr>
            <w:tab/>
          </w:r>
          <w:r>
            <w:rPr>
              <w:sz w:val="23"/>
              <w:u w:val="double"/>
            </w:rPr>
            <w:t>15</w:t>
          </w:r>
        </w:p>
        <w:p>
          <w:pPr>
            <w:pStyle w:val="TOC2"/>
            <w:tabs>
              <w:tab w:val="left" w:pos="960" w:leader="none"/>
              <w:tab w:val="right" w:pos="9360" w:leader="dot"/>
            </w:tabs>
            <w:bidi w:val="0"/>
            <w:jc w:val="start"/>
            <w:rPr>
              <w:rFonts w:ascii="Times New Roman" w:hAnsi="Times New Roman"/>
              <w:sz w:val="23"/>
              <w:u w:val="double"/>
            </w:rPr>
          </w:pPr>
          <w:r>
            <w:rPr>
              <w:sz w:val="23"/>
              <w:u w:val="double"/>
            </w:rPr>
            <w:t>3.5</w:t>
          </w:r>
          <w:r>
            <w:rPr>
              <w:b w:val="false"/>
              <w:sz w:val="23"/>
            </w:rPr>
            <w:tab/>
          </w:r>
          <w:r>
            <w:rPr>
              <w:sz w:val="23"/>
              <w:u w:val="double"/>
            </w:rPr>
            <w:t>Governmental Authorization and Contractor Assistance</w:t>
          </w:r>
          <w:r>
            <w:rPr>
              <w:sz w:val="23"/>
            </w:rPr>
            <w:tab/>
          </w:r>
          <w:r>
            <w:rPr>
              <w:sz w:val="23"/>
              <w:u w:val="double"/>
            </w:rPr>
            <w:t>16</w:t>
          </w:r>
        </w:p>
        <w:p>
          <w:pPr>
            <w:pStyle w:val="TOC2"/>
            <w:tabs>
              <w:tab w:val="left" w:pos="960" w:leader="none"/>
              <w:tab w:val="right" w:pos="9360" w:leader="dot"/>
            </w:tabs>
            <w:bidi w:val="0"/>
            <w:jc w:val="start"/>
            <w:rPr>
              <w:rFonts w:ascii="Times New Roman" w:hAnsi="Times New Roman"/>
              <w:sz w:val="23"/>
              <w:u w:val="double"/>
            </w:rPr>
          </w:pPr>
          <w:r>
            <w:rPr>
              <w:sz w:val="23"/>
              <w:u w:val="double"/>
            </w:rPr>
            <w:t>3.6</w:t>
          </w:r>
          <w:r>
            <w:rPr>
              <w:b w:val="false"/>
              <w:sz w:val="23"/>
            </w:rPr>
            <w:tab/>
          </w:r>
          <w:r>
            <w:rPr>
              <w:sz w:val="23"/>
              <w:u w:val="double"/>
            </w:rPr>
            <w:t>Control of the Work</w:t>
          </w:r>
          <w:r>
            <w:rPr>
              <w:sz w:val="23"/>
            </w:rPr>
            <w:tab/>
          </w:r>
          <w:r>
            <w:rPr>
              <w:sz w:val="23"/>
              <w:u w:val="double"/>
            </w:rPr>
            <w:t>16</w:t>
          </w:r>
        </w:p>
        <w:p>
          <w:pPr>
            <w:pStyle w:val="TOC2"/>
            <w:tabs>
              <w:tab w:val="left" w:pos="960" w:leader="none"/>
              <w:tab w:val="right" w:pos="9360" w:leader="dot"/>
            </w:tabs>
            <w:bidi w:val="0"/>
            <w:jc w:val="start"/>
            <w:rPr>
              <w:rFonts w:ascii="Times New Roman" w:hAnsi="Times New Roman"/>
              <w:sz w:val="23"/>
              <w:u w:val="double"/>
            </w:rPr>
          </w:pPr>
          <w:r>
            <w:rPr>
              <w:sz w:val="23"/>
              <w:u w:val="double"/>
            </w:rPr>
            <w:t>3.7</w:t>
          </w:r>
          <w:r>
            <w:rPr>
              <w:b w:val="false"/>
              <w:sz w:val="23"/>
            </w:rPr>
            <w:tab/>
          </w:r>
          <w:r>
            <w:rPr>
              <w:sz w:val="23"/>
              <w:u w:val="double"/>
            </w:rPr>
            <w:t>Cleanup; Non-Interference</w:t>
          </w:r>
          <w:r>
            <w:rPr>
              <w:sz w:val="23"/>
            </w:rPr>
            <w:tab/>
          </w:r>
          <w:r>
            <w:rPr>
              <w:sz w:val="23"/>
              <w:u w:val="double"/>
            </w:rPr>
            <w:t>16</w:t>
          </w:r>
        </w:p>
        <w:p>
          <w:pPr>
            <w:pStyle w:val="TOC2"/>
            <w:tabs>
              <w:tab w:val="left" w:pos="960" w:leader="none"/>
              <w:tab w:val="right" w:pos="9360" w:leader="dot"/>
            </w:tabs>
            <w:bidi w:val="0"/>
            <w:jc w:val="start"/>
            <w:rPr>
              <w:rFonts w:ascii="Times New Roman" w:hAnsi="Times New Roman"/>
              <w:sz w:val="23"/>
              <w:u w:val="double"/>
            </w:rPr>
          </w:pPr>
          <w:r>
            <w:rPr>
              <w:sz w:val="23"/>
              <w:u w:val="double"/>
            </w:rPr>
            <w:t>3.8</w:t>
          </w:r>
          <w:r>
            <w:rPr>
              <w:b w:val="false"/>
              <w:sz w:val="23"/>
            </w:rPr>
            <w:tab/>
          </w:r>
          <w:r>
            <w:rPr>
              <w:sz w:val="23"/>
              <w:u w:val="double"/>
            </w:rPr>
            <w:t>Safety and Emergencies</w:t>
          </w:r>
          <w:r>
            <w:rPr>
              <w:sz w:val="23"/>
            </w:rPr>
            <w:tab/>
          </w:r>
          <w:r>
            <w:rPr>
              <w:sz w:val="23"/>
              <w:u w:val="double"/>
            </w:rPr>
            <w:t>17</w:t>
          </w:r>
        </w:p>
        <w:p>
          <w:pPr>
            <w:pStyle w:val="TOC2"/>
            <w:tabs>
              <w:tab w:val="left" w:pos="960" w:leader="none"/>
              <w:tab w:val="right" w:pos="9360" w:leader="dot"/>
            </w:tabs>
            <w:bidi w:val="0"/>
            <w:jc w:val="start"/>
            <w:rPr>
              <w:rFonts w:ascii="Times New Roman" w:hAnsi="Times New Roman"/>
              <w:sz w:val="23"/>
              <w:u w:val="double"/>
            </w:rPr>
          </w:pPr>
          <w:r>
            <w:rPr>
              <w:sz w:val="23"/>
              <w:u w:val="double"/>
            </w:rPr>
            <w:t>3.9</w:t>
          </w:r>
          <w:r>
            <w:rPr>
              <w:b w:val="false"/>
              <w:sz w:val="23"/>
            </w:rPr>
            <w:tab/>
          </w:r>
          <w:r>
            <w:rPr>
              <w:sz w:val="23"/>
              <w:u w:val="double"/>
            </w:rPr>
            <w:t>Financing Assistance</w:t>
          </w:r>
          <w:r>
            <w:rPr>
              <w:sz w:val="23"/>
            </w:rPr>
            <w:tab/>
          </w:r>
          <w:r>
            <w:rPr>
              <w:sz w:val="23"/>
              <w:u w:val="double"/>
            </w:rPr>
            <w:t>18</w:t>
          </w:r>
        </w:p>
        <w:p>
          <w:pPr>
            <w:pStyle w:val="TOC2"/>
            <w:tabs>
              <w:tab w:val="left" w:pos="960" w:leader="none"/>
              <w:tab w:val="right" w:pos="9360" w:leader="dot"/>
            </w:tabs>
            <w:bidi w:val="0"/>
            <w:jc w:val="start"/>
            <w:rPr>
              <w:rFonts w:ascii="Times New Roman" w:hAnsi="Times New Roman"/>
              <w:sz w:val="23"/>
              <w:u w:val="double"/>
            </w:rPr>
          </w:pPr>
          <w:r>
            <w:rPr>
              <w:sz w:val="23"/>
              <w:u w:val="double"/>
            </w:rPr>
            <w:t>3.10</w:t>
          </w:r>
          <w:r>
            <w:rPr>
              <w:b w:val="false"/>
              <w:sz w:val="23"/>
            </w:rPr>
            <w:tab/>
          </w:r>
          <w:r>
            <w:rPr>
              <w:sz w:val="23"/>
              <w:u w:val="double"/>
            </w:rPr>
            <w:t>Foreign Corrupt Practices Act</w:t>
          </w:r>
          <w:r>
            <w:rPr>
              <w:sz w:val="23"/>
            </w:rPr>
            <w:tab/>
          </w:r>
          <w:r>
            <w:rPr>
              <w:sz w:val="23"/>
              <w:u w:val="double"/>
            </w:rPr>
            <w:t>18</w:t>
          </w:r>
        </w:p>
        <w:p>
          <w:pPr>
            <w:pStyle w:val="TOC2"/>
            <w:tabs>
              <w:tab w:val="left" w:pos="960" w:leader="none"/>
              <w:tab w:val="right" w:pos="9360" w:leader="dot"/>
            </w:tabs>
            <w:bidi w:val="0"/>
            <w:jc w:val="start"/>
            <w:rPr>
              <w:rFonts w:ascii="Times New Roman" w:hAnsi="Times New Roman"/>
              <w:sz w:val="23"/>
              <w:u w:val="double"/>
            </w:rPr>
          </w:pPr>
          <w:r>
            <w:rPr>
              <w:sz w:val="23"/>
              <w:u w:val="double"/>
            </w:rPr>
            <w:t>3.11</w:t>
          </w:r>
          <w:r>
            <w:rPr>
              <w:b w:val="false"/>
              <w:sz w:val="23"/>
            </w:rPr>
            <w:tab/>
          </w:r>
          <w:r>
            <w:rPr>
              <w:sz w:val="23"/>
              <w:u w:val="double"/>
            </w:rPr>
            <w:t>Compliance with Laws</w:t>
          </w:r>
          <w:r>
            <w:rPr>
              <w:sz w:val="23"/>
            </w:rPr>
            <w:tab/>
          </w:r>
          <w:r>
            <w:rPr>
              <w:sz w:val="23"/>
              <w:u w:val="double"/>
            </w:rPr>
            <w:t>18</w:t>
          </w:r>
        </w:p>
        <w:p>
          <w:pPr>
            <w:pStyle w:val="TOC2"/>
            <w:tabs>
              <w:tab w:val="left" w:pos="960" w:leader="none"/>
              <w:tab w:val="right" w:pos="9360" w:leader="dot"/>
            </w:tabs>
            <w:bidi w:val="0"/>
            <w:jc w:val="start"/>
            <w:rPr>
              <w:rFonts w:ascii="Times New Roman" w:hAnsi="Times New Roman"/>
              <w:sz w:val="23"/>
              <w:u w:val="double"/>
            </w:rPr>
          </w:pPr>
          <w:r>
            <w:rPr>
              <w:sz w:val="23"/>
              <w:u w:val="double"/>
            </w:rPr>
            <w:t>3.12</w:t>
          </w:r>
          <w:r>
            <w:rPr>
              <w:b w:val="false"/>
              <w:sz w:val="23"/>
            </w:rPr>
            <w:tab/>
          </w:r>
          <w:r>
            <w:rPr>
              <w:sz w:val="23"/>
              <w:u w:val="double"/>
            </w:rPr>
            <w:t>Books and Records</w:t>
          </w:r>
          <w:r>
            <w:rPr>
              <w:sz w:val="23"/>
            </w:rPr>
            <w:tab/>
          </w:r>
          <w:r>
            <w:rPr>
              <w:sz w:val="23"/>
              <w:u w:val="double"/>
            </w:rPr>
            <w:t>19</w:t>
          </w:r>
        </w:p>
        <w:p>
          <w:pPr>
            <w:pStyle w:val="TOC2"/>
            <w:tabs>
              <w:tab w:val="left" w:pos="960" w:leader="none"/>
              <w:tab w:val="right" w:pos="9360" w:leader="dot"/>
            </w:tabs>
            <w:bidi w:val="0"/>
            <w:jc w:val="start"/>
            <w:rPr>
              <w:rFonts w:ascii="Times New Roman" w:hAnsi="Times New Roman"/>
              <w:sz w:val="23"/>
              <w:u w:val="double"/>
            </w:rPr>
          </w:pPr>
          <w:r>
            <w:rPr>
              <w:sz w:val="23"/>
              <w:u w:val="double"/>
            </w:rPr>
            <w:t>3.13</w:t>
          </w:r>
          <w:r>
            <w:rPr>
              <w:b w:val="false"/>
              <w:sz w:val="23"/>
            </w:rPr>
            <w:tab/>
          </w:r>
          <w:r>
            <w:rPr>
              <w:sz w:val="23"/>
              <w:u w:val="double"/>
            </w:rPr>
            <w:t>Taxes and Fees</w:t>
          </w:r>
          <w:r>
            <w:rPr>
              <w:sz w:val="23"/>
            </w:rPr>
            <w:tab/>
          </w:r>
          <w:r>
            <w:rPr>
              <w:sz w:val="23"/>
              <w:u w:val="double"/>
            </w:rPr>
            <w:t>19</w:t>
          </w:r>
        </w:p>
        <w:p>
          <w:pPr>
            <w:pStyle w:val="TOC2"/>
            <w:tabs>
              <w:tab w:val="left" w:pos="960" w:leader="none"/>
              <w:tab w:val="right" w:pos="9360" w:leader="dot"/>
            </w:tabs>
            <w:bidi w:val="0"/>
            <w:jc w:val="start"/>
            <w:rPr>
              <w:rFonts w:ascii="Times New Roman" w:hAnsi="Times New Roman"/>
              <w:sz w:val="23"/>
              <w:u w:val="double"/>
            </w:rPr>
          </w:pPr>
          <w:r>
            <w:rPr>
              <w:sz w:val="23"/>
              <w:u w:val="double"/>
            </w:rPr>
            <w:t>3.14</w:t>
          </w:r>
          <w:r>
            <w:rPr>
              <w:b w:val="false"/>
              <w:sz w:val="23"/>
            </w:rPr>
            <w:tab/>
          </w:r>
          <w:r>
            <w:rPr>
              <w:sz w:val="23"/>
              <w:u w:val="double"/>
            </w:rPr>
            <w:t>Access and Inspections, Correction of Defects</w:t>
          </w:r>
          <w:r>
            <w:rPr>
              <w:sz w:val="23"/>
            </w:rPr>
            <w:tab/>
          </w:r>
          <w:r>
            <w:rPr>
              <w:sz w:val="23"/>
              <w:u w:val="double"/>
            </w:rPr>
            <w:t>20</w:t>
          </w:r>
        </w:p>
        <w:p>
          <w:pPr>
            <w:pStyle w:val="TOC2"/>
            <w:tabs>
              <w:tab w:val="left" w:pos="960" w:leader="none"/>
              <w:tab w:val="right" w:pos="9360" w:leader="dot"/>
            </w:tabs>
            <w:bidi w:val="0"/>
            <w:jc w:val="start"/>
            <w:rPr>
              <w:rFonts w:ascii="Times New Roman" w:hAnsi="Times New Roman"/>
              <w:sz w:val="23"/>
              <w:u w:val="double"/>
            </w:rPr>
          </w:pPr>
          <w:r>
            <w:rPr>
              <w:sz w:val="23"/>
              <w:u w:val="double"/>
            </w:rPr>
            <w:t>3.15</w:t>
          </w:r>
          <w:r>
            <w:rPr>
              <w:b w:val="false"/>
              <w:sz w:val="23"/>
            </w:rPr>
            <w:tab/>
          </w:r>
          <w:r>
            <w:rPr>
              <w:sz w:val="23"/>
              <w:u w:val="double"/>
            </w:rPr>
            <w:t>Security of  the Site; Storage and Related Matters</w:t>
          </w:r>
          <w:r>
            <w:rPr>
              <w:sz w:val="23"/>
            </w:rPr>
            <w:tab/>
          </w:r>
          <w:r>
            <w:rPr>
              <w:sz w:val="23"/>
              <w:u w:val="double"/>
            </w:rPr>
            <w:t>21</w:t>
          </w:r>
        </w:p>
        <w:p>
          <w:pPr>
            <w:pStyle w:val="TOC2"/>
            <w:tabs>
              <w:tab w:val="left" w:pos="960" w:leader="none"/>
              <w:tab w:val="right" w:pos="9360" w:leader="dot"/>
            </w:tabs>
            <w:bidi w:val="0"/>
            <w:jc w:val="start"/>
            <w:rPr>
              <w:rFonts w:ascii="Times New Roman" w:hAnsi="Times New Roman"/>
              <w:sz w:val="23"/>
              <w:u w:val="double"/>
            </w:rPr>
          </w:pPr>
          <w:r>
            <w:rPr>
              <w:sz w:val="23"/>
              <w:u w:val="double"/>
            </w:rPr>
            <w:t>3.16</w:t>
          </w:r>
          <w:r>
            <w:rPr>
              <w:b w:val="false"/>
              <w:sz w:val="23"/>
            </w:rPr>
            <w:tab/>
          </w:r>
          <w:r>
            <w:rPr>
              <w:sz w:val="23"/>
              <w:u w:val="double"/>
            </w:rPr>
            <w:t>Cooperation and Non-interference</w:t>
          </w:r>
          <w:r>
            <w:rPr>
              <w:sz w:val="23"/>
            </w:rPr>
            <w:tab/>
          </w:r>
          <w:r>
            <w:rPr>
              <w:sz w:val="23"/>
              <w:u w:val="double"/>
            </w:rPr>
            <w:t>21</w:t>
          </w:r>
        </w:p>
        <w:p>
          <w:pPr>
            <w:pStyle w:val="TOC2"/>
            <w:tabs>
              <w:tab w:val="left" w:pos="960" w:leader="none"/>
              <w:tab w:val="right" w:pos="9360" w:leader="dot"/>
            </w:tabs>
            <w:bidi w:val="0"/>
            <w:jc w:val="start"/>
            <w:rPr>
              <w:rFonts w:ascii="Times New Roman" w:hAnsi="Times New Roman"/>
              <w:sz w:val="23"/>
              <w:u w:val="double"/>
            </w:rPr>
          </w:pPr>
          <w:r>
            <w:rPr>
              <w:sz w:val="23"/>
              <w:u w:val="double"/>
            </w:rPr>
            <w:t>3.17</w:t>
          </w:r>
          <w:r>
            <w:rPr>
              <w:b w:val="false"/>
              <w:sz w:val="23"/>
            </w:rPr>
            <w:tab/>
          </w:r>
          <w:r>
            <w:rPr>
              <w:sz w:val="23"/>
              <w:u w:val="double"/>
            </w:rPr>
            <w:t>No Liens</w:t>
          </w:r>
          <w:r>
            <w:rPr>
              <w:sz w:val="23"/>
            </w:rPr>
            <w:tab/>
          </w:r>
          <w:r>
            <w:rPr>
              <w:sz w:val="23"/>
              <w:u w:val="double"/>
            </w:rPr>
            <w:t>22</w:t>
          </w:r>
        </w:p>
        <w:p>
          <w:pPr>
            <w:pStyle w:val="TOC2"/>
            <w:tabs>
              <w:tab w:val="left" w:pos="960" w:leader="none"/>
              <w:tab w:val="right" w:pos="9360" w:leader="dot"/>
            </w:tabs>
            <w:bidi w:val="0"/>
            <w:jc w:val="start"/>
            <w:rPr>
              <w:rFonts w:ascii="Times New Roman" w:hAnsi="Times New Roman"/>
              <w:sz w:val="23"/>
              <w:u w:val="double"/>
            </w:rPr>
          </w:pPr>
          <w:r>
            <w:rPr>
              <w:sz w:val="23"/>
              <w:u w:val="double"/>
            </w:rPr>
            <w:t>3.18</w:t>
          </w:r>
          <w:r>
            <w:rPr>
              <w:b w:val="false"/>
              <w:sz w:val="23"/>
            </w:rPr>
            <w:tab/>
          </w:r>
          <w:r>
            <w:rPr>
              <w:sz w:val="23"/>
              <w:u w:val="double"/>
            </w:rPr>
            <w:t>Hazardous Substances, Endangered Species, Archaeological Discoveries and Ground Risk</w:t>
          </w:r>
          <w:r>
            <w:rPr>
              <w:sz w:val="23"/>
            </w:rPr>
            <w:tab/>
          </w:r>
          <w:r>
            <w:rPr>
              <w:sz w:val="23"/>
              <w:u w:val="double"/>
            </w:rPr>
            <w:t>23</w:t>
          </w:r>
        </w:p>
        <w:p>
          <w:pPr>
            <w:pStyle w:val="TOC2"/>
            <w:tabs>
              <w:tab w:val="left" w:pos="960" w:leader="none"/>
              <w:tab w:val="right" w:pos="9360" w:leader="dot"/>
            </w:tabs>
            <w:bidi w:val="0"/>
            <w:jc w:val="start"/>
            <w:rPr>
              <w:rFonts w:ascii="Times New Roman" w:hAnsi="Times New Roman"/>
              <w:sz w:val="23"/>
              <w:u w:val="double"/>
            </w:rPr>
          </w:pPr>
          <w:r>
            <w:rPr>
              <w:sz w:val="23"/>
              <w:u w:val="double"/>
            </w:rPr>
            <w:t>3.19</w:t>
          </w:r>
          <w:r>
            <w:rPr>
              <w:b w:val="false"/>
              <w:sz w:val="23"/>
            </w:rPr>
            <w:tab/>
          </w:r>
          <w:r>
            <w:rPr>
              <w:sz w:val="23"/>
              <w:u w:val="double"/>
            </w:rPr>
            <w:t>Traffic and Special Loads</w:t>
          </w:r>
          <w:r>
            <w:rPr>
              <w:sz w:val="23"/>
            </w:rPr>
            <w:tab/>
          </w:r>
          <w:r>
            <w:rPr>
              <w:sz w:val="23"/>
              <w:u w:val="double"/>
            </w:rPr>
            <w:t>24</w:t>
          </w:r>
        </w:p>
        <w:p>
          <w:pPr>
            <w:pStyle w:val="TOC2"/>
            <w:tabs>
              <w:tab w:val="left" w:pos="960" w:leader="none"/>
              <w:tab w:val="right" w:pos="9360" w:leader="dot"/>
            </w:tabs>
            <w:bidi w:val="0"/>
            <w:jc w:val="start"/>
            <w:rPr>
              <w:rFonts w:ascii="Times New Roman" w:hAnsi="Times New Roman"/>
              <w:sz w:val="23"/>
              <w:u w:val="double"/>
            </w:rPr>
          </w:pPr>
          <w:r>
            <w:rPr>
              <w:sz w:val="23"/>
              <w:u w:val="double"/>
            </w:rPr>
            <w:t>3.20</w:t>
          </w:r>
          <w:r>
            <w:rPr>
              <w:b w:val="false"/>
              <w:sz w:val="23"/>
            </w:rPr>
            <w:tab/>
          </w:r>
          <w:r>
            <w:rPr>
              <w:sz w:val="23"/>
              <w:u w:val="double"/>
            </w:rPr>
            <w:t>Waterborne Traffic</w:t>
          </w:r>
          <w:r>
            <w:rPr>
              <w:sz w:val="23"/>
            </w:rPr>
            <w:tab/>
          </w:r>
          <w:r>
            <w:rPr>
              <w:sz w:val="23"/>
              <w:u w:val="double"/>
            </w:rPr>
            <w:t>24</w:t>
          </w:r>
        </w:p>
        <w:p>
          <w:pPr>
            <w:pStyle w:val="TOC2"/>
            <w:tabs>
              <w:tab w:val="left" w:pos="960" w:leader="none"/>
              <w:tab w:val="right" w:pos="9360" w:leader="dot"/>
            </w:tabs>
            <w:bidi w:val="0"/>
            <w:jc w:val="start"/>
            <w:rPr>
              <w:rFonts w:ascii="Times New Roman" w:hAnsi="Times New Roman"/>
              <w:sz w:val="23"/>
              <w:u w:val="double"/>
            </w:rPr>
          </w:pPr>
          <w:r>
            <w:rPr>
              <w:sz w:val="23"/>
              <w:u w:val="double"/>
            </w:rPr>
            <w:t>3.21</w:t>
          </w:r>
          <w:r>
            <w:rPr>
              <w:b w:val="false"/>
              <w:sz w:val="23"/>
            </w:rPr>
            <w:tab/>
          </w:r>
          <w:r>
            <w:rPr>
              <w:sz w:val="23"/>
              <w:u w:val="double"/>
            </w:rPr>
            <w:t>Quality Assurance</w:t>
          </w:r>
          <w:r>
            <w:rPr>
              <w:sz w:val="23"/>
            </w:rPr>
            <w:tab/>
          </w:r>
          <w:r>
            <w:rPr>
              <w:sz w:val="23"/>
              <w:u w:val="double"/>
            </w:rPr>
            <w:t>24</w:t>
          </w:r>
        </w:p>
        <w:p>
          <w:pPr>
            <w:pStyle w:val="TOC2"/>
            <w:tabs>
              <w:tab w:val="left" w:pos="960" w:leader="none"/>
              <w:tab w:val="right" w:pos="9360" w:leader="dot"/>
            </w:tabs>
            <w:bidi w:val="0"/>
            <w:jc w:val="start"/>
            <w:rPr>
              <w:rFonts w:ascii="Times New Roman" w:hAnsi="Times New Roman"/>
              <w:sz w:val="23"/>
              <w:u w:val="double"/>
            </w:rPr>
          </w:pPr>
          <w:r>
            <w:rPr>
              <w:sz w:val="23"/>
              <w:u w:val="double"/>
            </w:rPr>
            <w:t>3.22</w:t>
          </w:r>
          <w:r>
            <w:rPr>
              <w:b w:val="false"/>
              <w:sz w:val="23"/>
            </w:rPr>
            <w:tab/>
          </w:r>
          <w:r>
            <w:rPr>
              <w:sz w:val="23"/>
              <w:u w:val="double"/>
            </w:rPr>
            <w:t>Equipment Packing and Insurance Surveyor</w:t>
          </w:r>
          <w:r>
            <w:rPr>
              <w:sz w:val="23"/>
            </w:rPr>
            <w:tab/>
          </w:r>
          <w:r>
            <w:rPr>
              <w:sz w:val="23"/>
              <w:u w:val="double"/>
            </w:rPr>
            <w:t>25</w:t>
          </w:r>
        </w:p>
        <w:p>
          <w:pPr>
            <w:pStyle w:val="TOC2"/>
            <w:tabs>
              <w:tab w:val="left" w:pos="960" w:leader="none"/>
              <w:tab w:val="right" w:pos="9360" w:leader="dot"/>
            </w:tabs>
            <w:bidi w:val="0"/>
            <w:jc w:val="start"/>
            <w:rPr>
              <w:rFonts w:ascii="Times New Roman" w:hAnsi="Times New Roman"/>
              <w:sz w:val="23"/>
              <w:u w:val="double"/>
            </w:rPr>
          </w:pPr>
          <w:r>
            <w:rPr>
              <w:sz w:val="23"/>
              <w:u w:val="double"/>
            </w:rPr>
            <w:t>3.23</w:t>
          </w:r>
          <w:r>
            <w:rPr>
              <w:b w:val="false"/>
              <w:sz w:val="23"/>
            </w:rPr>
            <w:tab/>
          </w:r>
          <w:r>
            <w:rPr>
              <w:sz w:val="23"/>
              <w:u w:val="double"/>
            </w:rPr>
            <w:t>Compliance with Recommendation</w:t>
          </w:r>
          <w:r>
            <w:rPr>
              <w:sz w:val="23"/>
            </w:rPr>
            <w:tab/>
          </w:r>
          <w:r>
            <w:rPr>
              <w:sz w:val="23"/>
              <w:u w:val="double"/>
            </w:rPr>
            <w:t>26</w:t>
          </w:r>
        </w:p>
        <w:p>
          <w:pPr>
            <w:pStyle w:val="TOC1"/>
            <w:bidi w:val="0"/>
            <w:jc w:val="start"/>
            <w:rPr>
              <w:rFonts w:ascii="Times New Roman" w:hAnsi="Times New Roman"/>
              <w:sz w:val="23"/>
              <w:u w:val="double"/>
            </w:rPr>
          </w:pPr>
          <w:r>
            <w:rPr>
              <w:rFonts w:ascii="Times New Roman" w:hAnsi="Times New Roman"/>
              <w:sz w:val="23"/>
              <w:u w:val="double"/>
            </w:rPr>
            <w:t>ARTICLE 4:  OWNER’S RESPONSIBILITIES</w:t>
          </w:r>
          <w:r>
            <w:rPr>
              <w:rFonts w:ascii="Times New Roman" w:hAnsi="Times New Roman"/>
              <w:sz w:val="23"/>
            </w:rPr>
            <w:tab/>
          </w:r>
          <w:r>
            <w:rPr>
              <w:rFonts w:ascii="Times New Roman" w:hAnsi="Times New Roman"/>
              <w:sz w:val="23"/>
              <w:u w:val="double"/>
            </w:rPr>
            <w:t>26</w:t>
          </w:r>
        </w:p>
        <w:p>
          <w:pPr>
            <w:pStyle w:val="TOC2"/>
            <w:tabs>
              <w:tab w:val="left" w:pos="960" w:leader="none"/>
              <w:tab w:val="right" w:pos="9360" w:leader="dot"/>
            </w:tabs>
            <w:bidi w:val="0"/>
            <w:jc w:val="start"/>
            <w:rPr>
              <w:rFonts w:ascii="Times New Roman" w:hAnsi="Times New Roman"/>
              <w:sz w:val="23"/>
              <w:u w:val="double"/>
            </w:rPr>
          </w:pPr>
          <w:r>
            <w:rPr>
              <w:sz w:val="23"/>
              <w:u w:val="double"/>
            </w:rPr>
            <w:t>4.1</w:t>
          </w:r>
          <w:r>
            <w:rPr>
              <w:b w:val="false"/>
              <w:sz w:val="23"/>
            </w:rPr>
            <w:tab/>
          </w:r>
          <w:r>
            <w:rPr>
              <w:sz w:val="23"/>
              <w:u w:val="double"/>
            </w:rPr>
            <w:t>Owner’s Scope of Work including Utilities and Interconnections</w:t>
          </w:r>
          <w:r>
            <w:rPr>
              <w:sz w:val="23"/>
            </w:rPr>
            <w:tab/>
          </w:r>
          <w:r>
            <w:rPr>
              <w:sz w:val="23"/>
              <w:u w:val="double"/>
            </w:rPr>
            <w:t>26</w:t>
          </w:r>
        </w:p>
        <w:p>
          <w:pPr>
            <w:pStyle w:val="TOC2"/>
            <w:tabs>
              <w:tab w:val="left" w:pos="960" w:leader="none"/>
              <w:tab w:val="right" w:pos="9360" w:leader="dot"/>
            </w:tabs>
            <w:bidi w:val="0"/>
            <w:jc w:val="start"/>
            <w:rPr>
              <w:rFonts w:ascii="Times New Roman" w:hAnsi="Times New Roman"/>
              <w:sz w:val="23"/>
              <w:u w:val="double"/>
            </w:rPr>
          </w:pPr>
          <w:r>
            <w:rPr>
              <w:sz w:val="23"/>
              <w:u w:val="double"/>
            </w:rPr>
            <w:t>4.2</w:t>
          </w:r>
          <w:r>
            <w:rPr>
              <w:b w:val="false"/>
              <w:sz w:val="23"/>
            </w:rPr>
            <w:tab/>
          </w:r>
          <w:r>
            <w:rPr>
              <w:sz w:val="23"/>
              <w:u w:val="double"/>
            </w:rPr>
            <w:t>Payment</w:t>
          </w:r>
          <w:r>
            <w:rPr>
              <w:sz w:val="23"/>
            </w:rPr>
            <w:tab/>
          </w:r>
          <w:r>
            <w:rPr>
              <w:sz w:val="23"/>
              <w:u w:val="double"/>
            </w:rPr>
            <w:t>26</w:t>
          </w:r>
        </w:p>
        <w:p>
          <w:pPr>
            <w:pStyle w:val="TOC2"/>
            <w:tabs>
              <w:tab w:val="left" w:pos="960" w:leader="none"/>
              <w:tab w:val="right" w:pos="9360" w:leader="dot"/>
            </w:tabs>
            <w:bidi w:val="0"/>
            <w:jc w:val="start"/>
            <w:rPr>
              <w:rFonts w:ascii="Times New Roman" w:hAnsi="Times New Roman"/>
              <w:sz w:val="23"/>
              <w:u w:val="double"/>
            </w:rPr>
          </w:pPr>
          <w:r>
            <w:rPr>
              <w:sz w:val="23"/>
              <w:u w:val="double"/>
            </w:rPr>
            <w:t>4.3</w:t>
          </w:r>
          <w:r>
            <w:rPr>
              <w:b w:val="false"/>
              <w:sz w:val="23"/>
            </w:rPr>
            <w:tab/>
          </w:r>
          <w:r>
            <w:rPr>
              <w:sz w:val="23"/>
              <w:u w:val="double"/>
            </w:rPr>
            <w:t>Access to Site and Rights of Way</w:t>
          </w:r>
          <w:r>
            <w:rPr>
              <w:sz w:val="23"/>
            </w:rPr>
            <w:tab/>
          </w:r>
          <w:r>
            <w:rPr>
              <w:sz w:val="23"/>
              <w:u w:val="double"/>
            </w:rPr>
            <w:t>26</w:t>
          </w:r>
        </w:p>
        <w:p>
          <w:pPr>
            <w:pStyle w:val="TOC2"/>
            <w:tabs>
              <w:tab w:val="left" w:pos="960" w:leader="none"/>
              <w:tab w:val="right" w:pos="9360" w:leader="dot"/>
            </w:tabs>
            <w:bidi w:val="0"/>
            <w:jc w:val="start"/>
            <w:rPr>
              <w:rFonts w:ascii="Times New Roman" w:hAnsi="Times New Roman"/>
              <w:sz w:val="23"/>
              <w:u w:val="double"/>
            </w:rPr>
          </w:pPr>
          <w:r>
            <w:rPr>
              <w:sz w:val="23"/>
              <w:u w:val="double"/>
            </w:rPr>
            <w:t>4.4</w:t>
          </w:r>
          <w:r>
            <w:rPr>
              <w:b w:val="false"/>
              <w:sz w:val="23"/>
            </w:rPr>
            <w:tab/>
          </w:r>
          <w:r>
            <w:rPr>
              <w:sz w:val="23"/>
              <w:u w:val="double"/>
            </w:rPr>
            <w:t>Governmental Authorizations</w:t>
          </w:r>
          <w:r>
            <w:rPr>
              <w:sz w:val="23"/>
            </w:rPr>
            <w:tab/>
          </w:r>
          <w:r>
            <w:rPr>
              <w:sz w:val="23"/>
              <w:u w:val="double"/>
            </w:rPr>
            <w:t>27</w:t>
          </w:r>
        </w:p>
        <w:p>
          <w:pPr>
            <w:pStyle w:val="TOC2"/>
            <w:tabs>
              <w:tab w:val="left" w:pos="960" w:leader="none"/>
              <w:tab w:val="right" w:pos="9360" w:leader="dot"/>
            </w:tabs>
            <w:bidi w:val="0"/>
            <w:jc w:val="start"/>
            <w:rPr>
              <w:rFonts w:ascii="Times New Roman" w:hAnsi="Times New Roman"/>
              <w:sz w:val="23"/>
              <w:u w:val="double"/>
            </w:rPr>
          </w:pPr>
          <w:r>
            <w:rPr>
              <w:sz w:val="23"/>
              <w:u w:val="double"/>
            </w:rPr>
            <w:t>4.5</w:t>
          </w:r>
          <w:r>
            <w:rPr>
              <w:b w:val="false"/>
              <w:sz w:val="23"/>
            </w:rPr>
            <w:tab/>
          </w:r>
          <w:r>
            <w:rPr>
              <w:sz w:val="23"/>
              <w:u w:val="double"/>
            </w:rPr>
            <w:t>Operating Personnel</w:t>
          </w:r>
          <w:r>
            <w:rPr>
              <w:sz w:val="23"/>
            </w:rPr>
            <w:tab/>
          </w:r>
          <w:r>
            <w:rPr>
              <w:sz w:val="23"/>
              <w:u w:val="double"/>
            </w:rPr>
            <w:t>27</w:t>
          </w:r>
        </w:p>
        <w:p>
          <w:pPr>
            <w:pStyle w:val="TOC2"/>
            <w:tabs>
              <w:tab w:val="left" w:pos="960" w:leader="none"/>
              <w:tab w:val="right" w:pos="9360" w:leader="dot"/>
            </w:tabs>
            <w:bidi w:val="0"/>
            <w:jc w:val="start"/>
            <w:rPr>
              <w:rFonts w:ascii="Times New Roman" w:hAnsi="Times New Roman"/>
              <w:sz w:val="23"/>
              <w:u w:val="double"/>
            </w:rPr>
          </w:pPr>
          <w:r>
            <w:rPr>
              <w:sz w:val="23"/>
              <w:u w:val="double"/>
            </w:rPr>
            <w:t>4.6</w:t>
          </w:r>
          <w:r>
            <w:rPr>
              <w:b w:val="false"/>
              <w:sz w:val="23"/>
            </w:rPr>
            <w:tab/>
          </w:r>
          <w:r>
            <w:rPr>
              <w:sz w:val="23"/>
              <w:u w:val="double"/>
            </w:rPr>
            <w:t>Construction Manager’s Representative</w:t>
          </w:r>
          <w:r>
            <w:rPr>
              <w:sz w:val="23"/>
            </w:rPr>
            <w:tab/>
          </w:r>
          <w:r>
            <w:rPr>
              <w:sz w:val="23"/>
              <w:u w:val="double"/>
            </w:rPr>
            <w:t>27</w:t>
          </w:r>
        </w:p>
        <w:p>
          <w:pPr>
            <w:pStyle w:val="TOC2"/>
            <w:tabs>
              <w:tab w:val="left" w:pos="960" w:leader="none"/>
              <w:tab w:val="right" w:pos="9360" w:leader="dot"/>
            </w:tabs>
            <w:bidi w:val="0"/>
            <w:jc w:val="start"/>
            <w:rPr>
              <w:rFonts w:ascii="Times New Roman" w:hAnsi="Times New Roman"/>
              <w:sz w:val="23"/>
              <w:u w:val="double"/>
            </w:rPr>
          </w:pPr>
          <w:r>
            <w:rPr>
              <w:sz w:val="23"/>
              <w:u w:val="double"/>
            </w:rPr>
            <w:t>4.7</w:t>
          </w:r>
          <w:r>
            <w:rPr>
              <w:b w:val="false"/>
              <w:sz w:val="23"/>
            </w:rPr>
            <w:tab/>
          </w:r>
          <w:r>
            <w:rPr>
              <w:sz w:val="23"/>
              <w:u w:val="double"/>
            </w:rPr>
            <w:t>Divergences from Law</w:t>
          </w:r>
          <w:r>
            <w:rPr>
              <w:sz w:val="23"/>
            </w:rPr>
            <w:tab/>
          </w:r>
          <w:r>
            <w:rPr>
              <w:sz w:val="23"/>
              <w:u w:val="double"/>
            </w:rPr>
            <w:t>28</w:t>
          </w:r>
        </w:p>
        <w:p>
          <w:pPr>
            <w:pStyle w:val="TOC2"/>
            <w:tabs>
              <w:tab w:val="left" w:pos="960" w:leader="none"/>
              <w:tab w:val="right" w:pos="9360" w:leader="dot"/>
            </w:tabs>
            <w:bidi w:val="0"/>
            <w:jc w:val="start"/>
            <w:rPr>
              <w:rFonts w:ascii="Times New Roman" w:hAnsi="Times New Roman"/>
              <w:sz w:val="23"/>
              <w:u w:val="double"/>
            </w:rPr>
          </w:pPr>
          <w:r>
            <w:rPr>
              <w:sz w:val="23"/>
              <w:u w:val="double"/>
            </w:rPr>
            <w:t>4.8</w:t>
          </w:r>
          <w:r>
            <w:rPr>
              <w:b w:val="false"/>
              <w:sz w:val="23"/>
            </w:rPr>
            <w:tab/>
          </w:r>
          <w:r>
            <w:rPr>
              <w:sz w:val="23"/>
              <w:u w:val="double"/>
            </w:rPr>
            <w:t>Foreign Corrupt Practices Act</w:t>
          </w:r>
          <w:r>
            <w:rPr>
              <w:sz w:val="23"/>
            </w:rPr>
            <w:tab/>
          </w:r>
          <w:r>
            <w:rPr>
              <w:sz w:val="23"/>
              <w:u w:val="double"/>
            </w:rPr>
            <w:t>28</w:t>
          </w:r>
        </w:p>
        <w:p>
          <w:pPr>
            <w:pStyle w:val="TOC2"/>
            <w:tabs>
              <w:tab w:val="left" w:pos="960" w:leader="none"/>
              <w:tab w:val="right" w:pos="9360" w:leader="dot"/>
            </w:tabs>
            <w:bidi w:val="0"/>
            <w:jc w:val="start"/>
            <w:rPr>
              <w:rFonts w:ascii="Times New Roman" w:hAnsi="Times New Roman"/>
              <w:sz w:val="23"/>
              <w:u w:val="double"/>
            </w:rPr>
          </w:pPr>
          <w:r>
            <w:rPr>
              <w:sz w:val="23"/>
              <w:u w:val="double"/>
            </w:rPr>
            <w:t>4.9</w:t>
          </w:r>
          <w:r>
            <w:rPr>
              <w:b w:val="false"/>
              <w:sz w:val="23"/>
            </w:rPr>
            <w:tab/>
          </w:r>
          <w:r>
            <w:rPr>
              <w:sz w:val="23"/>
              <w:u w:val="double"/>
            </w:rPr>
            <w:t>Compliance with Law</w:t>
          </w:r>
          <w:r>
            <w:rPr>
              <w:sz w:val="23"/>
            </w:rPr>
            <w:tab/>
          </w:r>
          <w:r>
            <w:rPr>
              <w:sz w:val="23"/>
              <w:u w:val="double"/>
            </w:rPr>
            <w:t>28</w:t>
          </w:r>
        </w:p>
        <w:p>
          <w:pPr>
            <w:pStyle w:val="TOC2"/>
            <w:tabs>
              <w:tab w:val="left" w:pos="960" w:leader="none"/>
              <w:tab w:val="right" w:pos="9360" w:leader="dot"/>
            </w:tabs>
            <w:bidi w:val="0"/>
            <w:jc w:val="start"/>
            <w:rPr>
              <w:rFonts w:ascii="Times New Roman" w:hAnsi="Times New Roman"/>
              <w:sz w:val="23"/>
              <w:u w:val="double"/>
            </w:rPr>
          </w:pPr>
          <w:r>
            <w:rPr>
              <w:sz w:val="23"/>
              <w:u w:val="double"/>
            </w:rPr>
            <w:t>4.10</w:t>
          </w:r>
          <w:r>
            <w:rPr>
              <w:b w:val="false"/>
              <w:sz w:val="23"/>
            </w:rPr>
            <w:tab/>
          </w:r>
          <w:r>
            <w:rPr>
              <w:sz w:val="23"/>
              <w:u w:val="double"/>
            </w:rPr>
            <w:t>Taxes and Duties</w:t>
          </w:r>
          <w:r>
            <w:rPr>
              <w:sz w:val="23"/>
            </w:rPr>
            <w:tab/>
          </w:r>
          <w:r>
            <w:rPr>
              <w:sz w:val="23"/>
              <w:u w:val="double"/>
            </w:rPr>
            <w:t>28</w:t>
          </w:r>
        </w:p>
        <w:p>
          <w:pPr>
            <w:pStyle w:val="TOC2"/>
            <w:tabs>
              <w:tab w:val="left" w:pos="960" w:leader="none"/>
              <w:tab w:val="right" w:pos="9360" w:leader="dot"/>
            </w:tabs>
            <w:bidi w:val="0"/>
            <w:jc w:val="start"/>
            <w:rPr>
              <w:rFonts w:ascii="Times New Roman" w:hAnsi="Times New Roman"/>
              <w:sz w:val="23"/>
              <w:u w:val="double"/>
            </w:rPr>
          </w:pPr>
          <w:r>
            <w:rPr>
              <w:sz w:val="23"/>
              <w:u w:val="double"/>
            </w:rPr>
            <w:t>4.11</w:t>
          </w:r>
          <w:r>
            <w:rPr>
              <w:b w:val="false"/>
              <w:sz w:val="23"/>
            </w:rPr>
            <w:tab/>
          </w:r>
          <w:r>
            <w:rPr>
              <w:sz w:val="23"/>
              <w:u w:val="double"/>
            </w:rPr>
            <w:t>Owner's Designee</w:t>
          </w:r>
          <w:r>
            <w:rPr>
              <w:sz w:val="23"/>
            </w:rPr>
            <w:tab/>
          </w:r>
          <w:r>
            <w:rPr>
              <w:sz w:val="23"/>
              <w:u w:val="double"/>
            </w:rPr>
            <w:t>35</w:t>
          </w:r>
        </w:p>
        <w:p>
          <w:pPr>
            <w:pStyle w:val="TOC2"/>
            <w:tabs>
              <w:tab w:val="left" w:pos="960" w:leader="none"/>
              <w:tab w:val="right" w:pos="9360" w:leader="dot"/>
            </w:tabs>
            <w:bidi w:val="0"/>
            <w:jc w:val="start"/>
            <w:rPr>
              <w:rFonts w:ascii="Times New Roman" w:hAnsi="Times New Roman"/>
              <w:sz w:val="23"/>
              <w:u w:val="double"/>
            </w:rPr>
          </w:pPr>
          <w:r>
            <w:rPr>
              <w:sz w:val="23"/>
              <w:u w:val="double"/>
            </w:rPr>
            <w:t>4.12</w:t>
          </w:r>
          <w:r>
            <w:rPr>
              <w:sz w:val="23"/>
            </w:rPr>
            <w:tab/>
          </w:r>
          <w:r>
            <w:rPr>
              <w:sz w:val="23"/>
              <w:u w:val="double"/>
            </w:rPr>
            <w:t>Power Island Equipment</w:t>
          </w:r>
          <w:r>
            <w:rPr>
              <w:sz w:val="23"/>
            </w:rPr>
            <w:tab/>
          </w:r>
          <w:r>
            <w:rPr>
              <w:sz w:val="23"/>
              <w:u w:val="double"/>
            </w:rPr>
            <w:t>35</w:t>
          </w:r>
        </w:p>
        <w:p>
          <w:pPr>
            <w:pStyle w:val="TOC1"/>
            <w:bidi w:val="0"/>
            <w:jc w:val="start"/>
            <w:rPr>
              <w:rFonts w:ascii="Times New Roman" w:hAnsi="Times New Roman"/>
              <w:sz w:val="23"/>
              <w:u w:val="double"/>
            </w:rPr>
          </w:pPr>
          <w:r>
            <w:rPr>
              <w:rFonts w:ascii="Times New Roman" w:hAnsi="Times New Roman"/>
              <w:sz w:val="23"/>
              <w:u w:val="double"/>
            </w:rPr>
            <w:t>ARTICLE 5:  COMMENCEMENT OF WORK</w:t>
          </w:r>
          <w:r>
            <w:rPr>
              <w:rFonts w:ascii="Times New Roman" w:hAnsi="Times New Roman"/>
              <w:sz w:val="23"/>
            </w:rPr>
            <w:tab/>
          </w:r>
          <w:r>
            <w:rPr>
              <w:rFonts w:ascii="Times New Roman" w:hAnsi="Times New Roman"/>
              <w:sz w:val="23"/>
              <w:u w:val="double"/>
            </w:rPr>
            <w:t>29</w:t>
          </w:r>
        </w:p>
        <w:p>
          <w:pPr>
            <w:pStyle w:val="TOC2"/>
            <w:tabs>
              <w:tab w:val="left" w:pos="960" w:leader="none"/>
              <w:tab w:val="right" w:pos="9360" w:leader="dot"/>
            </w:tabs>
            <w:bidi w:val="0"/>
            <w:jc w:val="start"/>
            <w:rPr>
              <w:rFonts w:ascii="Times New Roman" w:hAnsi="Times New Roman"/>
              <w:sz w:val="23"/>
              <w:u w:val="double"/>
            </w:rPr>
          </w:pPr>
          <w:r>
            <w:rPr>
              <w:sz w:val="23"/>
              <w:u w:val="double"/>
            </w:rPr>
            <w:t>5.1</w:t>
          </w:r>
          <w:r>
            <w:rPr>
              <w:b w:val="false"/>
              <w:sz w:val="23"/>
            </w:rPr>
            <w:tab/>
          </w:r>
          <w:r>
            <w:rPr>
              <w:sz w:val="23"/>
              <w:u w:val="double"/>
            </w:rPr>
            <w:t>Commencement of Work</w:t>
          </w:r>
          <w:r>
            <w:rPr>
              <w:sz w:val="23"/>
            </w:rPr>
            <w:tab/>
          </w:r>
          <w:r>
            <w:rPr>
              <w:sz w:val="23"/>
              <w:u w:val="double"/>
            </w:rPr>
            <w:t>29</w:t>
          </w:r>
        </w:p>
        <w:p>
          <w:pPr>
            <w:pStyle w:val="TOC2"/>
            <w:tabs>
              <w:tab w:val="left" w:pos="960" w:leader="none"/>
              <w:tab w:val="right" w:pos="9360" w:leader="dot"/>
            </w:tabs>
            <w:bidi w:val="0"/>
            <w:jc w:val="start"/>
            <w:rPr>
              <w:rFonts w:ascii="Times New Roman" w:hAnsi="Times New Roman"/>
              <w:sz w:val="23"/>
              <w:u w:val="double"/>
            </w:rPr>
          </w:pPr>
          <w:r>
            <w:rPr>
              <w:sz w:val="23"/>
              <w:u w:val="double"/>
            </w:rPr>
            <w:t>5.2</w:t>
          </w:r>
          <w:r>
            <w:rPr>
              <w:b w:val="false"/>
              <w:sz w:val="23"/>
            </w:rPr>
            <w:tab/>
          </w:r>
          <w:r>
            <w:rPr>
              <w:sz w:val="23"/>
              <w:u w:val="double"/>
            </w:rPr>
            <w:t>Project Schedule</w:t>
          </w:r>
          <w:r>
            <w:rPr>
              <w:sz w:val="23"/>
            </w:rPr>
            <w:tab/>
          </w:r>
          <w:r>
            <w:rPr>
              <w:sz w:val="23"/>
              <w:u w:val="double"/>
            </w:rPr>
            <w:t>29</w:t>
          </w:r>
        </w:p>
        <w:p>
          <w:pPr>
            <w:pStyle w:val="TOC2"/>
            <w:tabs>
              <w:tab w:val="left" w:pos="960" w:leader="none"/>
              <w:tab w:val="right" w:pos="9360" w:leader="dot"/>
            </w:tabs>
            <w:bidi w:val="0"/>
            <w:jc w:val="start"/>
            <w:rPr>
              <w:rFonts w:ascii="Times New Roman" w:hAnsi="Times New Roman"/>
              <w:sz w:val="23"/>
              <w:u w:val="double"/>
            </w:rPr>
          </w:pPr>
          <w:r>
            <w:rPr>
              <w:sz w:val="23"/>
              <w:u w:val="double"/>
            </w:rPr>
            <w:t>5.3</w:t>
          </w:r>
          <w:r>
            <w:rPr>
              <w:b w:val="false"/>
              <w:sz w:val="23"/>
            </w:rPr>
            <w:tab/>
          </w:r>
          <w:r>
            <w:rPr>
              <w:sz w:val="23"/>
              <w:u w:val="double"/>
            </w:rPr>
            <w:t>Progress Reports and Consultation</w:t>
          </w:r>
          <w:r>
            <w:rPr>
              <w:sz w:val="23"/>
            </w:rPr>
            <w:tab/>
          </w:r>
          <w:r>
            <w:rPr>
              <w:sz w:val="23"/>
              <w:u w:val="double"/>
            </w:rPr>
            <w:t>30</w:t>
          </w:r>
        </w:p>
        <w:p>
          <w:pPr>
            <w:pStyle w:val="TOC1"/>
            <w:bidi w:val="0"/>
            <w:jc w:val="start"/>
            <w:rPr>
              <w:rFonts w:ascii="Times New Roman" w:hAnsi="Times New Roman"/>
              <w:sz w:val="23"/>
              <w:u w:val="double"/>
            </w:rPr>
          </w:pPr>
          <w:r>
            <w:rPr>
              <w:rFonts w:ascii="Times New Roman" w:hAnsi="Times New Roman"/>
              <w:sz w:val="23"/>
              <w:u w:val="double"/>
            </w:rPr>
            <w:t>ARTICLE 6:  CHANGES</w:t>
          </w:r>
          <w:r>
            <w:rPr>
              <w:rFonts w:ascii="Times New Roman" w:hAnsi="Times New Roman"/>
              <w:sz w:val="23"/>
            </w:rPr>
            <w:tab/>
          </w:r>
          <w:r>
            <w:rPr>
              <w:rFonts w:ascii="Times New Roman" w:hAnsi="Times New Roman"/>
              <w:sz w:val="23"/>
              <w:u w:val="double"/>
            </w:rPr>
            <w:t>30</w:t>
          </w:r>
        </w:p>
        <w:p>
          <w:pPr>
            <w:pStyle w:val="TOC2"/>
            <w:tabs>
              <w:tab w:val="left" w:pos="960" w:leader="none"/>
              <w:tab w:val="right" w:pos="9360" w:leader="dot"/>
            </w:tabs>
            <w:bidi w:val="0"/>
            <w:jc w:val="start"/>
            <w:rPr>
              <w:rFonts w:ascii="Times New Roman" w:hAnsi="Times New Roman"/>
              <w:sz w:val="23"/>
              <w:u w:val="double"/>
            </w:rPr>
          </w:pPr>
          <w:r>
            <w:rPr>
              <w:sz w:val="23"/>
              <w:u w:val="double"/>
            </w:rPr>
            <w:t>6.1</w:t>
          </w:r>
          <w:r>
            <w:rPr>
              <w:b w:val="false"/>
              <w:sz w:val="23"/>
            </w:rPr>
            <w:tab/>
          </w:r>
          <w:r>
            <w:rPr>
              <w:sz w:val="23"/>
              <w:u w:val="double"/>
            </w:rPr>
            <w:t>Change Orders</w:t>
          </w:r>
          <w:r>
            <w:rPr>
              <w:sz w:val="23"/>
            </w:rPr>
            <w:tab/>
          </w:r>
          <w:r>
            <w:rPr>
              <w:sz w:val="23"/>
              <w:u w:val="double"/>
            </w:rPr>
            <w:t>30</w:t>
          </w:r>
        </w:p>
        <w:p>
          <w:pPr>
            <w:pStyle w:val="TOC2"/>
            <w:tabs>
              <w:tab w:val="left" w:pos="960" w:leader="none"/>
              <w:tab w:val="right" w:pos="9360" w:leader="dot"/>
            </w:tabs>
            <w:bidi w:val="0"/>
            <w:jc w:val="start"/>
            <w:rPr>
              <w:rFonts w:ascii="Times New Roman" w:hAnsi="Times New Roman"/>
              <w:sz w:val="23"/>
              <w:u w:val="double"/>
            </w:rPr>
          </w:pPr>
          <w:r>
            <w:rPr>
              <w:sz w:val="23"/>
              <w:u w:val="double"/>
            </w:rPr>
            <w:t>6.2</w:t>
          </w:r>
          <w:r>
            <w:rPr>
              <w:b w:val="false"/>
              <w:sz w:val="23"/>
            </w:rPr>
            <w:tab/>
          </w:r>
          <w:r>
            <w:rPr>
              <w:sz w:val="23"/>
              <w:u w:val="double"/>
            </w:rPr>
            <w:t>Owner Directed Changes</w:t>
          </w:r>
          <w:r>
            <w:rPr>
              <w:sz w:val="23"/>
            </w:rPr>
            <w:tab/>
          </w:r>
          <w:r>
            <w:rPr>
              <w:sz w:val="23"/>
              <w:u w:val="double"/>
            </w:rPr>
            <w:t>31</w:t>
          </w:r>
        </w:p>
        <w:p>
          <w:pPr>
            <w:pStyle w:val="TOC2"/>
            <w:tabs>
              <w:tab w:val="left" w:pos="960" w:leader="none"/>
              <w:tab w:val="right" w:pos="9360" w:leader="dot"/>
            </w:tabs>
            <w:bidi w:val="0"/>
            <w:jc w:val="start"/>
            <w:rPr>
              <w:rFonts w:ascii="Times New Roman" w:hAnsi="Times New Roman"/>
              <w:sz w:val="23"/>
              <w:u w:val="double"/>
            </w:rPr>
          </w:pPr>
          <w:r>
            <w:rPr>
              <w:sz w:val="23"/>
              <w:u w:val="double"/>
            </w:rPr>
            <w:t>6.3</w:t>
          </w:r>
          <w:r>
            <w:rPr>
              <w:b w:val="false"/>
              <w:sz w:val="23"/>
            </w:rPr>
            <w:tab/>
          </w:r>
          <w:r>
            <w:rPr>
              <w:sz w:val="23"/>
              <w:u w:val="double"/>
            </w:rPr>
            <w:t>Contractor Changes</w:t>
          </w:r>
          <w:r>
            <w:rPr>
              <w:sz w:val="23"/>
            </w:rPr>
            <w:tab/>
          </w:r>
          <w:r>
            <w:rPr>
              <w:sz w:val="23"/>
              <w:u w:val="double"/>
            </w:rPr>
            <w:t>31</w:t>
          </w:r>
        </w:p>
        <w:p>
          <w:pPr>
            <w:pStyle w:val="TOC2"/>
            <w:tabs>
              <w:tab w:val="left" w:pos="960" w:leader="none"/>
              <w:tab w:val="right" w:pos="9360" w:leader="dot"/>
            </w:tabs>
            <w:bidi w:val="0"/>
            <w:jc w:val="start"/>
            <w:rPr>
              <w:rFonts w:ascii="Times New Roman" w:hAnsi="Times New Roman"/>
              <w:sz w:val="23"/>
              <w:u w:val="double"/>
            </w:rPr>
          </w:pPr>
          <w:r>
            <w:rPr>
              <w:sz w:val="23"/>
              <w:u w:val="double"/>
            </w:rPr>
            <w:t>6.4</w:t>
          </w:r>
          <w:r>
            <w:rPr>
              <w:b w:val="false"/>
              <w:sz w:val="23"/>
            </w:rPr>
            <w:tab/>
          </w:r>
          <w:r>
            <w:rPr>
              <w:sz w:val="23"/>
              <w:u w:val="double"/>
            </w:rPr>
            <w:t>Definition of Change</w:t>
          </w:r>
          <w:r>
            <w:rPr>
              <w:sz w:val="23"/>
            </w:rPr>
            <w:tab/>
          </w:r>
          <w:r>
            <w:rPr>
              <w:sz w:val="23"/>
              <w:u w:val="double"/>
            </w:rPr>
            <w:t>31</w:t>
          </w:r>
        </w:p>
        <w:p>
          <w:pPr>
            <w:pStyle w:val="TOC2"/>
            <w:tabs>
              <w:tab w:val="left" w:pos="960" w:leader="none"/>
              <w:tab w:val="right" w:pos="9360" w:leader="dot"/>
            </w:tabs>
            <w:bidi w:val="0"/>
            <w:jc w:val="start"/>
            <w:rPr>
              <w:rFonts w:ascii="Times New Roman" w:hAnsi="Times New Roman"/>
              <w:sz w:val="23"/>
              <w:u w:val="double"/>
            </w:rPr>
          </w:pPr>
          <w:r>
            <w:rPr>
              <w:sz w:val="23"/>
              <w:u w:val="double"/>
            </w:rPr>
            <w:t>6.5</w:t>
          </w:r>
          <w:r>
            <w:rPr>
              <w:b w:val="false"/>
              <w:sz w:val="23"/>
            </w:rPr>
            <w:tab/>
          </w:r>
          <w:r>
            <w:rPr>
              <w:sz w:val="23"/>
              <w:u w:val="double"/>
            </w:rPr>
            <w:t>Adjustments to Agreement</w:t>
          </w:r>
          <w:r>
            <w:rPr>
              <w:sz w:val="23"/>
            </w:rPr>
            <w:tab/>
          </w:r>
          <w:r>
            <w:rPr>
              <w:sz w:val="23"/>
              <w:u w:val="double"/>
            </w:rPr>
            <w:t>31</w:t>
          </w:r>
        </w:p>
        <w:p>
          <w:pPr>
            <w:pStyle w:val="TOC2"/>
            <w:tabs>
              <w:tab w:val="left" w:pos="960" w:leader="none"/>
              <w:tab w:val="right" w:pos="9360" w:leader="dot"/>
            </w:tabs>
            <w:bidi w:val="0"/>
            <w:jc w:val="start"/>
            <w:rPr>
              <w:rFonts w:ascii="Times New Roman" w:hAnsi="Times New Roman"/>
              <w:sz w:val="23"/>
              <w:u w:val="double"/>
            </w:rPr>
          </w:pPr>
          <w:r>
            <w:rPr>
              <w:sz w:val="23"/>
              <w:u w:val="double"/>
            </w:rPr>
            <w:t>6.6</w:t>
          </w:r>
          <w:r>
            <w:rPr>
              <w:b w:val="false"/>
              <w:sz w:val="23"/>
            </w:rPr>
            <w:tab/>
          </w:r>
          <w:r>
            <w:rPr>
              <w:sz w:val="23"/>
              <w:u w:val="double"/>
            </w:rPr>
            <w:t>Performance of Changes</w:t>
          </w:r>
          <w:r>
            <w:rPr>
              <w:sz w:val="23"/>
            </w:rPr>
            <w:tab/>
          </w:r>
          <w:r>
            <w:rPr>
              <w:sz w:val="23"/>
              <w:u w:val="double"/>
            </w:rPr>
            <w:t>32</w:t>
          </w:r>
        </w:p>
        <w:p>
          <w:pPr>
            <w:pStyle w:val="TOC2"/>
            <w:tabs>
              <w:tab w:val="left" w:pos="960" w:leader="none"/>
              <w:tab w:val="right" w:pos="9360" w:leader="dot"/>
            </w:tabs>
            <w:bidi w:val="0"/>
            <w:jc w:val="start"/>
            <w:rPr>
              <w:rFonts w:ascii="Times New Roman" w:hAnsi="Times New Roman"/>
              <w:sz w:val="23"/>
              <w:u w:val="double"/>
            </w:rPr>
          </w:pPr>
          <w:r>
            <w:rPr>
              <w:sz w:val="23"/>
              <w:u w:val="double"/>
            </w:rPr>
            <w:t>6.7</w:t>
          </w:r>
          <w:r>
            <w:rPr>
              <w:b w:val="false"/>
              <w:sz w:val="23"/>
            </w:rPr>
            <w:tab/>
          </w:r>
          <w:r>
            <w:rPr>
              <w:sz w:val="23"/>
              <w:u w:val="double"/>
            </w:rPr>
            <w:t>Other Provisions Unaffected</w:t>
          </w:r>
          <w:r>
            <w:rPr>
              <w:sz w:val="23"/>
            </w:rPr>
            <w:tab/>
          </w:r>
          <w:r>
            <w:rPr>
              <w:sz w:val="23"/>
              <w:u w:val="double"/>
            </w:rPr>
            <w:t>32</w:t>
          </w:r>
        </w:p>
        <w:p>
          <w:pPr>
            <w:pStyle w:val="TOC2"/>
            <w:tabs>
              <w:tab w:val="left" w:pos="960" w:leader="none"/>
              <w:tab w:val="right" w:pos="9360" w:leader="dot"/>
            </w:tabs>
            <w:bidi w:val="0"/>
            <w:jc w:val="start"/>
            <w:rPr>
              <w:rFonts w:ascii="Times New Roman" w:hAnsi="Times New Roman"/>
              <w:sz w:val="23"/>
              <w:u w:val="double"/>
            </w:rPr>
          </w:pPr>
          <w:r>
            <w:rPr>
              <w:sz w:val="23"/>
              <w:u w:val="double"/>
            </w:rPr>
            <w:t>6.8</w:t>
          </w:r>
          <w:r>
            <w:rPr>
              <w:b w:val="false"/>
              <w:sz w:val="23"/>
            </w:rPr>
            <w:tab/>
          </w:r>
          <w:r>
            <w:rPr>
              <w:sz w:val="23"/>
              <w:u w:val="double"/>
            </w:rPr>
            <w:t>Change in Law or Owner Delay</w:t>
          </w:r>
          <w:r>
            <w:rPr>
              <w:sz w:val="23"/>
            </w:rPr>
            <w:tab/>
          </w:r>
          <w:r>
            <w:rPr>
              <w:sz w:val="23"/>
              <w:u w:val="double"/>
            </w:rPr>
            <w:t>32</w:t>
          </w:r>
        </w:p>
        <w:p>
          <w:pPr>
            <w:pStyle w:val="TOC1"/>
            <w:bidi w:val="0"/>
            <w:jc w:val="start"/>
            <w:rPr>
              <w:rFonts w:ascii="Times New Roman" w:hAnsi="Times New Roman"/>
              <w:sz w:val="23"/>
              <w:u w:val="double"/>
            </w:rPr>
          </w:pPr>
          <w:r>
            <w:rPr>
              <w:rFonts w:ascii="Times New Roman" w:hAnsi="Times New Roman"/>
              <w:sz w:val="23"/>
              <w:u w:val="double"/>
            </w:rPr>
            <w:t>ARTICLE 7: CONTRACT PRICE; PAYMENTS TO CONTRACTOR</w:t>
          </w:r>
          <w:r>
            <w:rPr>
              <w:rFonts w:ascii="Times New Roman" w:hAnsi="Times New Roman"/>
              <w:sz w:val="23"/>
            </w:rPr>
            <w:tab/>
          </w:r>
          <w:r>
            <w:rPr>
              <w:rFonts w:ascii="Times New Roman" w:hAnsi="Times New Roman"/>
              <w:sz w:val="23"/>
              <w:u w:val="double"/>
            </w:rPr>
            <w:t>32</w:t>
          </w:r>
        </w:p>
        <w:p>
          <w:pPr>
            <w:pStyle w:val="TOC2"/>
            <w:tabs>
              <w:tab w:val="left" w:pos="960" w:leader="none"/>
              <w:tab w:val="right" w:pos="9360" w:leader="dot"/>
            </w:tabs>
            <w:bidi w:val="0"/>
            <w:jc w:val="start"/>
            <w:rPr>
              <w:rFonts w:ascii="Times New Roman" w:hAnsi="Times New Roman"/>
              <w:sz w:val="23"/>
              <w:u w:val="double"/>
            </w:rPr>
          </w:pPr>
          <w:r>
            <w:rPr>
              <w:sz w:val="23"/>
              <w:u w:val="double"/>
            </w:rPr>
            <w:t>7.1</w:t>
          </w:r>
          <w:r>
            <w:rPr>
              <w:b w:val="false"/>
              <w:sz w:val="23"/>
            </w:rPr>
            <w:tab/>
          </w:r>
          <w:r>
            <w:rPr>
              <w:sz w:val="23"/>
              <w:u w:val="double"/>
            </w:rPr>
            <w:t>Contract Price</w:t>
          </w:r>
          <w:r>
            <w:rPr>
              <w:sz w:val="23"/>
            </w:rPr>
            <w:tab/>
          </w:r>
          <w:r>
            <w:rPr>
              <w:sz w:val="23"/>
              <w:u w:val="double"/>
            </w:rPr>
            <w:t>32</w:t>
          </w:r>
        </w:p>
        <w:p>
          <w:pPr>
            <w:pStyle w:val="TOC2"/>
            <w:tabs>
              <w:tab w:val="left" w:pos="960" w:leader="none"/>
              <w:tab w:val="right" w:pos="9360" w:leader="dot"/>
            </w:tabs>
            <w:bidi w:val="0"/>
            <w:jc w:val="start"/>
            <w:rPr>
              <w:rFonts w:ascii="Times New Roman" w:hAnsi="Times New Roman"/>
              <w:sz w:val="23"/>
              <w:u w:val="double"/>
            </w:rPr>
          </w:pPr>
          <w:r>
            <w:rPr>
              <w:sz w:val="23"/>
              <w:u w:val="double"/>
            </w:rPr>
            <w:t>7.2</w:t>
          </w:r>
          <w:r>
            <w:rPr>
              <w:b w:val="false"/>
              <w:sz w:val="23"/>
            </w:rPr>
            <w:tab/>
          </w:r>
          <w:r>
            <w:rPr>
              <w:sz w:val="23"/>
              <w:u w:val="double"/>
            </w:rPr>
            <w:t>Payment of Contract Price</w:t>
          </w:r>
          <w:r>
            <w:rPr>
              <w:sz w:val="23"/>
            </w:rPr>
            <w:tab/>
          </w:r>
          <w:r>
            <w:rPr>
              <w:sz w:val="23"/>
              <w:u w:val="double"/>
            </w:rPr>
            <w:t>34</w:t>
          </w:r>
        </w:p>
        <w:p>
          <w:pPr>
            <w:pStyle w:val="TOC2"/>
            <w:tabs>
              <w:tab w:val="left" w:pos="960" w:leader="none"/>
              <w:tab w:val="right" w:pos="9360" w:leader="dot"/>
            </w:tabs>
            <w:bidi w:val="0"/>
            <w:jc w:val="start"/>
            <w:rPr>
              <w:rFonts w:ascii="Times New Roman" w:hAnsi="Times New Roman"/>
              <w:sz w:val="23"/>
              <w:u w:val="double"/>
            </w:rPr>
          </w:pPr>
          <w:r>
            <w:rPr>
              <w:sz w:val="23"/>
              <w:u w:val="double"/>
            </w:rPr>
            <w:t>7.3</w:t>
          </w:r>
          <w:r>
            <w:rPr>
              <w:b w:val="false"/>
              <w:sz w:val="23"/>
            </w:rPr>
            <w:tab/>
          </w:r>
          <w:r>
            <w:rPr>
              <w:sz w:val="23"/>
              <w:u w:val="double"/>
            </w:rPr>
            <w:t>Payments Not Waiver or Acceptance of Work</w:t>
          </w:r>
          <w:r>
            <w:rPr>
              <w:sz w:val="23"/>
            </w:rPr>
            <w:tab/>
          </w:r>
          <w:r>
            <w:rPr>
              <w:sz w:val="23"/>
              <w:u w:val="double"/>
            </w:rPr>
            <w:t>36</w:t>
          </w:r>
        </w:p>
        <w:p>
          <w:pPr>
            <w:pStyle w:val="TOC2"/>
            <w:tabs>
              <w:tab w:val="left" w:pos="960" w:leader="none"/>
              <w:tab w:val="right" w:pos="9360" w:leader="dot"/>
            </w:tabs>
            <w:bidi w:val="0"/>
            <w:jc w:val="start"/>
            <w:rPr>
              <w:rFonts w:ascii="Times New Roman" w:hAnsi="Times New Roman"/>
              <w:sz w:val="23"/>
              <w:u w:val="double"/>
            </w:rPr>
          </w:pPr>
          <w:r>
            <w:rPr>
              <w:sz w:val="23"/>
              <w:u w:val="double"/>
            </w:rPr>
            <w:t>7.4</w:t>
          </w:r>
          <w:r>
            <w:rPr>
              <w:b w:val="false"/>
              <w:sz w:val="23"/>
            </w:rPr>
            <w:tab/>
          </w:r>
          <w:r>
            <w:rPr>
              <w:sz w:val="23"/>
              <w:u w:val="double"/>
            </w:rPr>
            <w:t>Payments Withheld</w:t>
          </w:r>
          <w:r>
            <w:rPr>
              <w:sz w:val="23"/>
            </w:rPr>
            <w:tab/>
          </w:r>
          <w:r>
            <w:rPr>
              <w:sz w:val="23"/>
              <w:u w:val="double"/>
            </w:rPr>
            <w:t>36</w:t>
          </w:r>
        </w:p>
        <w:p>
          <w:pPr>
            <w:pStyle w:val="TOC2"/>
            <w:tabs>
              <w:tab w:val="left" w:pos="960" w:leader="none"/>
              <w:tab w:val="right" w:pos="9360" w:leader="dot"/>
            </w:tabs>
            <w:bidi w:val="0"/>
            <w:jc w:val="start"/>
            <w:rPr>
              <w:rFonts w:ascii="Times New Roman" w:hAnsi="Times New Roman"/>
              <w:sz w:val="23"/>
              <w:u w:val="double"/>
            </w:rPr>
          </w:pPr>
          <w:r>
            <w:rPr>
              <w:sz w:val="23"/>
              <w:u w:val="double"/>
            </w:rPr>
            <w:t>7.5</w:t>
          </w:r>
          <w:r>
            <w:rPr>
              <w:b w:val="false"/>
              <w:sz w:val="23"/>
            </w:rPr>
            <w:tab/>
          </w:r>
          <w:r>
            <w:rPr>
              <w:sz w:val="23"/>
              <w:u w:val="double"/>
            </w:rPr>
            <w:t>Payment of Subcontractors</w:t>
          </w:r>
          <w:r>
            <w:rPr>
              <w:sz w:val="23"/>
            </w:rPr>
            <w:tab/>
          </w:r>
          <w:r>
            <w:rPr>
              <w:sz w:val="23"/>
              <w:u w:val="double"/>
            </w:rPr>
            <w:t>36</w:t>
          </w:r>
        </w:p>
        <w:p>
          <w:pPr>
            <w:pStyle w:val="TOC2"/>
            <w:tabs>
              <w:tab w:val="left" w:pos="960" w:leader="none"/>
              <w:tab w:val="right" w:pos="9360" w:leader="dot"/>
            </w:tabs>
            <w:bidi w:val="0"/>
            <w:jc w:val="start"/>
            <w:rPr>
              <w:rFonts w:ascii="Times New Roman" w:hAnsi="Times New Roman"/>
              <w:sz w:val="23"/>
              <w:u w:val="double"/>
            </w:rPr>
          </w:pPr>
          <w:r>
            <w:rPr>
              <w:sz w:val="23"/>
              <w:u w:val="double"/>
            </w:rPr>
            <w:t>7.6</w:t>
          </w:r>
          <w:r>
            <w:rPr>
              <w:b w:val="false"/>
              <w:sz w:val="23"/>
            </w:rPr>
            <w:tab/>
          </w:r>
          <w:r>
            <w:rPr>
              <w:sz w:val="23"/>
              <w:u w:val="double"/>
            </w:rPr>
            <w:t>Waiver of Liens</w:t>
          </w:r>
          <w:r>
            <w:rPr>
              <w:sz w:val="23"/>
            </w:rPr>
            <w:tab/>
          </w:r>
          <w:r>
            <w:rPr>
              <w:sz w:val="23"/>
              <w:u w:val="double"/>
            </w:rPr>
            <w:t>37</w:t>
          </w:r>
        </w:p>
        <w:p>
          <w:pPr>
            <w:pStyle w:val="TOC2"/>
            <w:tabs>
              <w:tab w:val="left" w:pos="960" w:leader="none"/>
              <w:tab w:val="right" w:pos="9360" w:leader="dot"/>
            </w:tabs>
            <w:bidi w:val="0"/>
            <w:jc w:val="start"/>
            <w:rPr>
              <w:rFonts w:ascii="Times New Roman" w:hAnsi="Times New Roman"/>
              <w:sz w:val="23"/>
              <w:u w:val="double"/>
            </w:rPr>
          </w:pPr>
          <w:r>
            <w:rPr>
              <w:sz w:val="23"/>
              <w:u w:val="double"/>
            </w:rPr>
            <w:t>7.6</w:t>
          </w:r>
          <w:r>
            <w:rPr>
              <w:b w:val="false"/>
              <w:sz w:val="23"/>
            </w:rPr>
            <w:tab/>
          </w:r>
          <w:r>
            <w:rPr>
              <w:sz w:val="23"/>
              <w:u w:val="double"/>
            </w:rPr>
            <w:t>Interest and Disputed Invoices</w:t>
          </w:r>
          <w:r>
            <w:rPr>
              <w:sz w:val="23"/>
            </w:rPr>
            <w:tab/>
          </w:r>
          <w:r>
            <w:rPr>
              <w:sz w:val="23"/>
              <w:u w:val="double"/>
            </w:rPr>
            <w:t>37</w:t>
          </w:r>
        </w:p>
        <w:p>
          <w:pPr>
            <w:pStyle w:val="TOC1"/>
            <w:bidi w:val="0"/>
            <w:jc w:val="start"/>
            <w:rPr>
              <w:rFonts w:ascii="Times New Roman" w:hAnsi="Times New Roman"/>
              <w:sz w:val="23"/>
              <w:u w:val="double"/>
            </w:rPr>
          </w:pPr>
          <w:r>
            <w:rPr>
              <w:rFonts w:ascii="Times New Roman" w:hAnsi="Times New Roman"/>
              <w:sz w:val="23"/>
              <w:u w:val="double"/>
            </w:rPr>
            <w:t>ARTICLE 8:  TITLE AND RISK OF LOSS</w:t>
          </w:r>
          <w:r>
            <w:rPr>
              <w:rFonts w:ascii="Times New Roman" w:hAnsi="Times New Roman"/>
              <w:sz w:val="23"/>
            </w:rPr>
            <w:tab/>
          </w:r>
          <w:r>
            <w:rPr>
              <w:rFonts w:ascii="Times New Roman" w:hAnsi="Times New Roman"/>
              <w:sz w:val="23"/>
              <w:u w:val="double"/>
            </w:rPr>
            <w:t>37</w:t>
          </w:r>
        </w:p>
        <w:p>
          <w:pPr>
            <w:pStyle w:val="TOC2"/>
            <w:tabs>
              <w:tab w:val="left" w:pos="960" w:leader="none"/>
              <w:tab w:val="right" w:pos="9360" w:leader="dot"/>
            </w:tabs>
            <w:bidi w:val="0"/>
            <w:jc w:val="start"/>
            <w:rPr>
              <w:rFonts w:ascii="Times New Roman" w:hAnsi="Times New Roman"/>
              <w:sz w:val="23"/>
              <w:u w:val="double"/>
            </w:rPr>
          </w:pPr>
          <w:r>
            <w:rPr>
              <w:sz w:val="23"/>
              <w:u w:val="double"/>
            </w:rPr>
            <w:t>8.1</w:t>
          </w:r>
          <w:r>
            <w:rPr>
              <w:b w:val="false"/>
              <w:sz w:val="23"/>
            </w:rPr>
            <w:tab/>
          </w:r>
          <w:r>
            <w:rPr>
              <w:sz w:val="23"/>
              <w:u w:val="double"/>
            </w:rPr>
            <w:t>Title</w:t>
          </w:r>
          <w:r>
            <w:rPr>
              <w:sz w:val="23"/>
            </w:rPr>
            <w:tab/>
          </w:r>
          <w:r>
            <w:rPr>
              <w:sz w:val="23"/>
              <w:u w:val="double"/>
            </w:rPr>
            <w:t>37</w:t>
          </w:r>
        </w:p>
        <w:p>
          <w:pPr>
            <w:pStyle w:val="TOC2"/>
            <w:tabs>
              <w:tab w:val="left" w:pos="960" w:leader="none"/>
              <w:tab w:val="right" w:pos="9360" w:leader="dot"/>
            </w:tabs>
            <w:bidi w:val="0"/>
            <w:jc w:val="start"/>
            <w:rPr>
              <w:rFonts w:ascii="Times New Roman" w:hAnsi="Times New Roman"/>
              <w:sz w:val="23"/>
              <w:u w:val="double"/>
            </w:rPr>
          </w:pPr>
          <w:r>
            <w:rPr>
              <w:sz w:val="23"/>
              <w:u w:val="double"/>
            </w:rPr>
            <w:t>8.2</w:t>
          </w:r>
          <w:r>
            <w:rPr>
              <w:b w:val="false"/>
              <w:sz w:val="23"/>
            </w:rPr>
            <w:tab/>
          </w:r>
          <w:r>
            <w:rPr>
              <w:sz w:val="23"/>
              <w:u w:val="double"/>
            </w:rPr>
            <w:t>Risk of Loss</w:t>
          </w:r>
          <w:r>
            <w:rPr>
              <w:sz w:val="23"/>
            </w:rPr>
            <w:tab/>
          </w:r>
          <w:r>
            <w:rPr>
              <w:sz w:val="23"/>
              <w:u w:val="double"/>
            </w:rPr>
            <w:t>38</w:t>
          </w:r>
        </w:p>
        <w:p>
          <w:pPr>
            <w:pStyle w:val="TOC2"/>
            <w:tabs>
              <w:tab w:val="left" w:pos="960" w:leader="none"/>
              <w:tab w:val="right" w:pos="9360" w:leader="dot"/>
            </w:tabs>
            <w:bidi w:val="0"/>
            <w:jc w:val="start"/>
            <w:rPr>
              <w:rFonts w:ascii="Times New Roman" w:hAnsi="Times New Roman"/>
              <w:sz w:val="23"/>
              <w:u w:val="double"/>
            </w:rPr>
          </w:pPr>
          <w:r>
            <w:rPr>
              <w:sz w:val="23"/>
              <w:u w:val="double"/>
            </w:rPr>
            <w:t>8.3</w:t>
          </w:r>
          <w:r>
            <w:rPr>
              <w:b w:val="false"/>
              <w:sz w:val="23"/>
            </w:rPr>
            <w:tab/>
          </w:r>
          <w:r>
            <w:rPr>
              <w:sz w:val="23"/>
              <w:u w:val="double"/>
            </w:rPr>
            <w:t>Use by Owner</w:t>
          </w:r>
          <w:r>
            <w:rPr>
              <w:sz w:val="23"/>
            </w:rPr>
            <w:tab/>
          </w:r>
          <w:r>
            <w:rPr>
              <w:sz w:val="23"/>
              <w:u w:val="double"/>
            </w:rPr>
            <w:t>39</w:t>
          </w:r>
        </w:p>
        <w:p>
          <w:pPr>
            <w:pStyle w:val="TOC1"/>
            <w:bidi w:val="0"/>
            <w:jc w:val="start"/>
            <w:rPr>
              <w:rFonts w:ascii="Times New Roman" w:hAnsi="Times New Roman"/>
              <w:sz w:val="23"/>
              <w:u w:val="double"/>
            </w:rPr>
          </w:pPr>
          <w:r>
            <w:rPr>
              <w:rFonts w:ascii="Times New Roman" w:hAnsi="Times New Roman"/>
              <w:sz w:val="23"/>
              <w:u w:val="double"/>
            </w:rPr>
            <w:t>ARTICLE 9:  INSURANCE</w:t>
          </w:r>
          <w:r>
            <w:rPr>
              <w:rFonts w:ascii="Times New Roman" w:hAnsi="Times New Roman"/>
              <w:sz w:val="23"/>
            </w:rPr>
            <w:tab/>
          </w:r>
          <w:r>
            <w:rPr>
              <w:rFonts w:ascii="Times New Roman" w:hAnsi="Times New Roman"/>
              <w:sz w:val="23"/>
              <w:u w:val="double"/>
            </w:rPr>
            <w:t>39</w:t>
          </w:r>
        </w:p>
        <w:p>
          <w:pPr>
            <w:pStyle w:val="TOC2"/>
            <w:tabs>
              <w:tab w:val="left" w:pos="960" w:leader="none"/>
              <w:tab w:val="right" w:pos="9360" w:leader="dot"/>
            </w:tabs>
            <w:bidi w:val="0"/>
            <w:jc w:val="start"/>
            <w:rPr>
              <w:rFonts w:ascii="Times New Roman" w:hAnsi="Times New Roman"/>
              <w:sz w:val="23"/>
              <w:u w:val="double"/>
            </w:rPr>
          </w:pPr>
          <w:r>
            <w:rPr>
              <w:sz w:val="23"/>
              <w:u w:val="double"/>
            </w:rPr>
            <w:t>9.1</w:t>
          </w:r>
          <w:r>
            <w:rPr>
              <w:b w:val="false"/>
              <w:sz w:val="23"/>
            </w:rPr>
            <w:tab/>
          </w:r>
          <w:r>
            <w:rPr>
              <w:sz w:val="23"/>
              <w:u w:val="double"/>
            </w:rPr>
            <w:t>Contractor’s Insurance</w:t>
          </w:r>
          <w:r>
            <w:rPr>
              <w:sz w:val="23"/>
            </w:rPr>
            <w:tab/>
          </w:r>
          <w:r>
            <w:rPr>
              <w:sz w:val="23"/>
              <w:u w:val="double"/>
            </w:rPr>
            <w:t>39</w:t>
          </w:r>
        </w:p>
        <w:p>
          <w:pPr>
            <w:pStyle w:val="TOC2"/>
            <w:tabs>
              <w:tab w:val="left" w:pos="960" w:leader="none"/>
              <w:tab w:val="right" w:pos="9360" w:leader="dot"/>
            </w:tabs>
            <w:bidi w:val="0"/>
            <w:jc w:val="start"/>
            <w:rPr>
              <w:rFonts w:ascii="Times New Roman" w:hAnsi="Times New Roman"/>
              <w:sz w:val="23"/>
              <w:u w:val="double"/>
            </w:rPr>
          </w:pPr>
          <w:r>
            <w:rPr>
              <w:sz w:val="23"/>
              <w:u w:val="double"/>
            </w:rPr>
            <w:t>9.2</w:t>
          </w:r>
          <w:r>
            <w:rPr>
              <w:b w:val="false"/>
              <w:sz w:val="23"/>
            </w:rPr>
            <w:tab/>
          </w:r>
          <w:r>
            <w:rPr>
              <w:sz w:val="23"/>
              <w:u w:val="double"/>
            </w:rPr>
            <w:t>Owner’s Insurance</w:t>
          </w:r>
          <w:r>
            <w:rPr>
              <w:sz w:val="23"/>
            </w:rPr>
            <w:tab/>
          </w:r>
          <w:r>
            <w:rPr>
              <w:sz w:val="23"/>
              <w:u w:val="double"/>
            </w:rPr>
            <w:t>40</w:t>
          </w:r>
        </w:p>
        <w:p>
          <w:pPr>
            <w:pStyle w:val="TOC2"/>
            <w:tabs>
              <w:tab w:val="left" w:pos="960" w:leader="none"/>
              <w:tab w:val="right" w:pos="9360" w:leader="dot"/>
            </w:tabs>
            <w:bidi w:val="0"/>
            <w:jc w:val="start"/>
            <w:rPr>
              <w:rFonts w:ascii="Times New Roman" w:hAnsi="Times New Roman"/>
              <w:sz w:val="23"/>
              <w:u w:val="double"/>
            </w:rPr>
          </w:pPr>
          <w:r>
            <w:rPr>
              <w:sz w:val="23"/>
              <w:u w:val="double"/>
            </w:rPr>
            <w:t>9.3</w:t>
          </w:r>
          <w:r>
            <w:rPr>
              <w:b w:val="false"/>
              <w:sz w:val="23"/>
            </w:rPr>
            <w:tab/>
          </w:r>
          <w:r>
            <w:rPr>
              <w:sz w:val="23"/>
              <w:u w:val="double"/>
            </w:rPr>
            <w:t>Certificates and Cancellations</w:t>
          </w:r>
          <w:r>
            <w:rPr>
              <w:sz w:val="23"/>
            </w:rPr>
            <w:tab/>
          </w:r>
          <w:r>
            <w:rPr>
              <w:sz w:val="23"/>
              <w:u w:val="double"/>
            </w:rPr>
            <w:t>40</w:t>
          </w:r>
        </w:p>
        <w:p>
          <w:pPr>
            <w:pStyle w:val="TOC2"/>
            <w:tabs>
              <w:tab w:val="left" w:pos="960" w:leader="none"/>
              <w:tab w:val="right" w:pos="9360" w:leader="dot"/>
            </w:tabs>
            <w:bidi w:val="0"/>
            <w:jc w:val="start"/>
            <w:rPr>
              <w:rFonts w:ascii="Times New Roman" w:hAnsi="Times New Roman"/>
              <w:sz w:val="23"/>
              <w:u w:val="double"/>
            </w:rPr>
          </w:pPr>
          <w:r>
            <w:rPr>
              <w:sz w:val="23"/>
              <w:u w:val="double"/>
            </w:rPr>
            <w:t>9.4</w:t>
          </w:r>
          <w:r>
            <w:rPr>
              <w:b w:val="false"/>
              <w:sz w:val="23"/>
            </w:rPr>
            <w:tab/>
          </w:r>
          <w:r>
            <w:rPr>
              <w:sz w:val="23"/>
              <w:u w:val="double"/>
            </w:rPr>
            <w:t>Failure to Pay</w:t>
          </w:r>
          <w:r>
            <w:rPr>
              <w:sz w:val="23"/>
            </w:rPr>
            <w:tab/>
          </w:r>
          <w:r>
            <w:rPr>
              <w:sz w:val="23"/>
              <w:u w:val="double"/>
            </w:rPr>
            <w:t>41</w:t>
          </w:r>
        </w:p>
        <w:p>
          <w:pPr>
            <w:pStyle w:val="TOC2"/>
            <w:tabs>
              <w:tab w:val="left" w:pos="960" w:leader="none"/>
              <w:tab w:val="right" w:pos="9360" w:leader="dot"/>
            </w:tabs>
            <w:bidi w:val="0"/>
            <w:jc w:val="start"/>
            <w:rPr>
              <w:rFonts w:ascii="Times New Roman" w:hAnsi="Times New Roman"/>
              <w:sz w:val="23"/>
              <w:u w:val="double"/>
            </w:rPr>
          </w:pPr>
          <w:r>
            <w:rPr>
              <w:sz w:val="23"/>
              <w:u w:val="double"/>
            </w:rPr>
            <w:t>9.5</w:t>
          </w:r>
          <w:r>
            <w:rPr>
              <w:b w:val="false"/>
              <w:sz w:val="23"/>
            </w:rPr>
            <w:tab/>
          </w:r>
          <w:r>
            <w:rPr>
              <w:sz w:val="23"/>
              <w:u w:val="double"/>
            </w:rPr>
            <w:t>Miscellaneous</w:t>
          </w:r>
          <w:r>
            <w:rPr>
              <w:sz w:val="23"/>
            </w:rPr>
            <w:tab/>
          </w:r>
          <w:r>
            <w:rPr>
              <w:sz w:val="23"/>
              <w:u w:val="double"/>
            </w:rPr>
            <w:t>41</w:t>
          </w:r>
        </w:p>
        <w:p>
          <w:pPr>
            <w:pStyle w:val="TOC1"/>
            <w:bidi w:val="0"/>
            <w:jc w:val="start"/>
            <w:rPr>
              <w:rFonts w:ascii="Times New Roman" w:hAnsi="Times New Roman"/>
              <w:sz w:val="23"/>
              <w:u w:val="double"/>
            </w:rPr>
          </w:pPr>
          <w:r>
            <w:rPr>
              <w:rFonts w:ascii="Times New Roman" w:hAnsi="Times New Roman"/>
              <w:sz w:val="23"/>
              <w:u w:val="double"/>
            </w:rPr>
            <w:t>ARTICLE 10:  DOCUMENTATION</w:t>
          </w:r>
          <w:r>
            <w:rPr>
              <w:rFonts w:ascii="Times New Roman" w:hAnsi="Times New Roman"/>
              <w:sz w:val="23"/>
            </w:rPr>
            <w:tab/>
          </w:r>
          <w:r>
            <w:rPr>
              <w:rFonts w:ascii="Times New Roman" w:hAnsi="Times New Roman"/>
              <w:sz w:val="23"/>
              <w:u w:val="double"/>
            </w:rPr>
            <w:t>42</w:t>
          </w:r>
        </w:p>
        <w:p>
          <w:pPr>
            <w:pStyle w:val="TOC2"/>
            <w:tabs>
              <w:tab w:val="left" w:pos="960" w:leader="none"/>
              <w:tab w:val="right" w:pos="9360" w:leader="dot"/>
            </w:tabs>
            <w:bidi w:val="0"/>
            <w:jc w:val="start"/>
            <w:rPr>
              <w:rFonts w:ascii="Times New Roman" w:hAnsi="Times New Roman"/>
              <w:sz w:val="23"/>
              <w:u w:val="double"/>
            </w:rPr>
          </w:pPr>
          <w:r>
            <w:rPr>
              <w:sz w:val="23"/>
              <w:u w:val="double"/>
            </w:rPr>
            <w:t>10.1</w:t>
          </w:r>
          <w:r>
            <w:rPr>
              <w:b w:val="false"/>
              <w:sz w:val="23"/>
            </w:rPr>
            <w:tab/>
          </w:r>
          <w:r>
            <w:rPr>
              <w:sz w:val="23"/>
              <w:u w:val="double"/>
            </w:rPr>
            <w:t>Delivery of Job Books</w:t>
          </w:r>
          <w:r>
            <w:rPr>
              <w:sz w:val="23"/>
            </w:rPr>
            <w:tab/>
          </w:r>
          <w:r>
            <w:rPr>
              <w:sz w:val="23"/>
              <w:u w:val="double"/>
            </w:rPr>
            <w:t>42</w:t>
          </w:r>
        </w:p>
        <w:p>
          <w:pPr>
            <w:pStyle w:val="TOC2"/>
            <w:tabs>
              <w:tab w:val="left" w:pos="960" w:leader="none"/>
              <w:tab w:val="right" w:pos="9360" w:leader="dot"/>
            </w:tabs>
            <w:bidi w:val="0"/>
            <w:jc w:val="start"/>
            <w:rPr>
              <w:rFonts w:ascii="Times New Roman" w:hAnsi="Times New Roman"/>
              <w:sz w:val="23"/>
              <w:u w:val="double"/>
            </w:rPr>
          </w:pPr>
          <w:r>
            <w:rPr>
              <w:sz w:val="23"/>
              <w:u w:val="double"/>
            </w:rPr>
            <w:t>10.2</w:t>
          </w:r>
          <w:r>
            <w:rPr>
              <w:b w:val="false"/>
              <w:sz w:val="23"/>
            </w:rPr>
            <w:tab/>
          </w:r>
          <w:r>
            <w:rPr>
              <w:sz w:val="23"/>
              <w:u w:val="double"/>
            </w:rPr>
            <w:t>Project Manual</w:t>
          </w:r>
          <w:r>
            <w:rPr>
              <w:sz w:val="23"/>
            </w:rPr>
            <w:tab/>
          </w:r>
          <w:r>
            <w:rPr>
              <w:sz w:val="23"/>
              <w:u w:val="double"/>
            </w:rPr>
            <w:t>42</w:t>
          </w:r>
        </w:p>
        <w:p>
          <w:pPr>
            <w:pStyle w:val="TOC2"/>
            <w:tabs>
              <w:tab w:val="left" w:pos="960" w:leader="none"/>
              <w:tab w:val="right" w:pos="9360" w:leader="dot"/>
            </w:tabs>
            <w:bidi w:val="0"/>
            <w:jc w:val="start"/>
            <w:rPr>
              <w:rFonts w:ascii="Times New Roman" w:hAnsi="Times New Roman"/>
              <w:sz w:val="23"/>
              <w:u w:val="double"/>
            </w:rPr>
          </w:pPr>
          <w:r>
            <w:rPr>
              <w:sz w:val="23"/>
              <w:u w:val="double"/>
            </w:rPr>
            <w:t>10.3</w:t>
          </w:r>
          <w:r>
            <w:rPr>
              <w:b w:val="false"/>
              <w:sz w:val="23"/>
            </w:rPr>
            <w:tab/>
          </w:r>
          <w:r>
            <w:rPr>
              <w:sz w:val="23"/>
              <w:u w:val="double"/>
            </w:rPr>
            <w:t>Machine Readable Information</w:t>
          </w:r>
          <w:r>
            <w:rPr>
              <w:sz w:val="23"/>
            </w:rPr>
            <w:tab/>
          </w:r>
          <w:r>
            <w:rPr>
              <w:sz w:val="23"/>
              <w:u w:val="double"/>
            </w:rPr>
            <w:t>42</w:t>
          </w:r>
        </w:p>
        <w:p>
          <w:pPr>
            <w:pStyle w:val="TOC2"/>
            <w:tabs>
              <w:tab w:val="left" w:pos="960" w:leader="none"/>
              <w:tab w:val="right" w:pos="9360" w:leader="dot"/>
            </w:tabs>
            <w:bidi w:val="0"/>
            <w:jc w:val="start"/>
            <w:rPr>
              <w:rFonts w:ascii="Times New Roman" w:hAnsi="Times New Roman"/>
              <w:sz w:val="23"/>
              <w:u w:val="double"/>
            </w:rPr>
          </w:pPr>
          <w:r>
            <w:rPr>
              <w:sz w:val="23"/>
              <w:u w:val="double"/>
            </w:rPr>
            <w:t>10.4</w:t>
          </w:r>
          <w:r>
            <w:rPr>
              <w:b w:val="false"/>
              <w:sz w:val="23"/>
            </w:rPr>
            <w:tab/>
          </w:r>
          <w:r>
            <w:rPr>
              <w:sz w:val="23"/>
              <w:u w:val="double"/>
            </w:rPr>
            <w:t>QA/QC Shop and Site Records</w:t>
          </w:r>
          <w:r>
            <w:rPr>
              <w:sz w:val="23"/>
            </w:rPr>
            <w:tab/>
          </w:r>
          <w:r>
            <w:rPr>
              <w:sz w:val="23"/>
              <w:u w:val="double"/>
            </w:rPr>
            <w:t>43</w:t>
          </w:r>
        </w:p>
        <w:p>
          <w:pPr>
            <w:pStyle w:val="TOC2"/>
            <w:tabs>
              <w:tab w:val="left" w:pos="960" w:leader="none"/>
              <w:tab w:val="right" w:pos="9360" w:leader="dot"/>
            </w:tabs>
            <w:bidi w:val="0"/>
            <w:jc w:val="start"/>
            <w:rPr>
              <w:rFonts w:ascii="Times New Roman" w:hAnsi="Times New Roman"/>
              <w:sz w:val="23"/>
              <w:u w:val="double"/>
            </w:rPr>
          </w:pPr>
          <w:r>
            <w:rPr>
              <w:sz w:val="23"/>
              <w:u w:val="double"/>
            </w:rPr>
            <w:t>10.5</w:t>
          </w:r>
          <w:r>
            <w:rPr>
              <w:b w:val="false"/>
              <w:sz w:val="23"/>
            </w:rPr>
            <w:tab/>
          </w:r>
          <w:r>
            <w:rPr>
              <w:sz w:val="23"/>
              <w:u w:val="double"/>
            </w:rPr>
            <w:t>Drawings</w:t>
          </w:r>
          <w:r>
            <w:rPr>
              <w:sz w:val="23"/>
            </w:rPr>
            <w:tab/>
          </w:r>
          <w:r>
            <w:rPr>
              <w:sz w:val="23"/>
              <w:u w:val="double"/>
            </w:rPr>
            <w:t>43</w:t>
          </w:r>
        </w:p>
        <w:p>
          <w:pPr>
            <w:pStyle w:val="TOC2"/>
            <w:tabs>
              <w:tab w:val="left" w:pos="960" w:leader="none"/>
              <w:tab w:val="right" w:pos="9360" w:leader="dot"/>
            </w:tabs>
            <w:bidi w:val="0"/>
            <w:jc w:val="start"/>
            <w:rPr>
              <w:rFonts w:ascii="Times New Roman" w:hAnsi="Times New Roman"/>
              <w:sz w:val="23"/>
              <w:u w:val="double"/>
            </w:rPr>
          </w:pPr>
          <w:r>
            <w:rPr>
              <w:sz w:val="23"/>
              <w:u w:val="double"/>
            </w:rPr>
            <w:t>10.5</w:t>
          </w:r>
          <w:r>
            <w:rPr>
              <w:b w:val="false"/>
              <w:sz w:val="23"/>
            </w:rPr>
            <w:tab/>
          </w:r>
          <w:r>
            <w:rPr>
              <w:sz w:val="23"/>
              <w:u w:val="double"/>
            </w:rPr>
            <w:t>Document Submittals</w:t>
          </w:r>
          <w:r>
            <w:rPr>
              <w:sz w:val="23"/>
            </w:rPr>
            <w:tab/>
          </w:r>
          <w:r>
            <w:rPr>
              <w:sz w:val="23"/>
              <w:u w:val="double"/>
            </w:rPr>
            <w:t>43</w:t>
          </w:r>
        </w:p>
        <w:p>
          <w:pPr>
            <w:pStyle w:val="TOC1"/>
            <w:bidi w:val="0"/>
            <w:jc w:val="start"/>
            <w:rPr>
              <w:rFonts w:ascii="Times New Roman" w:hAnsi="Times New Roman"/>
              <w:sz w:val="23"/>
              <w:u w:val="double"/>
            </w:rPr>
          </w:pPr>
          <w:r>
            <w:rPr>
              <w:rFonts w:ascii="Times New Roman" w:hAnsi="Times New Roman"/>
              <w:sz w:val="23"/>
              <w:u w:val="double"/>
            </w:rPr>
            <w:t>ARTICLE 11:  COMPLETION</w:t>
          </w:r>
          <w:r>
            <w:rPr>
              <w:rFonts w:ascii="Times New Roman" w:hAnsi="Times New Roman"/>
              <w:sz w:val="23"/>
            </w:rPr>
            <w:tab/>
          </w:r>
          <w:r>
            <w:rPr>
              <w:rFonts w:ascii="Times New Roman" w:hAnsi="Times New Roman"/>
              <w:sz w:val="23"/>
              <w:u w:val="double"/>
            </w:rPr>
            <w:t>43</w:t>
          </w:r>
        </w:p>
        <w:p>
          <w:pPr>
            <w:pStyle w:val="TOC2"/>
            <w:tabs>
              <w:tab w:val="left" w:pos="960" w:leader="none"/>
              <w:tab w:val="right" w:pos="9360" w:leader="dot"/>
            </w:tabs>
            <w:bidi w:val="0"/>
            <w:jc w:val="start"/>
            <w:rPr>
              <w:rFonts w:ascii="Times New Roman" w:hAnsi="Times New Roman"/>
              <w:sz w:val="23"/>
              <w:u w:val="double"/>
            </w:rPr>
          </w:pPr>
          <w:r>
            <w:rPr>
              <w:sz w:val="23"/>
              <w:u w:val="double"/>
            </w:rPr>
            <w:t>11.1</w:t>
          </w:r>
          <w:r>
            <w:rPr>
              <w:b w:val="false"/>
              <w:sz w:val="23"/>
            </w:rPr>
            <w:tab/>
          </w:r>
          <w:r>
            <w:rPr>
              <w:sz w:val="23"/>
              <w:u w:val="double"/>
            </w:rPr>
            <w:t>Notices</w:t>
          </w:r>
          <w:r>
            <w:rPr>
              <w:sz w:val="23"/>
            </w:rPr>
            <w:tab/>
          </w:r>
          <w:r>
            <w:rPr>
              <w:sz w:val="23"/>
              <w:u w:val="double"/>
            </w:rPr>
            <w:t>43</w:t>
          </w:r>
        </w:p>
        <w:p>
          <w:pPr>
            <w:pStyle w:val="TOC2"/>
            <w:tabs>
              <w:tab w:val="left" w:pos="960" w:leader="none"/>
              <w:tab w:val="right" w:pos="9360" w:leader="dot"/>
            </w:tabs>
            <w:bidi w:val="0"/>
            <w:jc w:val="start"/>
            <w:rPr>
              <w:rFonts w:ascii="Times New Roman" w:hAnsi="Times New Roman"/>
              <w:sz w:val="23"/>
              <w:u w:val="double"/>
            </w:rPr>
          </w:pPr>
          <w:r>
            <w:rPr>
              <w:sz w:val="23"/>
              <w:u w:val="double"/>
            </w:rPr>
            <w:t>11.2</w:t>
          </w:r>
          <w:r>
            <w:rPr>
              <w:b w:val="false"/>
              <w:sz w:val="23"/>
            </w:rPr>
            <w:tab/>
          </w:r>
          <w:r>
            <w:rPr>
              <w:sz w:val="23"/>
              <w:u w:val="double"/>
            </w:rPr>
            <w:t>Substantial Completion Certificates</w:t>
          </w:r>
          <w:r>
            <w:rPr>
              <w:sz w:val="23"/>
            </w:rPr>
            <w:tab/>
          </w:r>
          <w:r>
            <w:rPr>
              <w:sz w:val="23"/>
              <w:u w:val="double"/>
            </w:rPr>
            <w:t>44</w:t>
          </w:r>
        </w:p>
        <w:p>
          <w:pPr>
            <w:pStyle w:val="TOC2"/>
            <w:tabs>
              <w:tab w:val="left" w:pos="960" w:leader="none"/>
              <w:tab w:val="right" w:pos="9360" w:leader="dot"/>
            </w:tabs>
            <w:bidi w:val="0"/>
            <w:jc w:val="start"/>
            <w:rPr>
              <w:rFonts w:ascii="Times New Roman" w:hAnsi="Times New Roman"/>
              <w:sz w:val="23"/>
              <w:u w:val="double"/>
            </w:rPr>
          </w:pPr>
          <w:r>
            <w:rPr>
              <w:sz w:val="23"/>
              <w:u w:val="double"/>
            </w:rPr>
            <w:t>11.3</w:t>
          </w:r>
          <w:r>
            <w:rPr>
              <w:b w:val="false"/>
              <w:sz w:val="23"/>
            </w:rPr>
            <w:tab/>
          </w:r>
          <w:r>
            <w:rPr>
              <w:sz w:val="23"/>
              <w:u w:val="double"/>
            </w:rPr>
            <w:t>Final Completion</w:t>
          </w:r>
          <w:r>
            <w:rPr>
              <w:sz w:val="23"/>
            </w:rPr>
            <w:tab/>
          </w:r>
          <w:r>
            <w:rPr>
              <w:sz w:val="23"/>
              <w:u w:val="double"/>
            </w:rPr>
            <w:t>45</w:t>
          </w:r>
        </w:p>
        <w:p>
          <w:pPr>
            <w:pStyle w:val="TOC2"/>
            <w:tabs>
              <w:tab w:val="left" w:pos="960" w:leader="none"/>
              <w:tab w:val="right" w:pos="9360" w:leader="dot"/>
            </w:tabs>
            <w:bidi w:val="0"/>
            <w:jc w:val="start"/>
            <w:rPr>
              <w:rFonts w:ascii="Times New Roman" w:hAnsi="Times New Roman"/>
              <w:sz w:val="23"/>
              <w:u w:val="double"/>
            </w:rPr>
          </w:pPr>
          <w:r>
            <w:rPr>
              <w:sz w:val="23"/>
              <w:u w:val="double"/>
            </w:rPr>
            <w:t>11.4</w:t>
          </w:r>
          <w:r>
            <w:rPr>
              <w:b w:val="false"/>
              <w:sz w:val="23"/>
            </w:rPr>
            <w:tab/>
          </w:r>
          <w:r>
            <w:rPr>
              <w:sz w:val="23"/>
              <w:u w:val="double"/>
            </w:rPr>
            <w:t>Owner Acceptance of Completion Certificates</w:t>
          </w:r>
          <w:r>
            <w:rPr>
              <w:sz w:val="23"/>
            </w:rPr>
            <w:tab/>
          </w:r>
          <w:r>
            <w:rPr>
              <w:sz w:val="23"/>
              <w:u w:val="double"/>
            </w:rPr>
            <w:t>45</w:t>
          </w:r>
        </w:p>
        <w:p>
          <w:pPr>
            <w:pStyle w:val="TOC2"/>
            <w:tabs>
              <w:tab w:val="left" w:pos="960" w:leader="none"/>
              <w:tab w:val="right" w:pos="9360" w:leader="dot"/>
            </w:tabs>
            <w:bidi w:val="0"/>
            <w:jc w:val="start"/>
            <w:rPr>
              <w:rFonts w:ascii="Times New Roman" w:hAnsi="Times New Roman"/>
              <w:sz w:val="23"/>
              <w:u w:val="double"/>
            </w:rPr>
          </w:pPr>
          <w:r>
            <w:rPr>
              <w:sz w:val="23"/>
              <w:u w:val="double"/>
            </w:rPr>
            <w:t>11.5</w:t>
          </w:r>
          <w:r>
            <w:rPr>
              <w:b w:val="false"/>
              <w:sz w:val="23"/>
            </w:rPr>
            <w:tab/>
          </w:r>
          <w:r>
            <w:rPr>
              <w:sz w:val="23"/>
              <w:u w:val="double"/>
            </w:rPr>
            <w:t>Punchlist</w:t>
          </w:r>
          <w:r>
            <w:rPr>
              <w:sz w:val="23"/>
            </w:rPr>
            <w:tab/>
          </w:r>
          <w:r>
            <w:rPr>
              <w:sz w:val="23"/>
              <w:u w:val="double"/>
            </w:rPr>
            <w:t>45</w:t>
          </w:r>
        </w:p>
        <w:p>
          <w:pPr>
            <w:pStyle w:val="TOC2"/>
            <w:tabs>
              <w:tab w:val="left" w:pos="960" w:leader="none"/>
              <w:tab w:val="right" w:pos="9360" w:leader="dot"/>
            </w:tabs>
            <w:bidi w:val="0"/>
            <w:jc w:val="start"/>
            <w:rPr>
              <w:rFonts w:ascii="Times New Roman" w:hAnsi="Times New Roman"/>
              <w:sz w:val="23"/>
              <w:u w:val="double"/>
            </w:rPr>
          </w:pPr>
          <w:r>
            <w:rPr>
              <w:sz w:val="23"/>
              <w:u w:val="double"/>
            </w:rPr>
            <w:t>11.6</w:t>
          </w:r>
          <w:r>
            <w:rPr>
              <w:b w:val="false"/>
              <w:sz w:val="23"/>
            </w:rPr>
            <w:tab/>
          </w:r>
          <w:r>
            <w:rPr>
              <w:sz w:val="23"/>
              <w:u w:val="double"/>
            </w:rPr>
            <w:t>Right of Waiver</w:t>
          </w:r>
          <w:r>
            <w:rPr>
              <w:sz w:val="23"/>
            </w:rPr>
            <w:tab/>
          </w:r>
          <w:r>
            <w:rPr>
              <w:sz w:val="23"/>
              <w:u w:val="double"/>
            </w:rPr>
            <w:t>46</w:t>
          </w:r>
        </w:p>
        <w:p>
          <w:pPr>
            <w:pStyle w:val="TOC2"/>
            <w:tabs>
              <w:tab w:val="left" w:pos="960" w:leader="none"/>
              <w:tab w:val="right" w:pos="9360" w:leader="dot"/>
            </w:tabs>
            <w:bidi w:val="0"/>
            <w:jc w:val="start"/>
            <w:rPr>
              <w:rFonts w:ascii="Times New Roman" w:hAnsi="Times New Roman"/>
              <w:sz w:val="23"/>
              <w:u w:val="double"/>
            </w:rPr>
          </w:pPr>
          <w:r>
            <w:rPr>
              <w:sz w:val="23"/>
              <w:u w:val="double"/>
            </w:rPr>
            <w:t>11.7</w:t>
          </w:r>
          <w:r>
            <w:rPr>
              <w:b w:val="false"/>
              <w:sz w:val="23"/>
            </w:rPr>
            <w:tab/>
          </w:r>
          <w:r>
            <w:rPr>
              <w:sz w:val="23"/>
              <w:u w:val="double"/>
            </w:rPr>
            <w:t>Long-Term Obligations</w:t>
          </w:r>
          <w:r>
            <w:rPr>
              <w:sz w:val="23"/>
            </w:rPr>
            <w:tab/>
          </w:r>
          <w:r>
            <w:rPr>
              <w:sz w:val="23"/>
              <w:u w:val="double"/>
            </w:rPr>
            <w:t>46</w:t>
          </w:r>
        </w:p>
        <w:p>
          <w:pPr>
            <w:pStyle w:val="TOC1"/>
            <w:bidi w:val="0"/>
            <w:jc w:val="start"/>
            <w:rPr>
              <w:rFonts w:ascii="Times New Roman" w:hAnsi="Times New Roman"/>
              <w:sz w:val="23"/>
              <w:u w:val="double"/>
            </w:rPr>
          </w:pPr>
          <w:r>
            <w:rPr>
              <w:rFonts w:ascii="Times New Roman" w:hAnsi="Times New Roman"/>
              <w:sz w:val="23"/>
              <w:u w:val="double"/>
            </w:rPr>
            <w:t>ARTICLE 12:  WARRANTY</w:t>
          </w:r>
          <w:r>
            <w:rPr>
              <w:rFonts w:ascii="Times New Roman" w:hAnsi="Times New Roman"/>
              <w:sz w:val="23"/>
            </w:rPr>
            <w:tab/>
          </w:r>
          <w:r>
            <w:rPr>
              <w:rFonts w:ascii="Times New Roman" w:hAnsi="Times New Roman"/>
              <w:sz w:val="23"/>
              <w:u w:val="double"/>
            </w:rPr>
            <w:t>47</w:t>
          </w:r>
        </w:p>
        <w:p>
          <w:pPr>
            <w:pStyle w:val="TOC2"/>
            <w:tabs>
              <w:tab w:val="left" w:pos="960" w:leader="none"/>
              <w:tab w:val="right" w:pos="9360" w:leader="dot"/>
            </w:tabs>
            <w:bidi w:val="0"/>
            <w:jc w:val="start"/>
            <w:rPr>
              <w:rFonts w:ascii="Times New Roman" w:hAnsi="Times New Roman"/>
              <w:sz w:val="23"/>
              <w:u w:val="double"/>
            </w:rPr>
          </w:pPr>
          <w:r>
            <w:rPr>
              <w:sz w:val="23"/>
              <w:u w:val="double"/>
            </w:rPr>
            <w:t>12.1</w:t>
          </w:r>
          <w:r>
            <w:rPr>
              <w:b w:val="false"/>
              <w:sz w:val="23"/>
            </w:rPr>
            <w:tab/>
          </w:r>
          <w:r>
            <w:rPr>
              <w:sz w:val="23"/>
              <w:u w:val="double"/>
            </w:rPr>
            <w:t>General Warranty</w:t>
          </w:r>
          <w:r>
            <w:rPr>
              <w:sz w:val="23"/>
            </w:rPr>
            <w:tab/>
          </w:r>
          <w:r>
            <w:rPr>
              <w:sz w:val="23"/>
              <w:u w:val="double"/>
            </w:rPr>
            <w:t>47</w:t>
          </w:r>
        </w:p>
        <w:p>
          <w:pPr>
            <w:pStyle w:val="TOC2"/>
            <w:tabs>
              <w:tab w:val="left" w:pos="960" w:leader="none"/>
              <w:tab w:val="right" w:pos="9360" w:leader="dot"/>
            </w:tabs>
            <w:bidi w:val="0"/>
            <w:jc w:val="start"/>
            <w:rPr>
              <w:rFonts w:ascii="Times New Roman" w:hAnsi="Times New Roman"/>
              <w:sz w:val="23"/>
              <w:u w:val="double"/>
            </w:rPr>
          </w:pPr>
          <w:r>
            <w:rPr>
              <w:sz w:val="23"/>
              <w:u w:val="double"/>
            </w:rPr>
            <w:t>12.2</w:t>
          </w:r>
          <w:r>
            <w:rPr>
              <w:b w:val="false"/>
              <w:sz w:val="23"/>
            </w:rPr>
            <w:tab/>
          </w:r>
          <w:r>
            <w:rPr>
              <w:sz w:val="23"/>
              <w:u w:val="double"/>
            </w:rPr>
            <w:t>Warranty Period</w:t>
          </w:r>
          <w:r>
            <w:rPr>
              <w:sz w:val="23"/>
            </w:rPr>
            <w:tab/>
          </w:r>
          <w:r>
            <w:rPr>
              <w:sz w:val="23"/>
              <w:u w:val="double"/>
            </w:rPr>
            <w:t>47</w:t>
          </w:r>
        </w:p>
        <w:p>
          <w:pPr>
            <w:pStyle w:val="TOC2"/>
            <w:tabs>
              <w:tab w:val="left" w:pos="960" w:leader="none"/>
              <w:tab w:val="right" w:pos="9360" w:leader="dot"/>
            </w:tabs>
            <w:bidi w:val="0"/>
            <w:jc w:val="start"/>
            <w:rPr>
              <w:rFonts w:ascii="Times New Roman" w:hAnsi="Times New Roman"/>
              <w:sz w:val="23"/>
              <w:u w:val="double"/>
            </w:rPr>
          </w:pPr>
          <w:r>
            <w:rPr>
              <w:sz w:val="23"/>
              <w:u w:val="double"/>
            </w:rPr>
            <w:t>12.3</w:t>
          </w:r>
          <w:r>
            <w:rPr>
              <w:b w:val="false"/>
              <w:sz w:val="23"/>
            </w:rPr>
            <w:tab/>
          </w:r>
          <w:r>
            <w:rPr>
              <w:sz w:val="23"/>
              <w:u w:val="double"/>
            </w:rPr>
            <w:t>Remedy</w:t>
          </w:r>
          <w:r>
            <w:rPr>
              <w:sz w:val="23"/>
            </w:rPr>
            <w:tab/>
          </w:r>
          <w:r>
            <w:rPr>
              <w:sz w:val="23"/>
              <w:u w:val="double"/>
            </w:rPr>
            <w:t>47</w:t>
          </w:r>
        </w:p>
        <w:p>
          <w:pPr>
            <w:pStyle w:val="TOC2"/>
            <w:tabs>
              <w:tab w:val="left" w:pos="960" w:leader="none"/>
              <w:tab w:val="right" w:pos="9360" w:leader="dot"/>
            </w:tabs>
            <w:bidi w:val="0"/>
            <w:jc w:val="start"/>
            <w:rPr>
              <w:rFonts w:ascii="Times New Roman" w:hAnsi="Times New Roman"/>
              <w:sz w:val="23"/>
              <w:u w:val="double"/>
            </w:rPr>
          </w:pPr>
          <w:r>
            <w:rPr>
              <w:sz w:val="23"/>
              <w:u w:val="double"/>
            </w:rPr>
            <w:t>12.4</w:t>
          </w:r>
          <w:r>
            <w:rPr>
              <w:b w:val="false"/>
              <w:sz w:val="23"/>
            </w:rPr>
            <w:tab/>
          </w:r>
          <w:r>
            <w:rPr>
              <w:sz w:val="23"/>
              <w:u w:val="double"/>
            </w:rPr>
            <w:t>Subcontractor Warranties</w:t>
          </w:r>
          <w:r>
            <w:rPr>
              <w:sz w:val="23"/>
            </w:rPr>
            <w:tab/>
          </w:r>
          <w:r>
            <w:rPr>
              <w:sz w:val="23"/>
              <w:u w:val="double"/>
            </w:rPr>
            <w:t>48</w:t>
          </w:r>
        </w:p>
        <w:p>
          <w:pPr>
            <w:pStyle w:val="TOC2"/>
            <w:tabs>
              <w:tab w:val="left" w:pos="960" w:leader="none"/>
              <w:tab w:val="right" w:pos="9360" w:leader="dot"/>
            </w:tabs>
            <w:bidi w:val="0"/>
            <w:jc w:val="start"/>
            <w:rPr>
              <w:rFonts w:ascii="Times New Roman" w:hAnsi="Times New Roman"/>
              <w:sz w:val="23"/>
              <w:u w:val="double"/>
            </w:rPr>
          </w:pPr>
          <w:r>
            <w:rPr>
              <w:sz w:val="23"/>
              <w:u w:val="double"/>
            </w:rPr>
            <w:t>12.5</w:t>
          </w:r>
          <w:r>
            <w:rPr>
              <w:b w:val="false"/>
              <w:sz w:val="23"/>
            </w:rPr>
            <w:tab/>
          </w:r>
          <w:r>
            <w:rPr>
              <w:sz w:val="23"/>
              <w:u w:val="double"/>
            </w:rPr>
            <w:t>Warranty Exclusions</w:t>
          </w:r>
          <w:r>
            <w:rPr>
              <w:sz w:val="23"/>
            </w:rPr>
            <w:tab/>
          </w:r>
          <w:r>
            <w:rPr>
              <w:sz w:val="23"/>
              <w:u w:val="double"/>
            </w:rPr>
            <w:t>48</w:t>
          </w:r>
        </w:p>
        <w:p>
          <w:pPr>
            <w:pStyle w:val="TOC2"/>
            <w:tabs>
              <w:tab w:val="left" w:pos="960" w:leader="none"/>
              <w:tab w:val="right" w:pos="9360" w:leader="dot"/>
            </w:tabs>
            <w:bidi w:val="0"/>
            <w:jc w:val="start"/>
            <w:rPr>
              <w:rFonts w:ascii="Times New Roman" w:hAnsi="Times New Roman"/>
              <w:sz w:val="23"/>
              <w:u w:val="double"/>
            </w:rPr>
          </w:pPr>
          <w:r>
            <w:rPr>
              <w:sz w:val="23"/>
              <w:u w:val="double"/>
            </w:rPr>
            <w:t>12.6</w:t>
          </w:r>
          <w:r>
            <w:rPr>
              <w:b w:val="false"/>
              <w:sz w:val="23"/>
            </w:rPr>
            <w:tab/>
          </w:r>
          <w:r>
            <w:rPr>
              <w:sz w:val="23"/>
              <w:u w:val="double"/>
            </w:rPr>
            <w:t>No Implied Warranties</w:t>
          </w:r>
          <w:r>
            <w:rPr>
              <w:sz w:val="23"/>
            </w:rPr>
            <w:tab/>
          </w:r>
          <w:r>
            <w:rPr>
              <w:sz w:val="23"/>
              <w:u w:val="double"/>
            </w:rPr>
            <w:t>48</w:t>
          </w:r>
        </w:p>
        <w:p>
          <w:pPr>
            <w:pStyle w:val="TOC2"/>
            <w:tabs>
              <w:tab w:val="left" w:pos="960" w:leader="none"/>
              <w:tab w:val="right" w:pos="9360" w:leader="dot"/>
            </w:tabs>
            <w:bidi w:val="0"/>
            <w:jc w:val="start"/>
            <w:rPr>
              <w:rFonts w:ascii="Times New Roman" w:hAnsi="Times New Roman"/>
              <w:sz w:val="23"/>
              <w:u w:val="double"/>
            </w:rPr>
          </w:pPr>
          <w:r>
            <w:rPr>
              <w:sz w:val="23"/>
              <w:u w:val="double"/>
            </w:rPr>
            <w:t>12.7</w:t>
          </w:r>
          <w:r>
            <w:rPr>
              <w:b w:val="false"/>
              <w:sz w:val="23"/>
            </w:rPr>
            <w:tab/>
          </w:r>
          <w:r>
            <w:rPr>
              <w:sz w:val="23"/>
              <w:u w:val="double"/>
            </w:rPr>
            <w:t>Post Repair Testing</w:t>
          </w:r>
          <w:r>
            <w:rPr>
              <w:sz w:val="23"/>
            </w:rPr>
            <w:tab/>
          </w:r>
          <w:r>
            <w:rPr>
              <w:sz w:val="23"/>
              <w:u w:val="double"/>
            </w:rPr>
            <w:t>48</w:t>
          </w:r>
        </w:p>
        <w:p>
          <w:pPr>
            <w:pStyle w:val="TOC1"/>
            <w:bidi w:val="0"/>
            <w:jc w:val="start"/>
            <w:rPr>
              <w:rFonts w:ascii="Times New Roman" w:hAnsi="Times New Roman"/>
              <w:sz w:val="23"/>
              <w:u w:val="double"/>
            </w:rPr>
          </w:pPr>
          <w:r>
            <w:rPr>
              <w:rFonts w:ascii="Times New Roman" w:hAnsi="Times New Roman"/>
              <w:sz w:val="23"/>
              <w:u w:val="double"/>
            </w:rPr>
            <w:t>ARTICLE 13:  SCHEDULE GUARANTEES</w:t>
          </w:r>
          <w:r>
            <w:rPr>
              <w:rFonts w:ascii="Times New Roman" w:hAnsi="Times New Roman"/>
              <w:sz w:val="23"/>
            </w:rPr>
            <w:tab/>
          </w:r>
          <w:r>
            <w:rPr>
              <w:rFonts w:ascii="Times New Roman" w:hAnsi="Times New Roman"/>
              <w:sz w:val="23"/>
              <w:u w:val="double"/>
            </w:rPr>
            <w:t>48</w:t>
          </w:r>
        </w:p>
        <w:p>
          <w:pPr>
            <w:pStyle w:val="TOC2"/>
            <w:tabs>
              <w:tab w:val="left" w:pos="960" w:leader="none"/>
              <w:tab w:val="right" w:pos="9360" w:leader="dot"/>
            </w:tabs>
            <w:bidi w:val="0"/>
            <w:jc w:val="start"/>
            <w:rPr>
              <w:rFonts w:ascii="Times New Roman" w:hAnsi="Times New Roman"/>
              <w:sz w:val="23"/>
              <w:u w:val="double"/>
            </w:rPr>
          </w:pPr>
          <w:r>
            <w:rPr>
              <w:sz w:val="23"/>
              <w:u w:val="double"/>
            </w:rPr>
            <w:t>13.1</w:t>
          </w:r>
          <w:r>
            <w:rPr>
              <w:b w:val="false"/>
              <w:sz w:val="23"/>
            </w:rPr>
            <w:tab/>
          </w:r>
          <w:r>
            <w:rPr>
              <w:sz w:val="23"/>
              <w:u w:val="double"/>
            </w:rPr>
            <w:t>Guarantee of Timely Completion</w:t>
          </w:r>
          <w:r>
            <w:rPr>
              <w:sz w:val="23"/>
            </w:rPr>
            <w:tab/>
          </w:r>
          <w:r>
            <w:rPr>
              <w:sz w:val="23"/>
              <w:u w:val="double"/>
            </w:rPr>
            <w:t>48</w:t>
          </w:r>
        </w:p>
        <w:p>
          <w:pPr>
            <w:pStyle w:val="TOC2"/>
            <w:tabs>
              <w:tab w:val="left" w:pos="960" w:leader="none"/>
              <w:tab w:val="right" w:pos="9360" w:leader="dot"/>
            </w:tabs>
            <w:bidi w:val="0"/>
            <w:jc w:val="start"/>
            <w:rPr>
              <w:rFonts w:ascii="Times New Roman" w:hAnsi="Times New Roman"/>
              <w:sz w:val="23"/>
              <w:u w:val="double"/>
            </w:rPr>
          </w:pPr>
          <w:r>
            <w:rPr>
              <w:sz w:val="23"/>
              <w:u w:val="double"/>
            </w:rPr>
            <w:t>13.2</w:t>
          </w:r>
          <w:r>
            <w:rPr>
              <w:b w:val="false"/>
              <w:sz w:val="23"/>
            </w:rPr>
            <w:tab/>
          </w:r>
          <w:r>
            <w:rPr>
              <w:sz w:val="23"/>
              <w:u w:val="double"/>
            </w:rPr>
            <w:t>Completion</w:t>
          </w:r>
          <w:r>
            <w:rPr>
              <w:sz w:val="23"/>
            </w:rPr>
            <w:tab/>
          </w:r>
          <w:r>
            <w:rPr>
              <w:sz w:val="23"/>
              <w:u w:val="double"/>
            </w:rPr>
            <w:t>49</w:t>
          </w:r>
        </w:p>
        <w:p>
          <w:pPr>
            <w:pStyle w:val="TOC2"/>
            <w:tabs>
              <w:tab w:val="left" w:pos="960" w:leader="none"/>
              <w:tab w:val="right" w:pos="9360" w:leader="dot"/>
            </w:tabs>
            <w:bidi w:val="0"/>
            <w:jc w:val="start"/>
            <w:rPr>
              <w:rFonts w:ascii="Times New Roman" w:hAnsi="Times New Roman"/>
              <w:sz w:val="23"/>
              <w:u w:val="double"/>
            </w:rPr>
          </w:pPr>
          <w:r>
            <w:rPr>
              <w:sz w:val="23"/>
              <w:u w:val="double"/>
            </w:rPr>
            <w:t>13.3</w:t>
          </w:r>
          <w:r>
            <w:rPr>
              <w:b w:val="false"/>
              <w:sz w:val="23"/>
            </w:rPr>
            <w:tab/>
          </w:r>
          <w:r>
            <w:rPr>
              <w:sz w:val="23"/>
              <w:u w:val="double"/>
            </w:rPr>
            <w:t>Delay Liquidated Damages</w:t>
          </w:r>
          <w:r>
            <w:rPr>
              <w:sz w:val="23"/>
            </w:rPr>
            <w:tab/>
          </w:r>
          <w:r>
            <w:rPr>
              <w:sz w:val="23"/>
              <w:u w:val="double"/>
            </w:rPr>
            <w:t>49</w:t>
          </w:r>
        </w:p>
        <w:p>
          <w:pPr>
            <w:pStyle w:val="TOC2"/>
            <w:tabs>
              <w:tab w:val="left" w:pos="960" w:leader="none"/>
              <w:tab w:val="right" w:pos="9360" w:leader="dot"/>
            </w:tabs>
            <w:bidi w:val="0"/>
            <w:jc w:val="start"/>
            <w:rPr>
              <w:rFonts w:ascii="Times New Roman" w:hAnsi="Times New Roman"/>
              <w:sz w:val="23"/>
              <w:u w:val="double"/>
            </w:rPr>
          </w:pPr>
          <w:r>
            <w:rPr>
              <w:sz w:val="23"/>
              <w:u w:val="double"/>
            </w:rPr>
            <w:t>13.4</w:t>
          </w:r>
          <w:r>
            <w:rPr>
              <w:b w:val="false"/>
              <w:sz w:val="23"/>
            </w:rPr>
            <w:tab/>
          </w:r>
          <w:r>
            <w:rPr>
              <w:sz w:val="23"/>
              <w:u w:val="double"/>
            </w:rPr>
            <w:t>Performance Guarantees and Liquidated Damages</w:t>
          </w:r>
          <w:r>
            <w:rPr>
              <w:sz w:val="23"/>
            </w:rPr>
            <w:tab/>
          </w:r>
          <w:r>
            <w:rPr>
              <w:sz w:val="23"/>
              <w:u w:val="double"/>
            </w:rPr>
            <w:t>49</w:t>
          </w:r>
        </w:p>
        <w:p>
          <w:pPr>
            <w:pStyle w:val="TOC2"/>
            <w:tabs>
              <w:tab w:val="left" w:pos="960" w:leader="none"/>
              <w:tab w:val="right" w:pos="9360" w:leader="dot"/>
            </w:tabs>
            <w:bidi w:val="0"/>
            <w:jc w:val="start"/>
            <w:rPr>
              <w:rFonts w:ascii="Times New Roman" w:hAnsi="Times New Roman"/>
              <w:sz w:val="23"/>
              <w:u w:val="double"/>
            </w:rPr>
          </w:pPr>
          <w:r>
            <w:rPr>
              <w:sz w:val="23"/>
              <w:u w:val="double"/>
            </w:rPr>
            <w:t>13.5</w:t>
          </w:r>
          <w:r>
            <w:rPr>
              <w:b w:val="false"/>
              <w:sz w:val="23"/>
            </w:rPr>
            <w:tab/>
          </w:r>
          <w:r>
            <w:rPr>
              <w:sz w:val="23"/>
              <w:u w:val="double"/>
            </w:rPr>
            <w:t>Performance Tests</w:t>
          </w:r>
          <w:r>
            <w:rPr>
              <w:sz w:val="23"/>
            </w:rPr>
            <w:tab/>
          </w:r>
          <w:r>
            <w:rPr>
              <w:sz w:val="23"/>
              <w:u w:val="double"/>
            </w:rPr>
            <w:t>50</w:t>
          </w:r>
        </w:p>
        <w:p>
          <w:pPr>
            <w:pStyle w:val="TOC1"/>
            <w:bidi w:val="0"/>
            <w:jc w:val="start"/>
            <w:rPr>
              <w:rFonts w:ascii="Times New Roman" w:hAnsi="Times New Roman"/>
              <w:sz w:val="23"/>
              <w:u w:val="double"/>
            </w:rPr>
          </w:pPr>
          <w:r>
            <w:rPr>
              <w:rFonts w:ascii="Times New Roman" w:hAnsi="Times New Roman"/>
              <w:sz w:val="23"/>
              <w:u w:val="double"/>
            </w:rPr>
            <w:t>ARTICLE 14:  LIMITATION OF LIABILITY</w:t>
          </w:r>
          <w:r>
            <w:rPr>
              <w:rFonts w:ascii="Times New Roman" w:hAnsi="Times New Roman"/>
              <w:sz w:val="23"/>
            </w:rPr>
            <w:tab/>
          </w:r>
          <w:r>
            <w:rPr>
              <w:rFonts w:ascii="Times New Roman" w:hAnsi="Times New Roman"/>
              <w:sz w:val="23"/>
              <w:u w:val="double"/>
            </w:rPr>
            <w:t>50</w:t>
          </w:r>
        </w:p>
        <w:p>
          <w:pPr>
            <w:pStyle w:val="TOC2"/>
            <w:tabs>
              <w:tab w:val="left" w:pos="960" w:leader="none"/>
              <w:tab w:val="right" w:pos="9360" w:leader="dot"/>
            </w:tabs>
            <w:bidi w:val="0"/>
            <w:jc w:val="start"/>
            <w:rPr>
              <w:rFonts w:ascii="Times New Roman" w:hAnsi="Times New Roman"/>
              <w:sz w:val="23"/>
              <w:u w:val="double"/>
            </w:rPr>
          </w:pPr>
          <w:r>
            <w:rPr>
              <w:sz w:val="23"/>
              <w:u w:val="double"/>
            </w:rPr>
            <w:t>14.1</w:t>
          </w:r>
          <w:r>
            <w:rPr>
              <w:b w:val="false"/>
              <w:sz w:val="23"/>
            </w:rPr>
            <w:tab/>
          </w:r>
          <w:r>
            <w:rPr>
              <w:sz w:val="23"/>
              <w:u w:val="double"/>
            </w:rPr>
            <w:t>Maximum Liability</w:t>
          </w:r>
          <w:r>
            <w:rPr>
              <w:sz w:val="23"/>
            </w:rPr>
            <w:tab/>
          </w:r>
          <w:r>
            <w:rPr>
              <w:sz w:val="23"/>
              <w:u w:val="double"/>
            </w:rPr>
            <w:t>50</w:t>
          </w:r>
        </w:p>
        <w:p>
          <w:pPr>
            <w:pStyle w:val="TOC2"/>
            <w:tabs>
              <w:tab w:val="left" w:pos="960" w:leader="none"/>
              <w:tab w:val="right" w:pos="9360" w:leader="dot"/>
            </w:tabs>
            <w:bidi w:val="0"/>
            <w:jc w:val="start"/>
            <w:rPr>
              <w:rFonts w:ascii="Times New Roman" w:hAnsi="Times New Roman"/>
              <w:sz w:val="23"/>
              <w:u w:val="double"/>
            </w:rPr>
          </w:pPr>
          <w:r>
            <w:rPr>
              <w:sz w:val="23"/>
              <w:u w:val="double"/>
            </w:rPr>
            <w:t>14.2</w:t>
          </w:r>
          <w:r>
            <w:rPr>
              <w:b w:val="false"/>
              <w:sz w:val="23"/>
            </w:rPr>
            <w:tab/>
          </w:r>
          <w:r>
            <w:rPr>
              <w:sz w:val="23"/>
              <w:u w:val="double"/>
            </w:rPr>
            <w:t>Consequential Damages</w:t>
          </w:r>
          <w:r>
            <w:rPr>
              <w:sz w:val="23"/>
            </w:rPr>
            <w:tab/>
          </w:r>
          <w:r>
            <w:rPr>
              <w:sz w:val="23"/>
              <w:u w:val="double"/>
            </w:rPr>
            <w:t>51</w:t>
          </w:r>
        </w:p>
        <w:p>
          <w:pPr>
            <w:pStyle w:val="TOC2"/>
            <w:tabs>
              <w:tab w:val="left" w:pos="960" w:leader="none"/>
              <w:tab w:val="right" w:pos="9360" w:leader="dot"/>
            </w:tabs>
            <w:bidi w:val="0"/>
            <w:jc w:val="start"/>
            <w:rPr>
              <w:rFonts w:ascii="Times New Roman" w:hAnsi="Times New Roman"/>
              <w:sz w:val="23"/>
              <w:u w:val="double"/>
            </w:rPr>
          </w:pPr>
          <w:r>
            <w:rPr>
              <w:sz w:val="23"/>
              <w:u w:val="double"/>
            </w:rPr>
            <w:t>14.3</w:t>
          </w:r>
          <w:r>
            <w:rPr>
              <w:b w:val="false"/>
              <w:sz w:val="23"/>
            </w:rPr>
            <w:tab/>
          </w:r>
          <w:r>
            <w:rPr>
              <w:sz w:val="23"/>
              <w:u w:val="double"/>
            </w:rPr>
            <w:t>Releases Valid in All Events</w:t>
          </w:r>
          <w:r>
            <w:rPr>
              <w:sz w:val="23"/>
            </w:rPr>
            <w:tab/>
          </w:r>
          <w:r>
            <w:rPr>
              <w:sz w:val="23"/>
              <w:u w:val="double"/>
            </w:rPr>
            <w:t>51</w:t>
          </w:r>
        </w:p>
        <w:p>
          <w:pPr>
            <w:pStyle w:val="TOC2"/>
            <w:tabs>
              <w:tab w:val="left" w:pos="960" w:leader="none"/>
              <w:tab w:val="right" w:pos="9360" w:leader="dot"/>
            </w:tabs>
            <w:bidi w:val="0"/>
            <w:jc w:val="start"/>
            <w:rPr>
              <w:rFonts w:ascii="Times New Roman" w:hAnsi="Times New Roman"/>
              <w:sz w:val="23"/>
              <w:u w:val="double"/>
            </w:rPr>
          </w:pPr>
          <w:r>
            <w:rPr>
              <w:sz w:val="23"/>
              <w:u w:val="double"/>
            </w:rPr>
            <w:t>14.4</w:t>
          </w:r>
          <w:r>
            <w:rPr>
              <w:b w:val="false"/>
              <w:sz w:val="23"/>
            </w:rPr>
            <w:tab/>
          </w:r>
          <w:r>
            <w:rPr>
              <w:sz w:val="23"/>
              <w:u w:val="double"/>
            </w:rPr>
            <w:t>Liquidated Damages Not Penalty</w:t>
          </w:r>
          <w:r>
            <w:rPr>
              <w:sz w:val="23"/>
            </w:rPr>
            <w:tab/>
          </w:r>
          <w:r>
            <w:rPr>
              <w:sz w:val="23"/>
              <w:u w:val="double"/>
            </w:rPr>
            <w:t>51</w:t>
          </w:r>
        </w:p>
        <w:p>
          <w:pPr>
            <w:pStyle w:val="TOC1"/>
            <w:bidi w:val="0"/>
            <w:jc w:val="start"/>
            <w:rPr>
              <w:rFonts w:ascii="Times New Roman" w:hAnsi="Times New Roman"/>
              <w:sz w:val="23"/>
              <w:u w:val="double"/>
            </w:rPr>
          </w:pPr>
          <w:r>
            <w:rPr>
              <w:rFonts w:ascii="Times New Roman" w:hAnsi="Times New Roman"/>
              <w:sz w:val="23"/>
              <w:u w:val="double"/>
            </w:rPr>
            <w:t>ARTICLE 15: REPRESENTATIONS OF CONTRACTOR AND OWNER</w:t>
          </w:r>
          <w:r>
            <w:rPr>
              <w:rFonts w:ascii="Times New Roman" w:hAnsi="Times New Roman"/>
              <w:sz w:val="23"/>
            </w:rPr>
            <w:tab/>
          </w:r>
          <w:r>
            <w:rPr>
              <w:rFonts w:ascii="Times New Roman" w:hAnsi="Times New Roman"/>
              <w:sz w:val="23"/>
              <w:u w:val="double"/>
            </w:rPr>
            <w:t>52</w:t>
          </w:r>
        </w:p>
        <w:p>
          <w:pPr>
            <w:pStyle w:val="TOC2"/>
            <w:tabs>
              <w:tab w:val="left" w:pos="960" w:leader="none"/>
              <w:tab w:val="right" w:pos="9360" w:leader="dot"/>
            </w:tabs>
            <w:bidi w:val="0"/>
            <w:jc w:val="start"/>
            <w:rPr>
              <w:rFonts w:ascii="Times New Roman" w:hAnsi="Times New Roman"/>
              <w:sz w:val="23"/>
              <w:u w:val="double"/>
            </w:rPr>
          </w:pPr>
          <w:r>
            <w:rPr>
              <w:sz w:val="23"/>
              <w:u w:val="double"/>
            </w:rPr>
            <w:t>15.1</w:t>
          </w:r>
          <w:r>
            <w:rPr>
              <w:b w:val="false"/>
              <w:sz w:val="23"/>
            </w:rPr>
            <w:tab/>
          </w:r>
          <w:r>
            <w:rPr>
              <w:sz w:val="23"/>
              <w:u w:val="double"/>
            </w:rPr>
            <w:t>Contractor Representations</w:t>
          </w:r>
          <w:r>
            <w:rPr>
              <w:sz w:val="23"/>
            </w:rPr>
            <w:tab/>
          </w:r>
          <w:r>
            <w:rPr>
              <w:sz w:val="23"/>
              <w:u w:val="double"/>
            </w:rPr>
            <w:t>52</w:t>
          </w:r>
        </w:p>
        <w:p>
          <w:pPr>
            <w:pStyle w:val="TOC2"/>
            <w:tabs>
              <w:tab w:val="left" w:pos="960" w:leader="none"/>
              <w:tab w:val="right" w:pos="9360" w:leader="dot"/>
            </w:tabs>
            <w:bidi w:val="0"/>
            <w:jc w:val="start"/>
            <w:rPr>
              <w:rFonts w:ascii="Times New Roman" w:hAnsi="Times New Roman"/>
              <w:sz w:val="23"/>
              <w:u w:val="double"/>
            </w:rPr>
          </w:pPr>
          <w:r>
            <w:rPr>
              <w:sz w:val="23"/>
              <w:u w:val="double"/>
            </w:rPr>
            <w:t>15.2</w:t>
          </w:r>
          <w:r>
            <w:rPr>
              <w:b w:val="false"/>
              <w:sz w:val="23"/>
            </w:rPr>
            <w:tab/>
          </w:r>
          <w:r>
            <w:rPr>
              <w:sz w:val="23"/>
              <w:u w:val="double"/>
            </w:rPr>
            <w:t>Owner Representations</w:t>
          </w:r>
          <w:r>
            <w:rPr>
              <w:sz w:val="23"/>
            </w:rPr>
            <w:tab/>
          </w:r>
          <w:r>
            <w:rPr>
              <w:sz w:val="23"/>
              <w:u w:val="double"/>
            </w:rPr>
            <w:t>53</w:t>
          </w:r>
        </w:p>
        <w:p>
          <w:pPr>
            <w:pStyle w:val="TOC1"/>
            <w:bidi w:val="0"/>
            <w:jc w:val="start"/>
            <w:rPr>
              <w:rFonts w:ascii="Times New Roman" w:hAnsi="Times New Roman"/>
              <w:sz w:val="23"/>
              <w:u w:val="double"/>
            </w:rPr>
          </w:pPr>
          <w:r>
            <w:rPr>
              <w:rFonts w:ascii="Times New Roman" w:hAnsi="Times New Roman"/>
              <w:sz w:val="23"/>
              <w:u w:val="double"/>
            </w:rPr>
            <w:t>ARTICLE 16: DEFAULT, TERMINATION AND SUSPENSION</w:t>
          </w:r>
          <w:r>
            <w:rPr>
              <w:rFonts w:ascii="Times New Roman" w:hAnsi="Times New Roman"/>
              <w:sz w:val="23"/>
            </w:rPr>
            <w:tab/>
          </w:r>
          <w:r>
            <w:rPr>
              <w:rFonts w:ascii="Times New Roman" w:hAnsi="Times New Roman"/>
              <w:sz w:val="23"/>
              <w:u w:val="double"/>
            </w:rPr>
            <w:t>54</w:t>
          </w:r>
        </w:p>
        <w:p>
          <w:pPr>
            <w:pStyle w:val="TOC2"/>
            <w:tabs>
              <w:tab w:val="left" w:pos="960" w:leader="none"/>
              <w:tab w:val="right" w:pos="9360" w:leader="dot"/>
            </w:tabs>
            <w:bidi w:val="0"/>
            <w:jc w:val="start"/>
            <w:rPr>
              <w:rFonts w:ascii="Times New Roman" w:hAnsi="Times New Roman"/>
              <w:sz w:val="23"/>
              <w:u w:val="double"/>
            </w:rPr>
          </w:pPr>
          <w:r>
            <w:rPr>
              <w:sz w:val="23"/>
              <w:u w:val="double"/>
            </w:rPr>
            <w:t>16.1</w:t>
          </w:r>
          <w:r>
            <w:rPr>
              <w:b w:val="false"/>
              <w:sz w:val="23"/>
            </w:rPr>
            <w:tab/>
          </w:r>
          <w:r>
            <w:rPr>
              <w:sz w:val="23"/>
              <w:u w:val="double"/>
            </w:rPr>
            <w:t>Default by Contractor</w:t>
          </w:r>
          <w:r>
            <w:rPr>
              <w:sz w:val="23"/>
            </w:rPr>
            <w:tab/>
          </w:r>
          <w:r>
            <w:rPr>
              <w:sz w:val="23"/>
              <w:u w:val="double"/>
            </w:rPr>
            <w:t>54</w:t>
          </w:r>
        </w:p>
        <w:p>
          <w:pPr>
            <w:pStyle w:val="TOC2"/>
            <w:tabs>
              <w:tab w:val="left" w:pos="960" w:leader="none"/>
              <w:tab w:val="right" w:pos="9360" w:leader="dot"/>
            </w:tabs>
            <w:bidi w:val="0"/>
            <w:jc w:val="start"/>
            <w:rPr>
              <w:rFonts w:ascii="Times New Roman" w:hAnsi="Times New Roman"/>
              <w:sz w:val="23"/>
              <w:u w:val="double"/>
            </w:rPr>
          </w:pPr>
          <w:r>
            <w:rPr>
              <w:sz w:val="23"/>
              <w:u w:val="double"/>
            </w:rPr>
            <w:t>16.2</w:t>
          </w:r>
          <w:r>
            <w:rPr>
              <w:b w:val="false"/>
              <w:sz w:val="23"/>
            </w:rPr>
            <w:tab/>
          </w:r>
          <w:r>
            <w:rPr>
              <w:sz w:val="23"/>
              <w:u w:val="double"/>
            </w:rPr>
            <w:t>Optional Cancellation by Owner</w:t>
          </w:r>
          <w:r>
            <w:rPr>
              <w:sz w:val="23"/>
            </w:rPr>
            <w:tab/>
          </w:r>
          <w:r>
            <w:rPr>
              <w:sz w:val="23"/>
              <w:u w:val="double"/>
            </w:rPr>
            <w:t>57</w:t>
          </w:r>
        </w:p>
        <w:p>
          <w:pPr>
            <w:pStyle w:val="TOC2"/>
            <w:tabs>
              <w:tab w:val="left" w:pos="960" w:leader="none"/>
              <w:tab w:val="right" w:pos="9360" w:leader="dot"/>
            </w:tabs>
            <w:bidi w:val="0"/>
            <w:jc w:val="start"/>
            <w:rPr>
              <w:rFonts w:ascii="Times New Roman" w:hAnsi="Times New Roman"/>
              <w:sz w:val="23"/>
              <w:u w:val="double"/>
            </w:rPr>
          </w:pPr>
          <w:r>
            <w:rPr>
              <w:sz w:val="23"/>
              <w:u w:val="double"/>
            </w:rPr>
            <w:t>16.3</w:t>
          </w:r>
          <w:r>
            <w:rPr>
              <w:b w:val="false"/>
              <w:sz w:val="23"/>
            </w:rPr>
            <w:tab/>
          </w:r>
          <w:r>
            <w:rPr>
              <w:sz w:val="23"/>
              <w:u w:val="double"/>
            </w:rPr>
            <w:t>Termination by Contractor</w:t>
          </w:r>
          <w:r>
            <w:rPr>
              <w:sz w:val="23"/>
            </w:rPr>
            <w:tab/>
          </w:r>
          <w:r>
            <w:rPr>
              <w:sz w:val="23"/>
              <w:u w:val="double"/>
            </w:rPr>
            <w:t>58</w:t>
          </w:r>
        </w:p>
        <w:p>
          <w:pPr>
            <w:pStyle w:val="TOC2"/>
            <w:tabs>
              <w:tab w:val="left" w:pos="960" w:leader="none"/>
              <w:tab w:val="right" w:pos="9360" w:leader="dot"/>
            </w:tabs>
            <w:bidi w:val="0"/>
            <w:jc w:val="start"/>
            <w:rPr>
              <w:rFonts w:ascii="Times New Roman" w:hAnsi="Times New Roman"/>
              <w:sz w:val="23"/>
              <w:u w:val="double"/>
            </w:rPr>
          </w:pPr>
          <w:r>
            <w:rPr>
              <w:sz w:val="23"/>
              <w:u w:val="double"/>
            </w:rPr>
            <w:t>16.4</w:t>
          </w:r>
          <w:r>
            <w:rPr>
              <w:b w:val="false"/>
              <w:sz w:val="23"/>
            </w:rPr>
            <w:tab/>
          </w:r>
          <w:r>
            <w:rPr>
              <w:sz w:val="23"/>
              <w:u w:val="double"/>
            </w:rPr>
            <w:t>Suspension of Work</w:t>
          </w:r>
          <w:r>
            <w:rPr>
              <w:sz w:val="23"/>
            </w:rPr>
            <w:tab/>
          </w:r>
          <w:r>
            <w:rPr>
              <w:sz w:val="23"/>
              <w:u w:val="double"/>
            </w:rPr>
            <w:t>59</w:t>
          </w:r>
        </w:p>
        <w:p>
          <w:pPr>
            <w:pStyle w:val="TOC1"/>
            <w:bidi w:val="0"/>
            <w:jc w:val="start"/>
            <w:rPr>
              <w:rFonts w:ascii="Times New Roman" w:hAnsi="Times New Roman"/>
              <w:sz w:val="23"/>
              <w:u w:val="double"/>
            </w:rPr>
          </w:pPr>
          <w:r>
            <w:rPr>
              <w:rFonts w:ascii="Times New Roman" w:hAnsi="Times New Roman"/>
              <w:sz w:val="23"/>
              <w:u w:val="double"/>
            </w:rPr>
            <w:t>ARTICLE 17:  FORCE MAJEURE</w:t>
          </w:r>
          <w:r>
            <w:rPr>
              <w:rFonts w:ascii="Times New Roman" w:hAnsi="Times New Roman"/>
              <w:sz w:val="23"/>
            </w:rPr>
            <w:tab/>
          </w:r>
          <w:r>
            <w:rPr>
              <w:rFonts w:ascii="Times New Roman" w:hAnsi="Times New Roman"/>
              <w:sz w:val="23"/>
              <w:u w:val="double"/>
            </w:rPr>
            <w:t>60</w:t>
          </w:r>
        </w:p>
        <w:p>
          <w:pPr>
            <w:pStyle w:val="TOC2"/>
            <w:tabs>
              <w:tab w:val="left" w:pos="960" w:leader="none"/>
              <w:tab w:val="right" w:pos="9360" w:leader="dot"/>
            </w:tabs>
            <w:bidi w:val="0"/>
            <w:jc w:val="start"/>
            <w:rPr>
              <w:rFonts w:ascii="Times New Roman" w:hAnsi="Times New Roman"/>
              <w:sz w:val="23"/>
              <w:u w:val="double"/>
            </w:rPr>
          </w:pPr>
          <w:r>
            <w:rPr>
              <w:sz w:val="23"/>
              <w:u w:val="double"/>
            </w:rPr>
            <w:t>17.1</w:t>
          </w:r>
          <w:r>
            <w:rPr>
              <w:b w:val="false"/>
              <w:sz w:val="23"/>
            </w:rPr>
            <w:tab/>
          </w:r>
          <w:r>
            <w:rPr>
              <w:sz w:val="23"/>
              <w:u w:val="double"/>
            </w:rPr>
            <w:t>Failure to Perform Due to an Event of Force Majeure</w:t>
          </w:r>
          <w:r>
            <w:rPr>
              <w:sz w:val="23"/>
            </w:rPr>
            <w:tab/>
          </w:r>
          <w:r>
            <w:rPr>
              <w:sz w:val="23"/>
              <w:u w:val="double"/>
            </w:rPr>
            <w:t>60</w:t>
          </w:r>
        </w:p>
        <w:p>
          <w:pPr>
            <w:pStyle w:val="TOC2"/>
            <w:tabs>
              <w:tab w:val="left" w:pos="960" w:leader="none"/>
              <w:tab w:val="right" w:pos="9360" w:leader="dot"/>
            </w:tabs>
            <w:bidi w:val="0"/>
            <w:jc w:val="start"/>
            <w:rPr>
              <w:rFonts w:ascii="Times New Roman" w:hAnsi="Times New Roman"/>
              <w:sz w:val="23"/>
              <w:u w:val="double"/>
            </w:rPr>
          </w:pPr>
          <w:r>
            <w:rPr>
              <w:sz w:val="23"/>
              <w:u w:val="double"/>
            </w:rPr>
            <w:t>17.2</w:t>
          </w:r>
          <w:r>
            <w:rPr>
              <w:b w:val="false"/>
              <w:sz w:val="23"/>
            </w:rPr>
            <w:tab/>
          </w:r>
          <w:r>
            <w:rPr>
              <w:sz w:val="23"/>
              <w:u w:val="double"/>
            </w:rPr>
            <w:t>Limitations of Events of Force Majeure</w:t>
          </w:r>
          <w:r>
            <w:rPr>
              <w:sz w:val="23"/>
            </w:rPr>
            <w:tab/>
          </w:r>
          <w:r>
            <w:rPr>
              <w:sz w:val="23"/>
              <w:u w:val="double"/>
            </w:rPr>
            <w:t>61</w:t>
          </w:r>
        </w:p>
        <w:p>
          <w:pPr>
            <w:pStyle w:val="TOC2"/>
            <w:tabs>
              <w:tab w:val="left" w:pos="960" w:leader="none"/>
              <w:tab w:val="right" w:pos="9360" w:leader="dot"/>
            </w:tabs>
            <w:bidi w:val="0"/>
            <w:jc w:val="start"/>
            <w:rPr>
              <w:rFonts w:ascii="Times New Roman" w:hAnsi="Times New Roman"/>
              <w:sz w:val="23"/>
              <w:u w:val="double"/>
            </w:rPr>
          </w:pPr>
          <w:r>
            <w:rPr>
              <w:sz w:val="23"/>
              <w:u w:val="double"/>
            </w:rPr>
            <w:t>17.3</w:t>
          </w:r>
          <w:r>
            <w:rPr>
              <w:b w:val="false"/>
              <w:sz w:val="23"/>
            </w:rPr>
            <w:tab/>
          </w:r>
          <w:r>
            <w:rPr>
              <w:sz w:val="23"/>
              <w:u w:val="double"/>
            </w:rPr>
            <w:t>Notice of Event of Force Majeure</w:t>
          </w:r>
          <w:r>
            <w:rPr>
              <w:sz w:val="23"/>
            </w:rPr>
            <w:tab/>
          </w:r>
          <w:r>
            <w:rPr>
              <w:sz w:val="23"/>
              <w:u w:val="double"/>
            </w:rPr>
            <w:t>61</w:t>
          </w:r>
        </w:p>
        <w:p>
          <w:pPr>
            <w:pStyle w:val="TOC2"/>
            <w:tabs>
              <w:tab w:val="left" w:pos="960" w:leader="none"/>
              <w:tab w:val="right" w:pos="9360" w:leader="dot"/>
            </w:tabs>
            <w:bidi w:val="0"/>
            <w:jc w:val="start"/>
            <w:rPr>
              <w:rFonts w:ascii="Times New Roman" w:hAnsi="Times New Roman"/>
              <w:sz w:val="23"/>
              <w:u w:val="double"/>
            </w:rPr>
          </w:pPr>
          <w:r>
            <w:rPr>
              <w:sz w:val="23"/>
              <w:u w:val="double"/>
            </w:rPr>
            <w:t>17.4</w:t>
          </w:r>
          <w:r>
            <w:rPr>
              <w:b w:val="false"/>
              <w:sz w:val="23"/>
            </w:rPr>
            <w:tab/>
          </w:r>
          <w:r>
            <w:rPr>
              <w:sz w:val="23"/>
              <w:u w:val="double"/>
            </w:rPr>
            <w:t>Events of Force Majeure</w:t>
          </w:r>
          <w:r>
            <w:rPr>
              <w:sz w:val="23"/>
            </w:rPr>
            <w:tab/>
          </w:r>
          <w:r>
            <w:rPr>
              <w:sz w:val="23"/>
              <w:u w:val="double"/>
            </w:rPr>
            <w:t>62</w:t>
          </w:r>
        </w:p>
        <w:p>
          <w:pPr>
            <w:pStyle w:val="TOC2"/>
            <w:tabs>
              <w:tab w:val="left" w:pos="960" w:leader="none"/>
              <w:tab w:val="right" w:pos="9360" w:leader="dot"/>
            </w:tabs>
            <w:bidi w:val="0"/>
            <w:jc w:val="start"/>
            <w:rPr>
              <w:rFonts w:ascii="Times New Roman" w:hAnsi="Times New Roman"/>
              <w:sz w:val="23"/>
              <w:u w:val="double"/>
            </w:rPr>
          </w:pPr>
          <w:r>
            <w:rPr>
              <w:sz w:val="23"/>
              <w:u w:val="double"/>
            </w:rPr>
            <w:t>17.5</w:t>
          </w:r>
          <w:r>
            <w:rPr>
              <w:b w:val="false"/>
              <w:sz w:val="23"/>
            </w:rPr>
            <w:tab/>
          </w:r>
          <w:r>
            <w:rPr>
              <w:sz w:val="23"/>
              <w:u w:val="double"/>
            </w:rPr>
            <w:t>Certain Events Not Excused</w:t>
          </w:r>
          <w:r>
            <w:rPr>
              <w:sz w:val="23"/>
            </w:rPr>
            <w:tab/>
          </w:r>
          <w:r>
            <w:rPr>
              <w:sz w:val="23"/>
              <w:u w:val="double"/>
            </w:rPr>
            <w:t>62</w:t>
          </w:r>
        </w:p>
        <w:p>
          <w:pPr>
            <w:pStyle w:val="TOC2"/>
            <w:tabs>
              <w:tab w:val="left" w:pos="960" w:leader="none"/>
              <w:tab w:val="right" w:pos="9360" w:leader="dot"/>
            </w:tabs>
            <w:bidi w:val="0"/>
            <w:jc w:val="start"/>
            <w:rPr>
              <w:rFonts w:ascii="Times New Roman" w:hAnsi="Times New Roman"/>
              <w:sz w:val="23"/>
              <w:u w:val="double"/>
            </w:rPr>
          </w:pPr>
          <w:r>
            <w:rPr>
              <w:sz w:val="23"/>
              <w:u w:val="double"/>
            </w:rPr>
            <w:t>17.6</w:t>
          </w:r>
          <w:r>
            <w:rPr>
              <w:b w:val="false"/>
              <w:sz w:val="23"/>
            </w:rPr>
            <w:tab/>
          </w:r>
          <w:r>
            <w:rPr>
              <w:sz w:val="23"/>
              <w:u w:val="double"/>
            </w:rPr>
            <w:t>Continued Performance</w:t>
          </w:r>
          <w:r>
            <w:rPr>
              <w:sz w:val="23"/>
            </w:rPr>
            <w:tab/>
          </w:r>
          <w:r>
            <w:rPr>
              <w:sz w:val="23"/>
              <w:u w:val="double"/>
            </w:rPr>
            <w:t>63</w:t>
          </w:r>
        </w:p>
        <w:p>
          <w:pPr>
            <w:pStyle w:val="TOC2"/>
            <w:tabs>
              <w:tab w:val="left" w:pos="960" w:leader="none"/>
              <w:tab w:val="right" w:pos="9360" w:leader="dot"/>
            </w:tabs>
            <w:bidi w:val="0"/>
            <w:jc w:val="start"/>
            <w:rPr>
              <w:rFonts w:ascii="Times New Roman" w:hAnsi="Times New Roman"/>
              <w:sz w:val="23"/>
              <w:u w:val="double"/>
            </w:rPr>
          </w:pPr>
          <w:r>
            <w:rPr>
              <w:sz w:val="23"/>
              <w:u w:val="double"/>
            </w:rPr>
            <w:t>17.7</w:t>
          </w:r>
          <w:r>
            <w:rPr>
              <w:b w:val="false"/>
              <w:sz w:val="23"/>
            </w:rPr>
            <w:tab/>
          </w:r>
          <w:r>
            <w:rPr>
              <w:sz w:val="23"/>
              <w:u w:val="double"/>
            </w:rPr>
            <w:t>Event of Force Majeure -  Cost</w:t>
          </w:r>
          <w:r>
            <w:rPr>
              <w:sz w:val="23"/>
            </w:rPr>
            <w:tab/>
          </w:r>
          <w:r>
            <w:rPr>
              <w:sz w:val="23"/>
              <w:u w:val="double"/>
            </w:rPr>
            <w:t>63</w:t>
          </w:r>
        </w:p>
        <w:p>
          <w:pPr>
            <w:pStyle w:val="TOC1"/>
            <w:bidi w:val="0"/>
            <w:jc w:val="start"/>
            <w:rPr>
              <w:rFonts w:ascii="Times New Roman" w:hAnsi="Times New Roman"/>
              <w:sz w:val="23"/>
              <w:u w:val="double"/>
            </w:rPr>
          </w:pPr>
          <w:r>
            <w:rPr>
              <w:rFonts w:ascii="Times New Roman" w:hAnsi="Times New Roman"/>
              <w:sz w:val="23"/>
              <w:u w:val="double"/>
            </w:rPr>
            <w:t>ARTICLE 18:  INDEMNITIES</w:t>
          </w:r>
          <w:r>
            <w:rPr>
              <w:rFonts w:ascii="Times New Roman" w:hAnsi="Times New Roman"/>
              <w:sz w:val="23"/>
            </w:rPr>
            <w:tab/>
          </w:r>
          <w:r>
            <w:rPr>
              <w:rFonts w:ascii="Times New Roman" w:hAnsi="Times New Roman"/>
              <w:sz w:val="23"/>
              <w:u w:val="double"/>
            </w:rPr>
            <w:t>63</w:t>
          </w:r>
        </w:p>
        <w:p>
          <w:pPr>
            <w:pStyle w:val="TOC2"/>
            <w:tabs>
              <w:tab w:val="left" w:pos="960" w:leader="none"/>
              <w:tab w:val="right" w:pos="9360" w:leader="dot"/>
            </w:tabs>
            <w:bidi w:val="0"/>
            <w:jc w:val="start"/>
            <w:rPr>
              <w:rFonts w:ascii="Times New Roman" w:hAnsi="Times New Roman"/>
              <w:sz w:val="23"/>
              <w:u w:val="double"/>
            </w:rPr>
          </w:pPr>
          <w:r>
            <w:rPr>
              <w:sz w:val="23"/>
              <w:u w:val="double"/>
            </w:rPr>
            <w:t>18.1</w:t>
          </w:r>
          <w:r>
            <w:rPr>
              <w:b w:val="false"/>
              <w:sz w:val="23"/>
            </w:rPr>
            <w:tab/>
          </w:r>
          <w:r>
            <w:rPr>
              <w:sz w:val="23"/>
              <w:u w:val="double"/>
            </w:rPr>
            <w:t>Contractor Indemnity</w:t>
          </w:r>
          <w:r>
            <w:rPr>
              <w:sz w:val="23"/>
            </w:rPr>
            <w:tab/>
          </w:r>
          <w:r>
            <w:rPr>
              <w:sz w:val="23"/>
              <w:u w:val="double"/>
            </w:rPr>
            <w:t>63</w:t>
          </w:r>
        </w:p>
        <w:p>
          <w:pPr>
            <w:pStyle w:val="TOC2"/>
            <w:tabs>
              <w:tab w:val="left" w:pos="960" w:leader="none"/>
              <w:tab w:val="right" w:pos="9360" w:leader="dot"/>
            </w:tabs>
            <w:bidi w:val="0"/>
            <w:jc w:val="start"/>
            <w:rPr>
              <w:rFonts w:ascii="Times New Roman" w:hAnsi="Times New Roman"/>
              <w:sz w:val="23"/>
              <w:u w:val="double"/>
            </w:rPr>
          </w:pPr>
          <w:r>
            <w:rPr>
              <w:sz w:val="23"/>
              <w:u w:val="double"/>
            </w:rPr>
            <w:t>18.2</w:t>
          </w:r>
          <w:r>
            <w:rPr>
              <w:b w:val="false"/>
              <w:sz w:val="23"/>
            </w:rPr>
            <w:tab/>
          </w:r>
          <w:r>
            <w:rPr>
              <w:sz w:val="23"/>
              <w:u w:val="double"/>
            </w:rPr>
            <w:t>Owner Indemnity</w:t>
          </w:r>
          <w:r>
            <w:rPr>
              <w:sz w:val="23"/>
            </w:rPr>
            <w:tab/>
          </w:r>
          <w:r>
            <w:rPr>
              <w:sz w:val="23"/>
              <w:u w:val="double"/>
            </w:rPr>
            <w:t>64</w:t>
          </w:r>
        </w:p>
        <w:p>
          <w:pPr>
            <w:pStyle w:val="TOC2"/>
            <w:tabs>
              <w:tab w:val="left" w:pos="960" w:leader="none"/>
              <w:tab w:val="right" w:pos="9360" w:leader="dot"/>
            </w:tabs>
            <w:bidi w:val="0"/>
            <w:jc w:val="start"/>
            <w:rPr>
              <w:rFonts w:ascii="Times New Roman" w:hAnsi="Times New Roman"/>
              <w:sz w:val="23"/>
              <w:u w:val="double"/>
            </w:rPr>
          </w:pPr>
          <w:r>
            <w:rPr>
              <w:sz w:val="23"/>
              <w:u w:val="double"/>
            </w:rPr>
            <w:t>18.3</w:t>
          </w:r>
          <w:r>
            <w:rPr>
              <w:b w:val="false"/>
              <w:sz w:val="23"/>
            </w:rPr>
            <w:tab/>
          </w:r>
          <w:r>
            <w:rPr>
              <w:sz w:val="23"/>
              <w:u w:val="double"/>
            </w:rPr>
            <w:t>Contributory Negligence</w:t>
          </w:r>
          <w:r>
            <w:rPr>
              <w:sz w:val="23"/>
            </w:rPr>
            <w:tab/>
          </w:r>
          <w:r>
            <w:rPr>
              <w:sz w:val="23"/>
              <w:u w:val="double"/>
            </w:rPr>
            <w:t>64</w:t>
          </w:r>
        </w:p>
        <w:p>
          <w:pPr>
            <w:pStyle w:val="TOC2"/>
            <w:tabs>
              <w:tab w:val="left" w:pos="960" w:leader="none"/>
              <w:tab w:val="right" w:pos="9360" w:leader="dot"/>
            </w:tabs>
            <w:bidi w:val="0"/>
            <w:jc w:val="start"/>
            <w:rPr>
              <w:rFonts w:ascii="Times New Roman" w:hAnsi="Times New Roman"/>
              <w:sz w:val="23"/>
              <w:u w:val="double"/>
            </w:rPr>
          </w:pPr>
          <w:r>
            <w:rPr>
              <w:sz w:val="23"/>
              <w:u w:val="double"/>
            </w:rPr>
            <w:t>18.4</w:t>
          </w:r>
          <w:r>
            <w:rPr>
              <w:b w:val="false"/>
              <w:sz w:val="23"/>
            </w:rPr>
            <w:tab/>
          </w:r>
          <w:r>
            <w:rPr>
              <w:sz w:val="23"/>
              <w:u w:val="double"/>
            </w:rPr>
            <w:t>Notice</w:t>
          </w:r>
          <w:r>
            <w:rPr>
              <w:sz w:val="23"/>
            </w:rPr>
            <w:tab/>
          </w:r>
          <w:r>
            <w:rPr>
              <w:sz w:val="23"/>
              <w:u w:val="double"/>
            </w:rPr>
            <w:t>65</w:t>
          </w:r>
        </w:p>
        <w:p>
          <w:pPr>
            <w:pStyle w:val="TOC2"/>
            <w:tabs>
              <w:tab w:val="left" w:pos="960" w:leader="none"/>
              <w:tab w:val="right" w:pos="9360" w:leader="dot"/>
            </w:tabs>
            <w:bidi w:val="0"/>
            <w:jc w:val="start"/>
            <w:rPr>
              <w:rFonts w:ascii="Times New Roman" w:hAnsi="Times New Roman"/>
              <w:sz w:val="23"/>
              <w:u w:val="double"/>
            </w:rPr>
          </w:pPr>
          <w:r>
            <w:rPr>
              <w:sz w:val="23"/>
              <w:u w:val="double"/>
            </w:rPr>
            <w:t>18.5</w:t>
          </w:r>
          <w:r>
            <w:rPr>
              <w:b w:val="false"/>
              <w:sz w:val="23"/>
            </w:rPr>
            <w:tab/>
          </w:r>
          <w:r>
            <w:rPr>
              <w:sz w:val="23"/>
              <w:u w:val="double"/>
            </w:rPr>
            <w:t>Defense of Claims</w:t>
          </w:r>
          <w:r>
            <w:rPr>
              <w:sz w:val="23"/>
            </w:rPr>
            <w:tab/>
          </w:r>
          <w:r>
            <w:rPr>
              <w:sz w:val="23"/>
              <w:u w:val="double"/>
            </w:rPr>
            <w:t>65</w:t>
          </w:r>
        </w:p>
        <w:p>
          <w:pPr>
            <w:pStyle w:val="TOC1"/>
            <w:bidi w:val="0"/>
            <w:jc w:val="start"/>
            <w:rPr>
              <w:rFonts w:ascii="Times New Roman" w:hAnsi="Times New Roman"/>
              <w:sz w:val="23"/>
              <w:u w:val="double"/>
            </w:rPr>
          </w:pPr>
          <w:r>
            <w:rPr>
              <w:rFonts w:ascii="Times New Roman" w:hAnsi="Times New Roman"/>
              <w:sz w:val="23"/>
              <w:u w:val="double"/>
            </w:rPr>
            <w:t>ARTICLE 19:  DISPUTE RESOLUTION</w:t>
          </w:r>
          <w:r>
            <w:rPr>
              <w:rFonts w:ascii="Times New Roman" w:hAnsi="Times New Roman"/>
              <w:sz w:val="23"/>
            </w:rPr>
            <w:tab/>
          </w:r>
          <w:r>
            <w:rPr>
              <w:rFonts w:ascii="Times New Roman" w:hAnsi="Times New Roman"/>
              <w:sz w:val="23"/>
              <w:u w:val="double"/>
            </w:rPr>
            <w:t>65</w:t>
          </w:r>
        </w:p>
        <w:p>
          <w:pPr>
            <w:pStyle w:val="TOC2"/>
            <w:tabs>
              <w:tab w:val="left" w:pos="960" w:leader="none"/>
              <w:tab w:val="right" w:pos="9360" w:leader="dot"/>
            </w:tabs>
            <w:bidi w:val="0"/>
            <w:jc w:val="start"/>
            <w:rPr>
              <w:rFonts w:ascii="Times New Roman" w:hAnsi="Times New Roman"/>
              <w:sz w:val="23"/>
              <w:u w:val="double"/>
            </w:rPr>
          </w:pPr>
          <w:r>
            <w:rPr>
              <w:sz w:val="23"/>
              <w:u w:val="double"/>
            </w:rPr>
            <w:t>19.1</w:t>
          </w:r>
          <w:r>
            <w:rPr>
              <w:b w:val="false"/>
              <w:sz w:val="23"/>
            </w:rPr>
            <w:tab/>
          </w:r>
          <w:r>
            <w:rPr>
              <w:sz w:val="23"/>
              <w:u w:val="double"/>
            </w:rPr>
            <w:t>Negotiation and</w:t>
          </w:r>
          <w:r>
            <w:rPr>
              <w:sz w:val="23"/>
            </w:rPr>
            <w:t xml:space="preserve"> </w:t>
          </w:r>
          <w:r>
            <w:rPr>
              <w:sz w:val="23"/>
              <w:u w:val="double"/>
            </w:rPr>
            <w:t>Arbitration</w:t>
          </w:r>
          <w:r>
            <w:rPr>
              <w:sz w:val="23"/>
            </w:rPr>
            <w:tab/>
          </w:r>
          <w:r>
            <w:rPr>
              <w:sz w:val="23"/>
              <w:u w:val="double"/>
            </w:rPr>
            <w:t>65</w:t>
          </w:r>
        </w:p>
        <w:p>
          <w:pPr>
            <w:pStyle w:val="TOC2"/>
            <w:tabs>
              <w:tab w:val="left" w:pos="960" w:leader="none"/>
              <w:tab w:val="right" w:pos="9360" w:leader="dot"/>
            </w:tabs>
            <w:bidi w:val="0"/>
            <w:jc w:val="start"/>
            <w:rPr>
              <w:rFonts w:ascii="Times New Roman" w:hAnsi="Times New Roman"/>
              <w:sz w:val="23"/>
              <w:u w:val="double"/>
            </w:rPr>
          </w:pPr>
          <w:r>
            <w:rPr>
              <w:sz w:val="23"/>
              <w:u w:val="double"/>
            </w:rPr>
            <w:t>19.2</w:t>
          </w:r>
          <w:r>
            <w:rPr>
              <w:b w:val="false"/>
              <w:sz w:val="23"/>
            </w:rPr>
            <w:tab/>
          </w:r>
          <w:r>
            <w:rPr>
              <w:sz w:val="23"/>
              <w:u w:val="double"/>
            </w:rPr>
            <w:t>Fast-Track Arbitration</w:t>
          </w:r>
          <w:r>
            <w:rPr>
              <w:sz w:val="23"/>
            </w:rPr>
            <w:tab/>
          </w:r>
          <w:r>
            <w:rPr>
              <w:sz w:val="23"/>
              <w:u w:val="double"/>
            </w:rPr>
            <w:t>67</w:t>
          </w:r>
        </w:p>
        <w:p>
          <w:pPr>
            <w:pStyle w:val="TOC2"/>
            <w:tabs>
              <w:tab w:val="left" w:pos="960" w:leader="none"/>
              <w:tab w:val="right" w:pos="9360" w:leader="dot"/>
            </w:tabs>
            <w:bidi w:val="0"/>
            <w:jc w:val="start"/>
            <w:rPr>
              <w:rFonts w:ascii="Times New Roman" w:hAnsi="Times New Roman"/>
              <w:sz w:val="23"/>
              <w:u w:val="double"/>
            </w:rPr>
          </w:pPr>
          <w:r>
            <w:rPr>
              <w:sz w:val="23"/>
              <w:u w:val="double"/>
            </w:rPr>
            <w:t>19.3</w:t>
          </w:r>
          <w:r>
            <w:rPr>
              <w:b w:val="false"/>
              <w:sz w:val="23"/>
            </w:rPr>
            <w:tab/>
          </w:r>
          <w:r>
            <w:rPr>
              <w:sz w:val="23"/>
              <w:u w:val="double"/>
            </w:rPr>
            <w:t>Applicable Law and Arbitration Act</w:t>
          </w:r>
          <w:r>
            <w:rPr>
              <w:sz w:val="23"/>
            </w:rPr>
            <w:tab/>
          </w:r>
          <w:r>
            <w:rPr>
              <w:sz w:val="23"/>
              <w:u w:val="double"/>
            </w:rPr>
            <w:t>67</w:t>
          </w:r>
        </w:p>
        <w:p>
          <w:pPr>
            <w:pStyle w:val="TOC2"/>
            <w:tabs>
              <w:tab w:val="left" w:pos="960" w:leader="none"/>
              <w:tab w:val="right" w:pos="9360" w:leader="dot"/>
            </w:tabs>
            <w:bidi w:val="0"/>
            <w:jc w:val="start"/>
            <w:rPr>
              <w:rFonts w:ascii="Times New Roman" w:hAnsi="Times New Roman"/>
              <w:sz w:val="23"/>
              <w:u w:val="double"/>
            </w:rPr>
          </w:pPr>
          <w:r>
            <w:rPr>
              <w:sz w:val="23"/>
              <w:u w:val="double"/>
            </w:rPr>
            <w:t>19.4</w:t>
          </w:r>
          <w:r>
            <w:rPr>
              <w:b w:val="false"/>
              <w:sz w:val="23"/>
            </w:rPr>
            <w:tab/>
          </w:r>
          <w:r>
            <w:rPr>
              <w:sz w:val="23"/>
              <w:u w:val="double"/>
            </w:rPr>
            <w:t>Effect on Performance</w:t>
          </w:r>
          <w:r>
            <w:rPr>
              <w:sz w:val="23"/>
            </w:rPr>
            <w:tab/>
          </w:r>
          <w:r>
            <w:rPr>
              <w:sz w:val="23"/>
              <w:u w:val="double"/>
            </w:rPr>
            <w:t>68</w:t>
          </w:r>
        </w:p>
        <w:p>
          <w:pPr>
            <w:pStyle w:val="TOC2"/>
            <w:tabs>
              <w:tab w:val="left" w:pos="960" w:leader="none"/>
              <w:tab w:val="right" w:pos="9360" w:leader="dot"/>
            </w:tabs>
            <w:bidi w:val="0"/>
            <w:jc w:val="start"/>
            <w:rPr>
              <w:rFonts w:ascii="Times New Roman" w:hAnsi="Times New Roman"/>
              <w:sz w:val="23"/>
              <w:u w:val="double"/>
            </w:rPr>
          </w:pPr>
          <w:r>
            <w:rPr>
              <w:sz w:val="23"/>
              <w:u w:val="double"/>
            </w:rPr>
            <w:t>19.5</w:t>
          </w:r>
          <w:r>
            <w:rPr>
              <w:b w:val="false"/>
              <w:sz w:val="23"/>
            </w:rPr>
            <w:tab/>
          </w:r>
          <w:r>
            <w:rPr>
              <w:sz w:val="23"/>
              <w:u w:val="double"/>
            </w:rPr>
            <w:t>Incorporation and Consolidation</w:t>
          </w:r>
          <w:r>
            <w:rPr>
              <w:sz w:val="23"/>
            </w:rPr>
            <w:tab/>
          </w:r>
          <w:r>
            <w:rPr>
              <w:sz w:val="23"/>
              <w:u w:val="double"/>
            </w:rPr>
            <w:t>68</w:t>
          </w:r>
        </w:p>
        <w:p>
          <w:pPr>
            <w:pStyle w:val="TOC1"/>
            <w:bidi w:val="0"/>
            <w:jc w:val="start"/>
            <w:rPr>
              <w:rFonts w:ascii="Times New Roman" w:hAnsi="Times New Roman"/>
              <w:sz w:val="23"/>
              <w:u w:val="double"/>
            </w:rPr>
          </w:pPr>
          <w:r>
            <w:rPr>
              <w:rFonts w:ascii="Times New Roman" w:hAnsi="Times New Roman"/>
              <w:sz w:val="23"/>
              <w:u w:val="double"/>
            </w:rPr>
            <w:t>ARTICLE 20:  CONFIDENTIAL INFORMATION</w:t>
          </w:r>
          <w:r>
            <w:rPr>
              <w:rFonts w:ascii="Times New Roman" w:hAnsi="Times New Roman"/>
              <w:sz w:val="23"/>
            </w:rPr>
            <w:tab/>
          </w:r>
          <w:r>
            <w:rPr>
              <w:rFonts w:ascii="Times New Roman" w:hAnsi="Times New Roman"/>
              <w:sz w:val="23"/>
              <w:u w:val="double"/>
            </w:rPr>
            <w:t>68</w:t>
          </w:r>
        </w:p>
        <w:p>
          <w:pPr>
            <w:pStyle w:val="TOC2"/>
            <w:tabs>
              <w:tab w:val="left" w:pos="960" w:leader="none"/>
              <w:tab w:val="right" w:pos="9360" w:leader="dot"/>
            </w:tabs>
            <w:bidi w:val="0"/>
            <w:jc w:val="start"/>
            <w:rPr>
              <w:rFonts w:ascii="Times New Roman" w:hAnsi="Times New Roman"/>
              <w:sz w:val="23"/>
              <w:u w:val="double"/>
            </w:rPr>
          </w:pPr>
          <w:r>
            <w:rPr>
              <w:sz w:val="23"/>
              <w:u w:val="double"/>
            </w:rPr>
            <w:t>20.1</w:t>
          </w:r>
          <w:r>
            <w:rPr>
              <w:b w:val="false"/>
              <w:sz w:val="23"/>
            </w:rPr>
            <w:tab/>
          </w:r>
          <w:r>
            <w:rPr>
              <w:sz w:val="23"/>
              <w:u w:val="double"/>
            </w:rPr>
            <w:t>Confidential Information</w:t>
          </w:r>
          <w:r>
            <w:rPr>
              <w:sz w:val="23"/>
            </w:rPr>
            <w:tab/>
          </w:r>
          <w:r>
            <w:rPr>
              <w:sz w:val="23"/>
              <w:u w:val="double"/>
            </w:rPr>
            <w:t>68</w:t>
          </w:r>
        </w:p>
        <w:p>
          <w:pPr>
            <w:pStyle w:val="TOC2"/>
            <w:tabs>
              <w:tab w:val="left" w:pos="960" w:leader="none"/>
              <w:tab w:val="right" w:pos="9360" w:leader="dot"/>
            </w:tabs>
            <w:bidi w:val="0"/>
            <w:jc w:val="start"/>
            <w:rPr>
              <w:rFonts w:ascii="Times New Roman" w:hAnsi="Times New Roman"/>
              <w:sz w:val="23"/>
              <w:u w:val="double"/>
            </w:rPr>
          </w:pPr>
          <w:r>
            <w:rPr>
              <w:sz w:val="23"/>
              <w:u w:val="double"/>
            </w:rPr>
            <w:t>20.2</w:t>
          </w:r>
          <w:r>
            <w:rPr>
              <w:b w:val="false"/>
              <w:sz w:val="23"/>
            </w:rPr>
            <w:tab/>
          </w:r>
          <w:r>
            <w:rPr>
              <w:sz w:val="23"/>
              <w:u w:val="double"/>
            </w:rPr>
            <w:t>Notice Preceding Compelled Disclosure</w:t>
          </w:r>
          <w:r>
            <w:rPr>
              <w:sz w:val="23"/>
            </w:rPr>
            <w:tab/>
          </w:r>
          <w:r>
            <w:rPr>
              <w:sz w:val="23"/>
              <w:u w:val="double"/>
            </w:rPr>
            <w:t>69</w:t>
          </w:r>
        </w:p>
        <w:p>
          <w:pPr>
            <w:pStyle w:val="TOC2"/>
            <w:tabs>
              <w:tab w:val="left" w:pos="960" w:leader="none"/>
              <w:tab w:val="right" w:pos="9360" w:leader="dot"/>
            </w:tabs>
            <w:bidi w:val="0"/>
            <w:jc w:val="start"/>
            <w:rPr>
              <w:rFonts w:ascii="Times New Roman" w:hAnsi="Times New Roman"/>
              <w:sz w:val="23"/>
              <w:u w:val="double"/>
            </w:rPr>
          </w:pPr>
          <w:r>
            <w:rPr>
              <w:sz w:val="23"/>
              <w:u w:val="double"/>
            </w:rPr>
            <w:t>20.3</w:t>
          </w:r>
          <w:r>
            <w:rPr>
              <w:b w:val="false"/>
              <w:sz w:val="23"/>
            </w:rPr>
            <w:tab/>
          </w:r>
          <w:r>
            <w:rPr>
              <w:sz w:val="23"/>
              <w:u w:val="double"/>
            </w:rPr>
            <w:t>Definition of Confidential Information</w:t>
          </w:r>
          <w:r>
            <w:rPr>
              <w:sz w:val="23"/>
            </w:rPr>
            <w:tab/>
          </w:r>
          <w:r>
            <w:rPr>
              <w:sz w:val="23"/>
              <w:u w:val="double"/>
            </w:rPr>
            <w:t>69</w:t>
          </w:r>
        </w:p>
        <w:p>
          <w:pPr>
            <w:pStyle w:val="TOC2"/>
            <w:tabs>
              <w:tab w:val="left" w:pos="960" w:leader="none"/>
              <w:tab w:val="right" w:pos="9360" w:leader="dot"/>
            </w:tabs>
            <w:bidi w:val="0"/>
            <w:jc w:val="start"/>
            <w:rPr>
              <w:rFonts w:ascii="Times New Roman" w:hAnsi="Times New Roman"/>
              <w:sz w:val="23"/>
              <w:u w:val="double"/>
            </w:rPr>
          </w:pPr>
          <w:r>
            <w:rPr>
              <w:sz w:val="23"/>
              <w:u w:val="double"/>
            </w:rPr>
            <w:t>20.4</w:t>
          </w:r>
          <w:r>
            <w:rPr>
              <w:b w:val="false"/>
              <w:sz w:val="23"/>
            </w:rPr>
            <w:tab/>
          </w:r>
          <w:r>
            <w:rPr>
              <w:sz w:val="23"/>
              <w:u w:val="double"/>
            </w:rPr>
            <w:t>Remedies</w:t>
          </w:r>
          <w:r>
            <w:rPr>
              <w:sz w:val="23"/>
            </w:rPr>
            <w:tab/>
          </w:r>
          <w:r>
            <w:rPr>
              <w:sz w:val="23"/>
              <w:u w:val="double"/>
            </w:rPr>
            <w:t>69</w:t>
          </w:r>
        </w:p>
        <w:p>
          <w:pPr>
            <w:pStyle w:val="TOC2"/>
            <w:tabs>
              <w:tab w:val="left" w:pos="960" w:leader="none"/>
              <w:tab w:val="right" w:pos="9360" w:leader="dot"/>
            </w:tabs>
            <w:bidi w:val="0"/>
            <w:jc w:val="start"/>
            <w:rPr>
              <w:rFonts w:ascii="Times New Roman" w:hAnsi="Times New Roman"/>
              <w:sz w:val="23"/>
              <w:u w:val="double"/>
            </w:rPr>
          </w:pPr>
          <w:r>
            <w:rPr>
              <w:sz w:val="23"/>
              <w:u w:val="double"/>
            </w:rPr>
            <w:t>20.5</w:t>
          </w:r>
          <w:r>
            <w:rPr>
              <w:b w:val="false"/>
              <w:sz w:val="23"/>
            </w:rPr>
            <w:tab/>
          </w:r>
          <w:r>
            <w:rPr>
              <w:sz w:val="23"/>
              <w:u w:val="double"/>
            </w:rPr>
            <w:t>Control of Software</w:t>
          </w:r>
          <w:r>
            <w:rPr>
              <w:sz w:val="23"/>
            </w:rPr>
            <w:tab/>
          </w:r>
          <w:r>
            <w:rPr>
              <w:sz w:val="23"/>
              <w:u w:val="double"/>
            </w:rPr>
            <w:t>69</w:t>
          </w:r>
        </w:p>
        <w:p>
          <w:pPr>
            <w:pStyle w:val="TOC2"/>
            <w:tabs>
              <w:tab w:val="left" w:pos="960" w:leader="none"/>
              <w:tab w:val="right" w:pos="9360" w:leader="dot"/>
            </w:tabs>
            <w:bidi w:val="0"/>
            <w:jc w:val="start"/>
            <w:rPr>
              <w:rFonts w:ascii="Times New Roman" w:hAnsi="Times New Roman"/>
              <w:sz w:val="23"/>
              <w:u w:val="double"/>
            </w:rPr>
          </w:pPr>
          <w:r>
            <w:rPr>
              <w:sz w:val="23"/>
              <w:u w:val="double"/>
            </w:rPr>
            <w:t>20.6</w:t>
          </w:r>
          <w:r>
            <w:rPr>
              <w:b w:val="false"/>
              <w:sz w:val="23"/>
            </w:rPr>
            <w:tab/>
          </w:r>
          <w:r>
            <w:rPr>
              <w:sz w:val="23"/>
              <w:u w:val="double"/>
            </w:rPr>
            <w:t>Intellectual Property Warranties</w:t>
          </w:r>
          <w:r>
            <w:rPr>
              <w:sz w:val="23"/>
            </w:rPr>
            <w:tab/>
          </w:r>
          <w:r>
            <w:rPr>
              <w:sz w:val="23"/>
              <w:u w:val="double"/>
            </w:rPr>
            <w:t>70</w:t>
          </w:r>
        </w:p>
        <w:p>
          <w:pPr>
            <w:pStyle w:val="TOC1"/>
            <w:bidi w:val="0"/>
            <w:jc w:val="start"/>
            <w:rPr>
              <w:rFonts w:ascii="Times New Roman" w:hAnsi="Times New Roman"/>
              <w:sz w:val="23"/>
              <w:u w:val="double"/>
            </w:rPr>
          </w:pPr>
          <w:r>
            <w:rPr>
              <w:rFonts w:ascii="Times New Roman" w:hAnsi="Times New Roman"/>
              <w:sz w:val="23"/>
              <w:u w:val="double"/>
            </w:rPr>
            <w:t>ARTICLE 21:  SECURITY</w:t>
          </w:r>
          <w:r>
            <w:rPr>
              <w:rFonts w:ascii="Times New Roman" w:hAnsi="Times New Roman"/>
              <w:sz w:val="23"/>
            </w:rPr>
            <w:tab/>
          </w:r>
          <w:r>
            <w:rPr>
              <w:rFonts w:ascii="Times New Roman" w:hAnsi="Times New Roman"/>
              <w:sz w:val="23"/>
              <w:u w:val="double"/>
            </w:rPr>
            <w:t>71</w:t>
          </w:r>
        </w:p>
        <w:p>
          <w:pPr>
            <w:pStyle w:val="TOC2"/>
            <w:tabs>
              <w:tab w:val="left" w:pos="960" w:leader="none"/>
              <w:tab w:val="right" w:pos="9360" w:leader="dot"/>
            </w:tabs>
            <w:bidi w:val="0"/>
            <w:jc w:val="start"/>
            <w:rPr>
              <w:rFonts w:ascii="Times New Roman" w:hAnsi="Times New Roman"/>
              <w:sz w:val="23"/>
              <w:u w:val="double"/>
            </w:rPr>
          </w:pPr>
          <w:r>
            <w:rPr>
              <w:sz w:val="23"/>
              <w:u w:val="double"/>
            </w:rPr>
            <w:t>21.1</w:t>
          </w:r>
          <w:r>
            <w:rPr>
              <w:b w:val="false"/>
              <w:sz w:val="23"/>
            </w:rPr>
            <w:tab/>
          </w:r>
          <w:r>
            <w:rPr>
              <w:sz w:val="23"/>
              <w:u w:val="double"/>
            </w:rPr>
            <w:t>Retention Bond</w:t>
          </w:r>
          <w:r>
            <w:rPr>
              <w:sz w:val="23"/>
            </w:rPr>
            <w:tab/>
          </w:r>
          <w:r>
            <w:rPr>
              <w:sz w:val="23"/>
              <w:u w:val="double"/>
            </w:rPr>
            <w:t>71</w:t>
          </w:r>
        </w:p>
        <w:p>
          <w:pPr>
            <w:pStyle w:val="TOC1"/>
            <w:bidi w:val="0"/>
            <w:jc w:val="start"/>
            <w:rPr>
              <w:rFonts w:ascii="Times New Roman" w:hAnsi="Times New Roman"/>
              <w:sz w:val="23"/>
              <w:u w:val="double"/>
            </w:rPr>
          </w:pPr>
          <w:r>
            <w:rPr>
              <w:rFonts w:ascii="Times New Roman" w:hAnsi="Times New Roman"/>
              <w:sz w:val="23"/>
              <w:u w:val="double"/>
            </w:rPr>
            <w:t>ARTICLE 22:  MISCELLANEOUS PROVISIONS</w:t>
          </w:r>
          <w:r>
            <w:rPr>
              <w:rFonts w:ascii="Times New Roman" w:hAnsi="Times New Roman"/>
              <w:sz w:val="23"/>
            </w:rPr>
            <w:tab/>
          </w:r>
          <w:r>
            <w:rPr>
              <w:rFonts w:ascii="Times New Roman" w:hAnsi="Times New Roman"/>
              <w:sz w:val="23"/>
              <w:u w:val="double"/>
            </w:rPr>
            <w:t>72</w:t>
          </w:r>
        </w:p>
        <w:p>
          <w:pPr>
            <w:pStyle w:val="TOC2"/>
            <w:tabs>
              <w:tab w:val="left" w:pos="960" w:leader="none"/>
              <w:tab w:val="right" w:pos="9360" w:leader="dot"/>
            </w:tabs>
            <w:bidi w:val="0"/>
            <w:jc w:val="start"/>
            <w:rPr>
              <w:rFonts w:ascii="Times New Roman" w:hAnsi="Times New Roman"/>
              <w:sz w:val="23"/>
              <w:u w:val="double"/>
            </w:rPr>
          </w:pPr>
          <w:r>
            <w:rPr>
              <w:sz w:val="23"/>
              <w:u w:val="double"/>
            </w:rPr>
            <w:t>22.1</w:t>
          </w:r>
          <w:r>
            <w:rPr>
              <w:b w:val="false"/>
              <w:sz w:val="23"/>
            </w:rPr>
            <w:tab/>
          </w:r>
          <w:r>
            <w:rPr>
              <w:sz w:val="23"/>
              <w:u w:val="double"/>
            </w:rPr>
            <w:t>Governing Law</w:t>
          </w:r>
          <w:r>
            <w:rPr>
              <w:sz w:val="23"/>
            </w:rPr>
            <w:tab/>
          </w:r>
          <w:r>
            <w:rPr>
              <w:sz w:val="23"/>
              <w:u w:val="double"/>
            </w:rPr>
            <w:t>72</w:t>
          </w:r>
        </w:p>
        <w:p>
          <w:pPr>
            <w:pStyle w:val="TOC2"/>
            <w:tabs>
              <w:tab w:val="left" w:pos="960" w:leader="none"/>
              <w:tab w:val="right" w:pos="9360" w:leader="dot"/>
            </w:tabs>
            <w:bidi w:val="0"/>
            <w:jc w:val="start"/>
            <w:rPr>
              <w:rFonts w:ascii="Times New Roman" w:hAnsi="Times New Roman"/>
              <w:sz w:val="23"/>
              <w:u w:val="double"/>
            </w:rPr>
          </w:pPr>
          <w:r>
            <w:rPr>
              <w:sz w:val="23"/>
              <w:u w:val="double"/>
            </w:rPr>
            <w:t>22.2</w:t>
          </w:r>
          <w:r>
            <w:rPr>
              <w:b w:val="false"/>
              <w:sz w:val="23"/>
            </w:rPr>
            <w:tab/>
          </w:r>
          <w:r>
            <w:rPr>
              <w:sz w:val="23"/>
              <w:u w:val="double"/>
            </w:rPr>
            <w:t>Notice</w:t>
          </w:r>
          <w:r>
            <w:rPr>
              <w:sz w:val="23"/>
            </w:rPr>
            <w:tab/>
          </w:r>
          <w:r>
            <w:rPr>
              <w:sz w:val="23"/>
              <w:u w:val="double"/>
            </w:rPr>
            <w:t>72</w:t>
          </w:r>
        </w:p>
        <w:p>
          <w:pPr>
            <w:pStyle w:val="TOC2"/>
            <w:tabs>
              <w:tab w:val="left" w:pos="960" w:leader="none"/>
              <w:tab w:val="right" w:pos="9360" w:leader="dot"/>
            </w:tabs>
            <w:bidi w:val="0"/>
            <w:jc w:val="start"/>
            <w:rPr>
              <w:rFonts w:ascii="Times New Roman" w:hAnsi="Times New Roman"/>
              <w:sz w:val="23"/>
              <w:u w:val="double"/>
            </w:rPr>
          </w:pPr>
          <w:r>
            <w:rPr>
              <w:sz w:val="23"/>
              <w:u w:val="double"/>
            </w:rPr>
            <w:t>22.3</w:t>
          </w:r>
          <w:r>
            <w:rPr>
              <w:b w:val="false"/>
              <w:sz w:val="23"/>
            </w:rPr>
            <w:tab/>
          </w:r>
          <w:r>
            <w:rPr>
              <w:sz w:val="23"/>
              <w:u w:val="double"/>
            </w:rPr>
            <w:t>Assignment</w:t>
          </w:r>
          <w:r>
            <w:rPr>
              <w:sz w:val="23"/>
            </w:rPr>
            <w:tab/>
          </w:r>
          <w:r>
            <w:rPr>
              <w:sz w:val="23"/>
              <w:u w:val="double"/>
            </w:rPr>
            <w:t>73</w:t>
          </w:r>
        </w:p>
        <w:p>
          <w:pPr>
            <w:pStyle w:val="TOC2"/>
            <w:tabs>
              <w:tab w:val="left" w:pos="960" w:leader="none"/>
              <w:tab w:val="right" w:pos="9360" w:leader="dot"/>
            </w:tabs>
            <w:bidi w:val="0"/>
            <w:jc w:val="start"/>
            <w:rPr>
              <w:rFonts w:ascii="Times New Roman" w:hAnsi="Times New Roman"/>
              <w:b w:val="false"/>
              <w:sz w:val="23"/>
            </w:rPr>
          </w:pPr>
          <w:r>
            <w:rPr>
              <w:sz w:val="23"/>
              <w:u w:val="double"/>
            </w:rPr>
            <w:t>22.4</w:t>
          </w:r>
          <w:r>
            <w:rPr>
              <w:b w:val="false"/>
              <w:sz w:val="23"/>
            </w:rPr>
            <w:tab/>
          </w:r>
          <w:r>
            <w:rPr>
              <w:sz w:val="23"/>
              <w:u w:val="double"/>
            </w:rPr>
            <w:t>Miscellaneous</w:t>
          </w:r>
          <w:r>
            <w:rPr>
              <w:sz w:val="23"/>
            </w:rPr>
            <w:tab/>
          </w:r>
          <w:r>
            <w:rPr>
              <w:sz w:val="23"/>
              <w:u w:val="double"/>
            </w:rPr>
            <w:t>73</w:t>
          </w:r>
          <w:r>
            <w:rPr>
              <w:sz w:val="23"/>
              <w:u w:val="double"/>
            </w:rPr>
            <w:fldChar w:fldCharType="end"/>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440" w:footer="720" w:bottom="1440"/>
              <w:pgNumType w:start="1" w:fmt="lowerRoman"/>
              <w:formProt w:val="false"/>
              <w:textDirection w:val="lrTb"/>
              <w:docGrid w:type="default" w:linePitch="100" w:charSpace="0"/>
            </w:sectPr>
          </w:pPr>
        </w:p>
      </w:sdtContent>
    </w:sdt>
    <w:p>
      <w:pPr>
        <w:pStyle w:val="Normal"/>
        <w:bidi w:val="0"/>
        <w:jc w:val="both"/>
        <w:rPr>
          <w:sz w:val="23"/>
        </w:rPr>
      </w:pPr>
      <w:r>
        <w:rPr>
          <w:sz w:val="23"/>
          <w:u w:val="single"/>
        </w:rPr>
        <w:t>EXHIBIT LIST</w:t>
      </w:r>
    </w:p>
    <w:p>
      <w:pPr>
        <w:pStyle w:val="Normal"/>
        <w:bidi w:val="0"/>
        <w:jc w:val="both"/>
        <w:rPr>
          <w:sz w:val="23"/>
        </w:rPr>
      </w:pPr>
      <w:r>
        <w:rPr>
          <w:sz w:val="23"/>
        </w:rPr>
      </w:r>
    </w:p>
    <w:p>
      <w:pPr>
        <w:pStyle w:val="Normal"/>
        <w:bidi w:val="0"/>
        <w:jc w:val="both"/>
        <w:rPr>
          <w:sz w:val="23"/>
        </w:rPr>
      </w:pPr>
      <w:r>
        <w:rPr>
          <w:sz w:val="23"/>
        </w:rPr>
        <w:t>Exhibit A-1</w:t>
        <w:tab/>
        <w:t>- Project Schedule Summary</w:t>
      </w:r>
    </w:p>
    <w:p>
      <w:pPr>
        <w:pStyle w:val="Normal"/>
        <w:bidi w:val="0"/>
        <w:jc w:val="both"/>
        <w:rPr>
          <w:sz w:val="23"/>
        </w:rPr>
      </w:pPr>
      <w:r>
        <w:rPr>
          <w:sz w:val="23"/>
        </w:rPr>
        <w:t>Exhibit A-2</w:t>
        <w:tab/>
        <w:t>- Project Controls</w:t>
      </w:r>
    </w:p>
    <w:p>
      <w:pPr>
        <w:pStyle w:val="Normal"/>
        <w:bidi w:val="0"/>
        <w:jc w:val="both"/>
        <w:rPr>
          <w:sz w:val="23"/>
        </w:rPr>
      </w:pPr>
      <w:r>
        <w:rPr>
          <w:sz w:val="23"/>
        </w:rPr>
        <w:t>Exhibit B-1</w:t>
        <w:tab/>
        <w:t>- Scope of Work and Specifications</w:t>
      </w:r>
    </w:p>
    <w:p>
      <w:pPr>
        <w:pStyle w:val="Normal"/>
        <w:bidi w:val="0"/>
        <w:jc w:val="both"/>
        <w:rPr>
          <w:sz w:val="23"/>
        </w:rPr>
      </w:pPr>
      <w:r>
        <w:rPr>
          <w:sz w:val="23"/>
        </w:rPr>
        <w:t>Exhibit B-2</w:t>
        <w:tab/>
        <w:t>- Not Used</w:t>
      </w:r>
    </w:p>
    <w:p>
      <w:pPr>
        <w:pStyle w:val="Normal"/>
        <w:bidi w:val="0"/>
        <w:jc w:val="both"/>
        <w:rPr>
          <w:sz w:val="23"/>
        </w:rPr>
      </w:pPr>
      <w:r>
        <w:rPr>
          <w:sz w:val="23"/>
        </w:rPr>
        <w:t>Exhibit B-3</w:t>
        <w:tab/>
        <w:t>- Not Used</w:t>
      </w:r>
    </w:p>
    <w:p>
      <w:pPr>
        <w:pStyle w:val="Normal"/>
        <w:bidi w:val="0"/>
        <w:jc w:val="both"/>
        <w:rPr>
          <w:sz w:val="23"/>
        </w:rPr>
      </w:pPr>
      <w:r>
        <w:rPr>
          <w:sz w:val="23"/>
        </w:rPr>
        <w:t>Exhibit B-4</w:t>
        <w:tab/>
        <w:t>- Not Used</w:t>
      </w:r>
    </w:p>
    <w:p>
      <w:pPr>
        <w:pStyle w:val="Normal"/>
        <w:bidi w:val="0"/>
        <w:jc w:val="both"/>
        <w:rPr>
          <w:sz w:val="23"/>
        </w:rPr>
      </w:pPr>
      <w:r>
        <w:rPr>
          <w:sz w:val="23"/>
        </w:rPr>
        <w:t>Exhibit C-1</w:t>
        <w:tab/>
        <w:t>- Contract Price</w:t>
      </w:r>
    </w:p>
    <w:p>
      <w:pPr>
        <w:pStyle w:val="Normal"/>
        <w:bidi w:val="0"/>
        <w:jc w:val="both"/>
        <w:rPr>
          <w:sz w:val="23"/>
        </w:rPr>
      </w:pPr>
      <w:r>
        <w:rPr>
          <w:sz w:val="23"/>
        </w:rPr>
        <w:t>Exhibit C-2</w:t>
        <w:tab/>
        <w:t xml:space="preserve">- Not </w:t>
      </w:r>
      <w:r>
        <w:rPr>
          <w:strike/>
          <w:sz w:val="23"/>
        </w:rPr>
        <w:t>&lt;-to-Exceed Payment Schedule&gt;</w:t>
      </w:r>
      <w:r>
        <w:rPr>
          <w:sz w:val="23"/>
        </w:rPr>
        <w:t xml:space="preserve"> </w:t>
      </w:r>
      <w:r>
        <w:rPr>
          <w:b/>
          <w:sz w:val="23"/>
          <w:u w:val="double"/>
        </w:rPr>
        <w:t>Used</w:t>
      </w:r>
    </w:p>
    <w:p>
      <w:pPr>
        <w:pStyle w:val="Normal"/>
        <w:bidi w:val="0"/>
        <w:jc w:val="both"/>
        <w:rPr>
          <w:sz w:val="23"/>
        </w:rPr>
      </w:pPr>
      <w:r>
        <w:rPr>
          <w:sz w:val="23"/>
        </w:rPr>
        <w:t>Exhibit C-3</w:t>
        <w:tab/>
        <w:t>- Not Used</w:t>
      </w:r>
    </w:p>
    <w:p>
      <w:pPr>
        <w:pStyle w:val="Normal"/>
        <w:bidi w:val="0"/>
        <w:jc w:val="both"/>
        <w:rPr>
          <w:sz w:val="23"/>
        </w:rPr>
      </w:pPr>
      <w:r>
        <w:rPr>
          <w:sz w:val="23"/>
        </w:rPr>
        <w:t>Exhibit C-4</w:t>
        <w:tab/>
        <w:t>- Liquidated Damages</w:t>
      </w:r>
    </w:p>
    <w:p>
      <w:pPr>
        <w:pStyle w:val="Normal"/>
        <w:bidi w:val="0"/>
        <w:jc w:val="both"/>
        <w:rPr>
          <w:sz w:val="23"/>
        </w:rPr>
      </w:pPr>
      <w:r>
        <w:rPr>
          <w:sz w:val="23"/>
        </w:rPr>
        <w:t>Exhibit C-5</w:t>
        <w:tab/>
        <w:t xml:space="preserve">- Form of Invoice </w:t>
      </w:r>
    </w:p>
    <w:p>
      <w:pPr>
        <w:pStyle w:val="Normal"/>
        <w:bidi w:val="0"/>
        <w:jc w:val="both"/>
        <w:rPr>
          <w:sz w:val="23"/>
        </w:rPr>
      </w:pPr>
      <w:r>
        <w:rPr>
          <w:sz w:val="23"/>
        </w:rPr>
        <w:t>Exhibit C-6</w:t>
        <w:tab/>
        <w:t>- Not Used</w:t>
      </w:r>
    </w:p>
    <w:p>
      <w:pPr>
        <w:pStyle w:val="Normal"/>
        <w:bidi w:val="0"/>
        <w:jc w:val="both"/>
        <w:rPr>
          <w:sz w:val="23"/>
        </w:rPr>
      </w:pPr>
      <w:r>
        <w:rPr>
          <w:sz w:val="23"/>
        </w:rPr>
        <w:t>Exhibit C-7</w:t>
        <w:tab/>
        <w:t>- Taxes and Fees</w:t>
      </w:r>
    </w:p>
    <w:p>
      <w:pPr>
        <w:pStyle w:val="Normal"/>
        <w:bidi w:val="0"/>
        <w:jc w:val="both"/>
        <w:rPr>
          <w:sz w:val="23"/>
        </w:rPr>
      </w:pPr>
      <w:r>
        <w:rPr>
          <w:sz w:val="23"/>
        </w:rPr>
        <w:t>Exhibit D-1</w:t>
        <w:tab/>
        <w:t>- Form of Lien Waiver - Final Payment</w:t>
      </w:r>
    </w:p>
    <w:p>
      <w:pPr>
        <w:pStyle w:val="Normal"/>
        <w:bidi w:val="0"/>
        <w:jc w:val="both"/>
        <w:rPr>
          <w:sz w:val="23"/>
        </w:rPr>
      </w:pPr>
      <w:r>
        <w:rPr>
          <w:sz w:val="23"/>
        </w:rPr>
        <w:t>Exhibit D-2</w:t>
        <w:tab/>
        <w:t>- Form of Lien Waiver - Progress Payment</w:t>
      </w:r>
    </w:p>
    <w:p>
      <w:pPr>
        <w:pStyle w:val="Normal"/>
        <w:bidi w:val="0"/>
        <w:jc w:val="both"/>
        <w:rPr>
          <w:sz w:val="23"/>
        </w:rPr>
      </w:pPr>
      <w:r>
        <w:rPr>
          <w:sz w:val="23"/>
        </w:rPr>
        <w:t>Exhibit E-1</w:t>
        <w:tab/>
        <w:t>- Guarantees</w:t>
      </w:r>
    </w:p>
    <w:p>
      <w:pPr>
        <w:pStyle w:val="Normal"/>
        <w:bidi w:val="0"/>
        <w:jc w:val="both"/>
        <w:rPr>
          <w:sz w:val="23"/>
        </w:rPr>
      </w:pPr>
      <w:r>
        <w:rPr>
          <w:sz w:val="23"/>
        </w:rPr>
        <w:t>Exhibit E-2</w:t>
        <w:tab/>
        <w:t xml:space="preserve">- Basis Conditions </w:t>
      </w:r>
    </w:p>
    <w:p>
      <w:pPr>
        <w:pStyle w:val="Normal"/>
        <w:bidi w:val="0"/>
        <w:jc w:val="both"/>
        <w:rPr>
          <w:sz w:val="23"/>
        </w:rPr>
      </w:pPr>
      <w:r>
        <w:rPr>
          <w:sz w:val="23"/>
        </w:rPr>
        <w:t>Exhibit E-3</w:t>
        <w:tab/>
        <w:t>- Testing Guidelines</w:t>
      </w:r>
    </w:p>
    <w:p>
      <w:pPr>
        <w:pStyle w:val="Normal"/>
        <w:bidi w:val="0"/>
        <w:jc w:val="both"/>
        <w:rPr>
          <w:sz w:val="23"/>
        </w:rPr>
      </w:pPr>
      <w:r>
        <w:rPr>
          <w:sz w:val="23"/>
        </w:rPr>
        <w:t>Exhibit F</w:t>
        <w:tab/>
        <w:t>- Change Order Pricing</w:t>
      </w:r>
    </w:p>
    <w:p>
      <w:pPr>
        <w:pStyle w:val="Normal"/>
        <w:bidi w:val="0"/>
        <w:jc w:val="both"/>
        <w:rPr>
          <w:sz w:val="23"/>
        </w:rPr>
      </w:pPr>
      <w:r>
        <w:rPr>
          <w:sz w:val="23"/>
        </w:rPr>
        <w:t>Exhibit G</w:t>
        <w:tab/>
        <w:t>- Not Used</w:t>
      </w:r>
    </w:p>
    <w:p>
      <w:pPr>
        <w:pStyle w:val="Normal"/>
        <w:bidi w:val="0"/>
        <w:jc w:val="both"/>
        <w:rPr>
          <w:sz w:val="23"/>
        </w:rPr>
      </w:pPr>
      <w:r>
        <w:rPr>
          <w:sz w:val="23"/>
        </w:rPr>
        <w:t>Exhibit H-1</w:t>
        <w:tab/>
        <w:t>- Contractor Insurance</w:t>
      </w:r>
    </w:p>
    <w:p>
      <w:pPr>
        <w:pStyle w:val="Normal"/>
        <w:bidi w:val="0"/>
        <w:jc w:val="both"/>
        <w:rPr>
          <w:sz w:val="23"/>
        </w:rPr>
      </w:pPr>
      <w:r>
        <w:rPr>
          <w:sz w:val="23"/>
        </w:rPr>
        <w:t>Exhibit H-2</w:t>
        <w:tab/>
        <w:t>- Owner Insurance</w:t>
      </w:r>
    </w:p>
    <w:p>
      <w:pPr>
        <w:pStyle w:val="Normal"/>
        <w:bidi w:val="0"/>
        <w:jc w:val="both"/>
        <w:rPr>
          <w:sz w:val="23"/>
        </w:rPr>
      </w:pPr>
      <w:r>
        <w:rPr>
          <w:sz w:val="23"/>
        </w:rPr>
        <w:t>Exhibit I</w:t>
        <w:tab/>
        <w:t>- Site Location Map</w:t>
      </w:r>
    </w:p>
    <w:p>
      <w:pPr>
        <w:pStyle w:val="Normal"/>
        <w:bidi w:val="0"/>
        <w:jc w:val="both"/>
        <w:rPr>
          <w:sz w:val="23"/>
        </w:rPr>
      </w:pPr>
      <w:r>
        <w:rPr>
          <w:sz w:val="23"/>
        </w:rPr>
        <w:t>Exhibit J-1</w:t>
        <w:tab/>
        <w:t>- Sample Substantial Completion Certificate</w:t>
      </w:r>
    </w:p>
    <w:p>
      <w:pPr>
        <w:pStyle w:val="Normal"/>
        <w:bidi w:val="0"/>
        <w:jc w:val="both"/>
        <w:rPr>
          <w:sz w:val="23"/>
        </w:rPr>
      </w:pPr>
      <w:r>
        <w:rPr>
          <w:sz w:val="23"/>
        </w:rPr>
        <w:t>Exhibit J-2</w:t>
        <w:tab/>
        <w:t>- Sample Final Completion Certificate</w:t>
      </w:r>
    </w:p>
    <w:p>
      <w:pPr>
        <w:pStyle w:val="Normal"/>
        <w:bidi w:val="0"/>
        <w:jc w:val="both"/>
        <w:rPr>
          <w:sz w:val="23"/>
        </w:rPr>
      </w:pPr>
      <w:r>
        <w:rPr>
          <w:sz w:val="23"/>
        </w:rPr>
        <w:t>Exhibit K</w:t>
        <w:tab/>
        <w:t>- Governmental Authorizations</w:t>
      </w:r>
    </w:p>
    <w:p>
      <w:pPr>
        <w:pStyle w:val="Normal"/>
        <w:bidi w:val="0"/>
        <w:jc w:val="both"/>
        <w:rPr>
          <w:sz w:val="23"/>
        </w:rPr>
      </w:pPr>
      <w:r>
        <w:rPr>
          <w:sz w:val="23"/>
        </w:rPr>
        <w:t>Exhibit L</w:t>
        <w:tab/>
        <w:t xml:space="preserve">- Key </w:t>
      </w:r>
      <w:r>
        <w:rPr>
          <w:strike/>
          <w:sz w:val="23"/>
        </w:rPr>
        <w:t>&lt;Subcontractors&gt;</w:t>
      </w:r>
      <w:r>
        <w:rPr>
          <w:sz w:val="23"/>
        </w:rPr>
        <w:t xml:space="preserve"> </w:t>
      </w:r>
      <w:r>
        <w:rPr>
          <w:b/>
          <w:sz w:val="23"/>
          <w:u w:val="double"/>
        </w:rPr>
        <w:t>Subcontracts</w:t>
      </w:r>
    </w:p>
    <w:p>
      <w:pPr>
        <w:pStyle w:val="Normal"/>
        <w:bidi w:val="0"/>
        <w:jc w:val="both"/>
        <w:rPr>
          <w:sz w:val="23"/>
        </w:rPr>
      </w:pPr>
      <w:r>
        <w:rPr>
          <w:sz w:val="23"/>
        </w:rPr>
        <w:t>Exhibit M</w:t>
        <w:tab/>
        <w:t xml:space="preserve">- Owner Scope of Supply </w:t>
      </w:r>
      <w:r>
        <w:rPr>
          <w:strike/>
          <w:sz w:val="23"/>
        </w:rPr>
        <w:t>&lt;Including&gt;</w:t>
      </w:r>
      <w:r>
        <w:rPr>
          <w:sz w:val="23"/>
        </w:rPr>
        <w:t xml:space="preserve"> </w:t>
      </w:r>
      <w:r>
        <w:rPr>
          <w:b/>
          <w:sz w:val="23"/>
          <w:u w:val="double"/>
        </w:rPr>
        <w:t>For</w:t>
      </w:r>
      <w:r>
        <w:rPr>
          <w:sz w:val="23"/>
        </w:rPr>
        <w:t xml:space="preserve"> Utilities and Interconnections</w:t>
      </w:r>
    </w:p>
    <w:p>
      <w:pPr>
        <w:pStyle w:val="Normal"/>
        <w:bidi w:val="0"/>
        <w:jc w:val="both"/>
        <w:rPr>
          <w:sz w:val="23"/>
        </w:rPr>
      </w:pPr>
      <w:r>
        <w:rPr>
          <w:sz w:val="23"/>
        </w:rPr>
        <w:t>Exhibit N</w:t>
        <w:tab/>
        <w:t xml:space="preserve">- </w:t>
      </w:r>
      <w:r>
        <w:rPr>
          <w:strike/>
          <w:sz w:val="23"/>
        </w:rPr>
        <w:t>&lt;Special Tools and Operating Spare Parts&gt;</w:t>
      </w:r>
      <w:r>
        <w:rPr>
          <w:sz w:val="23"/>
        </w:rPr>
        <w:t xml:space="preserve"> </w:t>
      </w:r>
      <w:r>
        <w:rPr>
          <w:b/>
          <w:sz w:val="23"/>
          <w:u w:val="double"/>
        </w:rPr>
        <w:t>Not Used</w:t>
      </w:r>
    </w:p>
    <w:p>
      <w:pPr>
        <w:pStyle w:val="Normal"/>
        <w:bidi w:val="0"/>
        <w:jc w:val="both"/>
        <w:rPr>
          <w:sz w:val="23"/>
        </w:rPr>
      </w:pPr>
      <w:r>
        <w:rPr>
          <w:sz w:val="23"/>
        </w:rPr>
        <w:t>Exhibit O</w:t>
        <w:tab/>
        <w:t>- Operation and Maintenance Training</w:t>
      </w:r>
    </w:p>
    <w:p>
      <w:pPr>
        <w:pStyle w:val="Normal"/>
        <w:bidi w:val="0"/>
        <w:jc w:val="both"/>
        <w:rPr>
          <w:sz w:val="23"/>
        </w:rPr>
      </w:pPr>
      <w:r>
        <w:rPr>
          <w:sz w:val="23"/>
        </w:rPr>
        <w:t>Exhibit P</w:t>
        <w:tab/>
        <w:t xml:space="preserve"> - Equipment Requiring Special Packaging</w:t>
      </w:r>
    </w:p>
    <w:p>
      <w:pPr>
        <w:pStyle w:val="Normal"/>
        <w:bidi w:val="0"/>
        <w:jc w:val="both"/>
        <w:rPr>
          <w:sz w:val="23"/>
        </w:rPr>
      </w:pPr>
      <w:r>
        <w:rPr>
          <w:sz w:val="23"/>
        </w:rPr>
        <w:t>Exhibit Q</w:t>
        <w:tab/>
        <w:t xml:space="preserve"> - Quality Control Requirements</w:t>
      </w:r>
    </w:p>
    <w:p>
      <w:pPr>
        <w:pStyle w:val="Normal"/>
        <w:bidi w:val="0"/>
        <w:jc w:val="both"/>
        <w:rPr>
          <w:sz w:val="23"/>
        </w:rPr>
      </w:pPr>
      <w:r>
        <w:rPr>
          <w:sz w:val="23"/>
        </w:rPr>
        <w:t>Exhibit R-1</w:t>
        <w:tab/>
        <w:t>- Contents Of Job Books</w:t>
      </w:r>
    </w:p>
    <w:p>
      <w:pPr>
        <w:pStyle w:val="Normal"/>
        <w:bidi w:val="0"/>
        <w:jc w:val="both"/>
        <w:rPr>
          <w:sz w:val="23"/>
        </w:rPr>
      </w:pPr>
      <w:r>
        <w:rPr>
          <w:sz w:val="23"/>
        </w:rPr>
        <w:t>Exhibit R-2</w:t>
        <w:tab/>
        <w:t>- Documents for Review</w:t>
      </w:r>
    </w:p>
    <w:p>
      <w:pPr>
        <w:pStyle w:val="Normal"/>
        <w:bidi w:val="0"/>
        <w:jc w:val="both"/>
        <w:rPr>
          <w:sz w:val="23"/>
        </w:rPr>
      </w:pPr>
      <w:r>
        <w:rPr>
          <w:sz w:val="23"/>
        </w:rPr>
        <w:t>Exhibit S</w:t>
        <w:tab/>
        <w:t>- List Of Key Personnel</w:t>
      </w:r>
    </w:p>
    <w:p>
      <w:pPr>
        <w:pStyle w:val="Normal"/>
        <w:bidi w:val="0"/>
        <w:jc w:val="both"/>
        <w:rPr>
          <w:b/>
          <w:sz w:val="23"/>
        </w:rPr>
      </w:pPr>
      <w:r>
        <w:rPr>
          <w:b/>
          <w:sz w:val="23"/>
          <w:u w:val="double"/>
        </w:rPr>
        <w:t>[</w:t>
      </w:r>
      <w:r>
        <w:rPr>
          <w:b/>
          <w:sz w:val="23"/>
        </w:rPr>
        <w:t xml:space="preserve">Exhibit T </w:t>
        <w:tab/>
        <w:t xml:space="preserve">- Parent Company Guarantee </w:t>
      </w:r>
      <w:r>
        <w:rPr>
          <w:b/>
          <w:sz w:val="23"/>
          <w:u w:val="double"/>
        </w:rPr>
        <w:t>]</w:t>
      </w:r>
    </w:p>
    <w:p>
      <w:pPr>
        <w:pStyle w:val="Normal"/>
        <w:bidi w:val="0"/>
        <w:jc w:val="both"/>
        <w:rPr>
          <w:b/>
          <w:sz w:val="23"/>
          <w:u w:val="double"/>
        </w:rPr>
      </w:pPr>
      <w:r>
        <w:rPr>
          <w:sz w:val="23"/>
        </w:rPr>
        <w:t>Exhibit U</w:t>
        <w:tab/>
        <w:t xml:space="preserve"> </w:t>
      </w:r>
      <w:r>
        <w:rPr>
          <w:strike/>
          <w:sz w:val="23"/>
        </w:rPr>
        <w:t>&lt;- Assignment and Assumption Agreement (for GE Contract)&gt;</w:t>
      </w:r>
      <w:r>
        <w:rPr>
          <w:sz w:val="23"/>
        </w:rPr>
        <w:t xml:space="preserve"> </w:t>
      </w:r>
      <w:r>
        <w:rPr>
          <w:b/>
          <w:sz w:val="23"/>
          <w:u w:val="double"/>
        </w:rPr>
        <w:t xml:space="preserve">List of Equipment Vendors, Equipment Vendor Contracts, Owner Supplied </w:t>
      </w:r>
    </w:p>
    <w:p>
      <w:pPr>
        <w:pStyle w:val="Normal"/>
        <w:bidi w:val="0"/>
        <w:ind w:firstLine="720" w:start="720"/>
        <w:jc w:val="both"/>
        <w:rPr>
          <w:sz w:val="23"/>
        </w:rPr>
      </w:pPr>
      <w:r>
        <w:rPr>
          <w:sz w:val="23"/>
        </w:rPr>
        <w:t xml:space="preserve"> </w:t>
      </w:r>
      <w:r>
        <w:rPr>
          <w:b/>
          <w:sz w:val="23"/>
          <w:u w:val="double"/>
        </w:rPr>
        <w:t>Equipment, and any Access Restrictions to Owner Supplied Equipment</w:t>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720" w:top="1440" w:footer="720" w:bottom="1440"/>
          <w:pgNumType w:start="1" w:fmt="lowerRoman"/>
          <w:formProt w:val="false"/>
          <w:textDirection w:val="lrTb"/>
          <w:docGrid w:type="default" w:linePitch="100" w:charSpace="0"/>
        </w:sectPr>
        <w:pStyle w:val="Normal"/>
        <w:bidi w:val="0"/>
        <w:ind w:firstLine="720" w:start="720"/>
        <w:jc w:val="both"/>
        <w:rPr>
          <w:sz w:val="23"/>
        </w:rPr>
      </w:pPr>
      <w:r>
        <w:rPr>
          <w:sz w:val="23"/>
        </w:rPr>
      </w:r>
    </w:p>
    <w:p>
      <w:pPr>
        <w:pStyle w:val="Normal"/>
        <w:bidi w:val="0"/>
        <w:jc w:val="center"/>
        <w:rPr>
          <w:b/>
          <w:sz w:val="23"/>
        </w:rPr>
      </w:pPr>
      <w:r>
        <w:rPr>
          <w:b/>
          <w:sz w:val="23"/>
        </w:rPr>
        <w:t>ENGINEERING, PROCUREMENT AND CONSTRUCTION CONTRACT</w:t>
      </w:r>
    </w:p>
    <w:p>
      <w:pPr>
        <w:pStyle w:val="Normal"/>
        <w:bidi w:val="0"/>
        <w:jc w:val="center"/>
        <w:rPr>
          <w:sz w:val="23"/>
        </w:rPr>
      </w:pPr>
      <w:r>
        <w:rPr>
          <w:sz w:val="23"/>
        </w:rPr>
      </w:r>
    </w:p>
    <w:p>
      <w:pPr>
        <w:pStyle w:val="BodyText"/>
        <w:bidi w:val="0"/>
        <w:rPr>
          <w:rFonts w:ascii="Times New Roman" w:hAnsi="Times New Roman"/>
        </w:rPr>
      </w:pPr>
      <w:r>
        <w:rPr/>
        <w:t xml:space="preserve">THIS ENGINEERING, PROCUREMENT AND CONSTRUCTION CONTRACT (this “Agreement”), dated as of </w:t>
      </w:r>
      <w:r>
        <w:rPr>
          <w:b/>
        </w:rPr>
        <w:t>[____, 200_]</w:t>
      </w:r>
      <w:r>
        <w:rPr/>
        <w:t xml:space="preserve"> (the “Effective Date”), is entered into between </w:t>
      </w:r>
      <w:r>
        <w:rPr>
          <w:strike/>
        </w:rPr>
        <w:t>&lt;Pastoria Energy Facility, LLC&gt;</w:t>
      </w:r>
      <w:r>
        <w:rPr/>
        <w:t xml:space="preserve"> </w:t>
      </w:r>
      <w:r>
        <w:rPr>
          <w:b/>
          <w:u w:val="double"/>
        </w:rPr>
        <w:t>ENRON NORTH AMERICA CORP., a Delaware corporation (“Construction Manager”), on behalf of ___________________________, LLC [“Project Entity”]</w:t>
      </w:r>
      <w:r>
        <w:rPr/>
        <w:t xml:space="preserve">, a Delaware limited liability company (“Owner”) </w:t>
      </w:r>
      <w:r>
        <w:rPr>
          <w:strike/>
        </w:rPr>
        <w:t>&lt;and Enron Consolidated Construction Company, a Delaware corporation&gt;</w:t>
      </w:r>
      <w:r>
        <w:rPr>
          <w:b/>
          <w:u w:val="double"/>
        </w:rPr>
        <w:t>, and __________________, a _________________</w:t>
      </w:r>
      <w:r>
        <w:rPr/>
        <w:t xml:space="preserve"> (“Contractor”).</w:t>
      </w:r>
    </w:p>
    <w:p>
      <w:pPr>
        <w:pStyle w:val="BodyText"/>
        <w:bidi w:val="0"/>
        <w:rPr>
          <w:rFonts w:ascii="Times New Roman" w:hAnsi="Times New Roman"/>
        </w:rPr>
      </w:pPr>
      <w:r>
        <w:rPr/>
      </w:r>
    </w:p>
    <w:p>
      <w:pPr>
        <w:pStyle w:val="BodyText"/>
        <w:bidi w:val="0"/>
        <w:rPr>
          <w:rFonts w:ascii="Times New Roman" w:hAnsi="Times New Roman"/>
        </w:rPr>
      </w:pPr>
      <w:r>
        <w:rPr/>
        <w:t>RECITALS</w:t>
      </w:r>
    </w:p>
    <w:p>
      <w:pPr>
        <w:pStyle w:val="BodyText"/>
        <w:bidi w:val="0"/>
        <w:rPr>
          <w:rFonts w:ascii="Times New Roman" w:hAnsi="Times New Roman"/>
        </w:rPr>
      </w:pPr>
      <w:r>
        <w:rPr/>
      </w:r>
    </w:p>
    <w:p>
      <w:pPr>
        <w:pStyle w:val="BodyText"/>
        <w:bidi w:val="0"/>
        <w:rPr>
          <w:rFonts w:ascii="Times New Roman" w:hAnsi="Times New Roman"/>
        </w:rPr>
      </w:pPr>
      <w:r>
        <w:rPr/>
        <w:t>A.</w:t>
        <w:tab/>
        <w:t xml:space="preserve">Owner desires to develop a </w:t>
      </w:r>
      <w:r>
        <w:rPr>
          <w:b/>
          <w:u w:val="double"/>
        </w:rPr>
        <w:t>[insert description</w:t>
      </w:r>
      <w:r>
        <w:rPr>
          <w:b/>
        </w:rPr>
        <w:t xml:space="preserve"> – natural gas fueled</w:t>
      </w:r>
      <w:r>
        <w:rPr>
          <w:b/>
          <w:u w:val="double"/>
        </w:rPr>
        <w:t>,</w:t>
      </w:r>
      <w:r>
        <w:rPr>
          <w:b/>
        </w:rPr>
        <w:t xml:space="preserve"> combined cycle</w:t>
      </w:r>
      <w:r>
        <w:rPr>
          <w:b/>
          <w:u w:val="double"/>
        </w:rPr>
        <w:t>, etc.]</w:t>
      </w:r>
      <w:r>
        <w:rPr/>
        <w:t xml:space="preserve"> power plant to be located at </w:t>
      </w:r>
      <w:r>
        <w:rPr>
          <w:strike/>
        </w:rPr>
        <w:t>&lt;or near the Tejon Ranch property located in eastern Kern County, California.&gt;</w:t>
      </w:r>
      <w:r>
        <w:rPr>
          <w:b/>
          <w:u w:val="double"/>
        </w:rPr>
        <w:t>______________, ______________.</w:t>
      </w:r>
    </w:p>
    <w:p>
      <w:pPr>
        <w:pStyle w:val="BodyText"/>
        <w:bidi w:val="0"/>
        <w:rPr>
          <w:rFonts w:ascii="Times New Roman" w:hAnsi="Times New Roman"/>
        </w:rPr>
      </w:pPr>
      <w:r>
        <w:rPr/>
      </w:r>
    </w:p>
    <w:p>
      <w:pPr>
        <w:pStyle w:val="BodyText"/>
        <w:bidi w:val="0"/>
        <w:rPr>
          <w:rFonts w:ascii="Times New Roman" w:hAnsi="Times New Roman"/>
        </w:rPr>
      </w:pPr>
      <w:r>
        <w:rPr/>
        <w:t>B.</w:t>
        <w:tab/>
        <w:t xml:space="preserve">Contractor has significant expertise in the design, engineering, procurement, construction, start-up, commissioning, and testing of </w:t>
      </w:r>
      <w:r>
        <w:rPr>
          <w:b/>
          <w:strike/>
        </w:rPr>
        <w:t>&lt;combined cycle&gt;</w:t>
      </w:r>
      <w:r>
        <w:rPr>
          <w:b/>
          <w:u w:val="double"/>
        </w:rPr>
        <w:t>[insert description]</w:t>
      </w:r>
      <w:r>
        <w:rPr/>
        <w:t xml:space="preserve"> facilities.</w:t>
      </w:r>
    </w:p>
    <w:p>
      <w:pPr>
        <w:pStyle w:val="BodyText"/>
        <w:bidi w:val="0"/>
        <w:rPr>
          <w:rFonts w:ascii="Times New Roman" w:hAnsi="Times New Roman"/>
        </w:rPr>
      </w:pPr>
      <w:r>
        <w:rPr/>
      </w:r>
    </w:p>
    <w:p>
      <w:pPr>
        <w:pStyle w:val="BodyText"/>
        <w:bidi w:val="0"/>
        <w:rPr>
          <w:rFonts w:ascii="Times New Roman" w:hAnsi="Times New Roman"/>
          <w:b/>
          <w:strike/>
        </w:rPr>
      </w:pPr>
      <w:r>
        <w:rPr>
          <w:b/>
          <w:strike/>
        </w:rPr>
        <w:t>&lt;C. Contractor, itself or through subcontractors, desires to provide design, engineering, procurement and construction services to build, start-up, test, and commission the Facility (defined below) at the Site (defined below) all on a stipulated, fixed-price basis.</w:t>
      </w:r>
    </w:p>
    <w:p>
      <w:pPr>
        <w:pStyle w:val="BodyText"/>
        <w:bidi w:val="0"/>
        <w:rPr>
          <w:rFonts w:ascii="Times New Roman" w:hAnsi="Times New Roman"/>
          <w:b/>
          <w:strike/>
        </w:rPr>
      </w:pPr>
      <w:r>
        <w:rPr>
          <w:b/>
          <w:strike/>
        </w:rPr>
      </w:r>
    </w:p>
    <w:p>
      <w:pPr>
        <w:pStyle w:val="BodyText"/>
        <w:bidi w:val="0"/>
        <w:rPr>
          <w:rFonts w:ascii="Times New Roman" w:hAnsi="Times New Roman"/>
        </w:rPr>
      </w:pPr>
      <w:r>
        <w:rPr>
          <w:b/>
          <w:strike/>
        </w:rPr>
        <w:t>D. Contractor is willing to guarantee the timely completion of the Work (defined below) and the performance of the Facility.&gt;</w:t>
      </w:r>
      <w:r>
        <w:rPr>
          <w:b/>
          <w:u w:val="double"/>
        </w:rPr>
        <w:t>[Consider other appropriate recitals.]</w:t>
      </w:r>
    </w:p>
    <w:p>
      <w:pPr>
        <w:pStyle w:val="BodyText"/>
        <w:bidi w:val="0"/>
        <w:rPr>
          <w:rFonts w:ascii="Times New Roman" w:hAnsi="Times New Roman"/>
        </w:rPr>
      </w:pPr>
      <w:r>
        <w:rPr/>
      </w:r>
    </w:p>
    <w:p>
      <w:pPr>
        <w:pStyle w:val="BodyText"/>
        <w:bidi w:val="0"/>
        <w:rPr>
          <w:rFonts w:ascii="Times New Roman" w:hAnsi="Times New Roman"/>
        </w:rPr>
      </w:pPr>
      <w:r>
        <w:rPr/>
        <w:t>NOW THEREFORE, Owner and Contractor agree as follows:</w:t>
      </w:r>
    </w:p>
    <w:p>
      <w:pPr>
        <w:pStyle w:val="BodyText"/>
        <w:bidi w:val="0"/>
        <w:rPr>
          <w:rFonts w:ascii="Times New Roman" w:hAnsi="Times New Roman"/>
        </w:rPr>
      </w:pPr>
      <w:r>
        <w:rPr/>
      </w:r>
    </w:p>
    <w:p>
      <w:pPr>
        <w:pStyle w:val="BodyText"/>
        <w:bidi w:val="0"/>
        <w:rPr>
          <w:rFonts w:ascii="Times New Roman" w:hAnsi="Times New Roman"/>
        </w:rPr>
      </w:pPr>
      <w:r>
        <w:rPr/>
      </w:r>
    </w:p>
    <w:p>
      <w:pPr>
        <w:pStyle w:val="Style1toc"/>
        <w:bidi w:val="0"/>
        <w:rPr>
          <w:rFonts w:ascii="Times New Roman" w:hAnsi="Times New Roman"/>
        </w:rPr>
      </w:pPr>
      <w:r>
        <w:rPr/>
        <w:t>ARTICLE 1</w:t>
      </w:r>
      <w:r>
        <w:fldChar w:fldCharType="begin"/>
      </w:r>
      <w:r>
        <w:rPr>
          <w:vanish/>
        </w:rPr>
        <w:instrText xml:space="preserve"> TC "ARTICLE 1  DEFINITIONS671" \l 1 </w:instrText>
      </w:r>
      <w:r>
        <w:rPr>
          <w:vanish/>
        </w:rPr>
        <w:fldChar w:fldCharType="separate"/>
      </w:r>
      <w:bookmarkStart w:id="0" w:name="_Toc493577434"/>
      <w:bookmarkStart w:id="1" w:name="_Toc497198885"/>
      <w:bookmarkStart w:id="2" w:name="_Toc496784840"/>
      <w:bookmarkStart w:id="3" w:name="_Toc496784563"/>
      <w:bookmarkEnd w:id="0"/>
      <w:bookmarkEnd w:id="1"/>
      <w:bookmarkEnd w:id="2"/>
      <w:bookmarkEnd w:id="3"/>
      <w:r>
        <w:rPr>
          <w:vanish/>
        </w:rPr>
      </w:r>
      <w:r>
        <w:rPr>
          <w:vanish/>
        </w:rPr>
        <w:fldChar w:fldCharType="end"/>
      </w:r>
      <w:r>
        <w:rPr>
          <w:strike/>
        </w:rPr>
        <w:t>&lt;&lt;*&gt;&gt;</w:t>
      </w:r>
    </w:p>
    <w:p>
      <w:pPr>
        <w:pStyle w:val="Style1toc"/>
        <w:bidi w:val="0"/>
        <w:rPr>
          <w:rFonts w:ascii="Times New Roman" w:hAnsi="Times New Roman"/>
        </w:rPr>
      </w:pPr>
      <w:r>
        <w:rPr/>
        <w:t>DEFINITIONS</w:t>
      </w:r>
    </w:p>
    <w:p>
      <w:pPr>
        <w:pStyle w:val="BodyText"/>
        <w:bidi w:val="0"/>
        <w:rPr>
          <w:rFonts w:ascii="Times New Roman" w:hAnsi="Times New Roman"/>
        </w:rPr>
      </w:pPr>
      <w:r>
        <w:rPr/>
      </w:r>
    </w:p>
    <w:p>
      <w:pPr>
        <w:pStyle w:val="BodyText"/>
        <w:bidi w:val="0"/>
        <w:rPr>
          <w:rFonts w:ascii="Times New Roman" w:hAnsi="Times New Roman"/>
        </w:rPr>
      </w:pPr>
      <w:r>
        <w:rPr/>
        <w:t>Capitalized terms used without other definition shall have the meanings specified in this Article 1, unless the context requires otherwise.</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AAA</w:t>
      </w:r>
      <w:r>
        <w:rPr/>
        <w:t>” shall have the meaning set forth in Section 19.1.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Affiliate</w:t>
      </w:r>
      <w:r>
        <w:rPr/>
        <w:t>” shall mean, with respect to any Person, any other Person that (a) owns or controls, directly or indirectly, the first Person, (b) is owned or controlled by the first Person, or (c) is under common ownership or control with the first Person, where “</w:t>
      </w:r>
      <w:r>
        <w:rPr>
          <w:i/>
        </w:rPr>
        <w:t>own</w:t>
      </w:r>
      <w:r>
        <w:rPr/>
        <w:t>”</w:t>
      </w:r>
      <w:r>
        <w:rPr>
          <w:i/>
        </w:rPr>
        <w:t xml:space="preserve"> </w:t>
      </w:r>
      <w:r>
        <w:rPr/>
        <w:t>means ownership of fifty percent (50%) or more of the equity interests or rights to distributions on account of equity of the Person and “</w:t>
      </w:r>
      <w:r>
        <w:rPr>
          <w:i/>
        </w:rPr>
        <w:t>control</w:t>
      </w:r>
      <w:r>
        <w:rPr/>
        <w:t>”</w:t>
      </w:r>
      <w:r>
        <w:rPr>
          <w:i/>
        </w:rPr>
        <w:t xml:space="preserve"> </w:t>
      </w:r>
      <w:r>
        <w:rPr/>
        <w:t>means the power to direct the management or policies of the Person, whether through the ownership of voting securities, by contract, or otherwise.</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Agreement</w:t>
      </w:r>
      <w:r>
        <w:rPr/>
        <w:t>” shall mean this Engineering, Procurement and Construction Contract as amended, modified or supplemented from time to time.</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Alternate”</w:t>
      </w:r>
      <w:r>
        <w:rPr/>
        <w:t xml:space="preserve"> shall have the meaning set forth in Section 19.2.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Arbitrator”</w:t>
      </w:r>
      <w:r>
        <w:rPr/>
        <w:t xml:space="preserve"> shall have the meaning set forth in Section 19.2.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Balance of the Contract Price</w:t>
      </w:r>
      <w:r>
        <w:rPr/>
        <w:t>” shall have the meaning set forth in Section 16.1.5.</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Basis Conditions</w:t>
      </w:r>
      <w:r>
        <w:rPr/>
        <w:t xml:space="preserve">” shall have the meaning set forth in </w:t>
      </w:r>
      <w:r>
        <w:rPr>
          <w:u w:val="single"/>
        </w:rPr>
        <w:t>Exhibit E-2</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Business Day</w:t>
      </w:r>
      <w:r>
        <w:rPr/>
        <w:t xml:space="preserve">” shall mean any day other than a Saturday, a Sunday, or a day on which banks in Texas, New York or </w:t>
      </w:r>
      <w:r>
        <w:rPr>
          <w:strike/>
        </w:rPr>
        <w:t>&lt;California&gt;</w:t>
      </w:r>
      <w:r>
        <w:rPr>
          <w:b/>
          <w:u w:val="double"/>
        </w:rPr>
        <w:t>_______</w:t>
      </w:r>
      <w:r>
        <w:rPr/>
        <w:t xml:space="preserve"> are authorized or required by law to be closed.</w:t>
      </w:r>
    </w:p>
    <w:p>
      <w:pPr>
        <w:pStyle w:val="Style2toc"/>
        <w:bidi w:val="0"/>
        <w:rPr>
          <w:rFonts w:ascii="Times New Roman" w:hAnsi="Times New Roman"/>
        </w:rPr>
      </w:pPr>
      <w:r>
        <w:rPr/>
      </w:r>
    </w:p>
    <w:p>
      <w:pPr>
        <w:pStyle w:val="BodyText"/>
        <w:bidi w:val="0"/>
        <w:rPr>
          <w:rFonts w:ascii="Times New Roman" w:hAnsi="Times New Roman"/>
        </w:rPr>
      </w:pPr>
      <w:r>
        <w:rPr/>
        <w:tab/>
      </w:r>
      <w:r>
        <w:rPr>
          <w:strike/>
        </w:rPr>
        <w:t>&lt;“CEC”&gt;</w:t>
      </w:r>
      <w:r>
        <w:rPr>
          <w:b/>
          <w:u w:val="double"/>
        </w:rPr>
        <w:t>“CDM Agreement”</w:t>
      </w:r>
      <w:r>
        <w:rPr/>
        <w:t xml:space="preserve"> shall mean the </w:t>
      </w:r>
      <w:r>
        <w:rPr>
          <w:strike/>
        </w:rPr>
        <w:t>&lt;California Energy Commission.&gt;</w:t>
      </w:r>
      <w:r>
        <w:rPr/>
        <w:t xml:space="preserve"> </w:t>
      </w:r>
      <w:r>
        <w:rPr>
          <w:b/>
          <w:u w:val="double"/>
        </w:rPr>
        <w:t>Construction and Development Management Agreement dated ______________, 2000, between Owner and Construction Manager.</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Change</w:t>
      </w:r>
      <w:r>
        <w:rPr/>
        <w:t xml:space="preserve">” shall mean a change in the Scope of Work, Specifications, Performance Guarantees, </w:t>
      </w:r>
      <w:r>
        <w:rPr>
          <w:strike/>
        </w:rPr>
        <w:t>&lt;Minimum&gt;</w:t>
      </w:r>
      <w:r>
        <w:rPr/>
        <w:t xml:space="preserve"> </w:t>
      </w:r>
      <w:r>
        <w:rPr>
          <w:b/>
          <w:u w:val="double"/>
        </w:rPr>
        <w:t>Specific</w:t>
      </w:r>
      <w:r>
        <w:rPr/>
        <w:t xml:space="preserve"> Performance Guarantees, Contract Price, Guaranteed Completion Date, or Project Schedule, as applicable.</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Change In Law</w:t>
      </w:r>
      <w:r>
        <w:rPr/>
        <w:t>” shall mean any of the following events occurring after the Effective Date as a result of, or in connection with, any action or inaction by any Government Authority (including any of the same relating to taxes) (a) a change in, modification or repeal of an existing Law, (b) an enactment, adoption, promulgation or making of a new Law, (c) a cancellation or non-renewal or other change in the conditions applicable to any Law, or Governmental Authorization, or (d) a change in the manner in which a Law is applied or in the application or interpretation thereof</w:t>
      </w:r>
      <w:r>
        <w:rPr>
          <w:strike/>
        </w:rPr>
        <w:t>&lt;; provided that, solely as to the Power Island Equipment, a Change in Law shall also include any Law becoming effective subsequent to December 15, 1999 and not adopted prior to December 15, 1999&gt;</w:t>
      </w:r>
      <w:r>
        <w:rPr/>
        <w:t>.</w:t>
      </w:r>
    </w:p>
    <w:p>
      <w:pPr>
        <w:pStyle w:val="Normal"/>
        <w:bidi w:val="0"/>
        <w:jc w:val="start"/>
        <w:rPr>
          <w:sz w:val="23"/>
        </w:rPr>
      </w:pPr>
      <w:r>
        <w:rPr>
          <w:sz w:val="23"/>
        </w:rPr>
      </w:r>
    </w:p>
    <w:p>
      <w:pPr>
        <w:pStyle w:val="BodyText"/>
        <w:bidi w:val="0"/>
        <w:rPr>
          <w:rFonts w:ascii="Times New Roman" w:hAnsi="Times New Roman"/>
        </w:rPr>
      </w:pPr>
      <w:r>
        <w:rPr/>
        <w:tab/>
        <w:t>“</w:t>
      </w:r>
      <w:r>
        <w:rPr>
          <w:u w:val="single"/>
        </w:rPr>
        <w:t>Change Order</w:t>
      </w:r>
      <w:r>
        <w:rPr/>
        <w:t>” shall mean a written order pursuant to Article 6, signed by Owner and Contractor authorizing a Change.</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Confidential Information”</w:t>
      </w:r>
      <w:r>
        <w:rPr/>
        <w:t xml:space="preserve"> shall have the meaning set forth in Section 20.3.</w:t>
      </w:r>
    </w:p>
    <w:p>
      <w:pPr>
        <w:pStyle w:val="BodyText"/>
        <w:bidi w:val="0"/>
        <w:rPr>
          <w:rFonts w:ascii="Times New Roman" w:hAnsi="Times New Roman"/>
        </w:rPr>
      </w:pPr>
      <w:r>
        <w:rPr/>
      </w:r>
    </w:p>
    <w:p>
      <w:pPr>
        <w:pStyle w:val="BodyText"/>
        <w:bidi w:val="0"/>
        <w:rPr>
          <w:rFonts w:ascii="Times New Roman" w:hAnsi="Times New Roman"/>
          <w:b/>
          <w:u w:val="double"/>
        </w:rPr>
      </w:pPr>
      <w:r>
        <w:rPr/>
        <w:tab/>
      </w:r>
      <w:r>
        <w:rPr>
          <w:strike/>
        </w:rPr>
        <w:t>&lt;“Contract Price”&gt;</w:t>
      </w:r>
      <w:r>
        <w:rPr>
          <w:b/>
          <w:u w:val="double"/>
        </w:rPr>
        <w:t>“Construction Manager”</w:t>
      </w:r>
      <w:r>
        <w:rPr/>
        <w:t xml:space="preserve"> shall have the meaning set forth in </w:t>
      </w:r>
      <w:r>
        <w:rPr>
          <w:strike/>
        </w:rPr>
        <w:t>&lt;Exhibit C-1.&gt;</w:t>
      </w:r>
      <w:r>
        <w:rPr/>
        <w:t xml:space="preserve"> </w:t>
      </w:r>
      <w:r>
        <w:rPr>
          <w:b/>
          <w:u w:val="double"/>
        </w:rPr>
        <w:t>the preamble to this Agreement.</w:t>
      </w:r>
    </w:p>
    <w:p>
      <w:pPr>
        <w:pStyle w:val="BodyText"/>
        <w:bidi w:val="0"/>
        <w:rPr>
          <w:rFonts w:ascii="Times New Roman" w:hAnsi="Times New Roman"/>
          <w:b/>
          <w:u w:val="double"/>
        </w:rPr>
      </w:pPr>
      <w:r>
        <w:rPr>
          <w:b/>
          <w:u w:val="double"/>
        </w:rPr>
      </w:r>
    </w:p>
    <w:p>
      <w:pPr>
        <w:pStyle w:val="BodyText"/>
        <w:bidi w:val="0"/>
        <w:rPr>
          <w:rFonts w:ascii="Times New Roman" w:hAnsi="Times New Roman"/>
          <w:b/>
          <w:u w:val="double"/>
        </w:rPr>
      </w:pPr>
      <w:r>
        <w:rPr/>
        <w:tab/>
      </w:r>
      <w:r>
        <w:rPr>
          <w:b/>
          <w:u w:val="double"/>
        </w:rPr>
        <w:t>“Construction Manager’s Representative” shall have the meaning set forth in Section 4.6.</w:t>
      </w:r>
    </w:p>
    <w:p>
      <w:pPr>
        <w:pStyle w:val="BodyText"/>
        <w:bidi w:val="0"/>
        <w:rPr>
          <w:rFonts w:ascii="Times New Roman" w:hAnsi="Times New Roman"/>
          <w:b/>
          <w:u w:val="double"/>
        </w:rPr>
      </w:pPr>
      <w:r>
        <w:rPr>
          <w:b/>
          <w:u w:val="double"/>
        </w:rPr>
      </w:r>
    </w:p>
    <w:p>
      <w:pPr>
        <w:pStyle w:val="BodyText"/>
        <w:bidi w:val="0"/>
        <w:rPr>
          <w:rFonts w:ascii="Times New Roman" w:hAnsi="Times New Roman"/>
        </w:rPr>
      </w:pPr>
      <w:r>
        <w:rPr/>
        <w:tab/>
      </w:r>
      <w:r>
        <w:rPr>
          <w:b/>
          <w:u w:val="double"/>
        </w:rPr>
        <w:t>“Contract Price”</w:t>
      </w:r>
      <w:r>
        <w:rPr/>
        <w:t xml:space="preserve"> </w:t>
      </w:r>
      <w:r>
        <w:rPr>
          <w:b/>
          <w:u w:val="double"/>
        </w:rPr>
        <w:t>shall have the meaning set forth inSection 7.1.1.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Contractor”</w:t>
      </w:r>
      <w:r>
        <w:rPr/>
        <w:t xml:space="preserve"> shall have the meaning set forth in the preamble to this Agreement.</w:t>
      </w:r>
    </w:p>
    <w:p>
      <w:pPr>
        <w:pStyle w:val="BodyText"/>
        <w:bidi w:val="0"/>
        <w:rPr>
          <w:rFonts w:ascii="Times New Roman" w:hAnsi="Times New Roman"/>
        </w:rPr>
      </w:pPr>
      <w:r>
        <w:rPr/>
      </w:r>
    </w:p>
    <w:p>
      <w:pPr>
        <w:pStyle w:val="BodyText"/>
        <w:bidi w:val="0"/>
        <w:rPr>
          <w:rFonts w:ascii="Times New Roman" w:hAnsi="Times New Roman"/>
        </w:rPr>
      </w:pPr>
      <w:r>
        <w:rPr/>
        <w:tab/>
      </w:r>
      <w:r>
        <w:rPr>
          <w:b/>
          <w:u w:val="double"/>
        </w:rPr>
        <w:t>“Contractor’s Fee” shall mean [$_______]</w:t>
      </w:r>
      <w:r>
        <w:rPr/>
        <w:t xml:space="preserve"> </w:t>
      </w:r>
      <w:r>
        <w:rPr>
          <w:b/>
          <w:u w:val="double"/>
        </w:rPr>
        <w:t>[___% of the Cost of the Work][, as further defined in Exhibit C-1].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Contractor Indemnitee</w:t>
      </w:r>
      <w:r>
        <w:rPr/>
        <w:t>” shall mean Contractor and each of its Affiliates, successors, assigns, officers, members, managers, directors</w:t>
      </w:r>
      <w:r>
        <w:rPr>
          <w:strike/>
        </w:rPr>
        <w:t>&lt;,&gt;</w:t>
      </w:r>
      <w:r>
        <w:rPr/>
        <w:t xml:space="preserve"> and employees.</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Contractor Insurance</w:t>
      </w:r>
      <w:r>
        <w:rPr/>
        <w:t xml:space="preserve">” shall have the meaning set forth in </w:t>
      </w:r>
      <w:r>
        <w:rPr>
          <w:u w:val="single"/>
        </w:rPr>
        <w:t>Exhibit H-1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Contractor Lien</w:t>
      </w:r>
      <w:r>
        <w:rPr/>
        <w:t>” shall have the meaning set forth in Section 3.17.1.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Contractor’s Equipment</w:t>
      </w:r>
      <w:r>
        <w:rPr/>
        <w:t>” shall mean all appliances or things of whatever nature required for the performance of the Work at the Site, but not including any items intended to form or forming part of the Facility.</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Contractor’s Representative</w:t>
      </w:r>
      <w:r>
        <w:rPr/>
        <w:t xml:space="preserve">” shall be Contractor’s project manager as referenced in </w:t>
      </w:r>
      <w:r>
        <w:rPr>
          <w:u w:val="single"/>
        </w:rPr>
        <w:t>Exhibit S</w:t>
      </w:r>
      <w:r>
        <w:rPr/>
        <w:t xml:space="preserve">.    </w:t>
      </w:r>
    </w:p>
    <w:p>
      <w:pPr>
        <w:pStyle w:val="BodyText"/>
        <w:bidi w:val="0"/>
        <w:rPr>
          <w:rFonts w:ascii="Times New Roman" w:hAnsi="Times New Roman"/>
        </w:rPr>
      </w:pPr>
      <w:r>
        <w:rPr/>
      </w:r>
    </w:p>
    <w:p>
      <w:pPr>
        <w:pStyle w:val="BodyText"/>
        <w:bidi w:val="0"/>
        <w:rPr>
          <w:rFonts w:ascii="Times New Roman" w:hAnsi="Times New Roman"/>
        </w:rPr>
      </w:pPr>
      <w:r>
        <w:rPr/>
        <w:tab/>
      </w:r>
      <w:r>
        <w:rPr>
          <w:b/>
          <w:u w:val="double"/>
        </w:rPr>
        <w:t>“Cost of the Work” shall have the meaning set forth in Section 7.1.1[, but subject to the further specific inclusions and exclusions therefrom set forth in Exhibit C-1].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Cost to Complete Facility</w:t>
      </w:r>
      <w:r>
        <w:rPr/>
        <w:t>” shall have the meaning set forth in Section 16.1.5.</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Day</w:t>
      </w:r>
      <w:r>
        <w:rPr/>
        <w:t>” or “</w:t>
      </w:r>
      <w:r>
        <w:rPr>
          <w:u w:val="single"/>
        </w:rPr>
        <w:t>day</w:t>
      </w:r>
      <w:r>
        <w:rPr/>
        <w:t>” shall mean a calendar day and shall include Saturdays, Sundays and holidays.</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Default Rate</w:t>
      </w:r>
      <w:r>
        <w:rPr/>
        <w:t xml:space="preserve">” shall </w:t>
      </w:r>
      <w:r>
        <w:rPr>
          <w:strike/>
        </w:rPr>
        <w:t>&lt;have the meaning set forth in Exhibit C-1&gt;</w:t>
      </w:r>
      <w:r>
        <w:rPr/>
        <w:t xml:space="preserve"> </w:t>
      </w:r>
      <w:r>
        <w:rPr>
          <w:b/>
          <w:u w:val="double"/>
        </w:rPr>
        <w:t>mean the greater of (a) the Credit Suisse First Boston prime rate plus two (2) percentage points and (b) Owner’s average interest rate for funds borrowed to finance the Facility, but in no event will the Default Rate exceed the maximum interest rate allowed by Law</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Delay Limit</w:t>
      </w:r>
      <w:r>
        <w:rPr/>
        <w:t>” shall have the meaning set forth in Section 14.1.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Delay Liquidated Damages</w:t>
      </w:r>
      <w:r>
        <w:rPr/>
        <w:t xml:space="preserve">” shall have the meaning set forth in </w:t>
      </w:r>
      <w:r>
        <w:rPr>
          <w:u w:val="single"/>
        </w:rPr>
        <w:t>Exhibit C-4</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Documentation</w:t>
      </w:r>
      <w:r>
        <w:rPr/>
        <w:t>” shall have the meaning set forth in Section 10.4.2.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Effective Date</w:t>
      </w:r>
      <w:r>
        <w:rPr/>
        <w:t>” shall have the meaning set forth in the preamble to this Agreement.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Emissions Guarantee</w:t>
      </w:r>
      <w:r>
        <w:rPr/>
        <w:t xml:space="preserve">” shall have the meaning set forth in </w:t>
      </w:r>
      <w:r>
        <w:rPr>
          <w:u w:val="single"/>
        </w:rPr>
        <w:t>Exhibit E-1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Emissions Test</w:t>
      </w:r>
      <w:r>
        <w:rPr/>
        <w:t xml:space="preserve">” shall mean a test, conducted in accordance with the procedures developed pursuant to the guidelines set forth in </w:t>
      </w:r>
      <w:r>
        <w:rPr>
          <w:u w:val="single"/>
        </w:rPr>
        <w:t>Exhibit E-3</w:t>
      </w:r>
      <w:r>
        <w:rPr/>
        <w:t xml:space="preserve">, to determine the emissions </w:t>
      </w:r>
      <w:r>
        <w:rPr>
          <w:b/>
          <w:u w:val="double"/>
        </w:rPr>
        <w:t>from the Facility</w:t>
      </w:r>
      <w:r>
        <w:rPr/>
        <w:t xml:space="preserve"> into the air </w:t>
      </w:r>
      <w:r>
        <w:rPr>
          <w:strike/>
        </w:rPr>
        <w:t>&lt;of the Facility&gt;</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End Date</w:t>
      </w:r>
      <w:r>
        <w:rPr/>
        <w:t>” shall be the date set forth in Section 13.1.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EPC Reliability Test</w:t>
      </w:r>
      <w:r>
        <w:rPr/>
        <w:t xml:space="preserve">” shall mean a test of the reliability of the Facility conducted in accordance with the procedures developed pursuant to the guidelines set forth in </w:t>
      </w:r>
      <w:r>
        <w:rPr>
          <w:u w:val="single"/>
        </w:rPr>
        <w:t>Exhibit E-3</w:t>
      </w:r>
      <w:r>
        <w:rPr/>
        <w:t xml:space="preserve"> to demonstrate the Reliability of the Facility.    </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Equipment</w:t>
      </w:r>
      <w:r>
        <w:rPr/>
        <w:t xml:space="preserve">” shall mean all </w:t>
      </w:r>
      <w:r>
        <w:rPr>
          <w:rStyle w:val="LP2"/>
          <w:sz w:val="23"/>
        </w:rPr>
        <w:t>machinery, equipment, computer hardware and software, apparatus, materials, articles, drawings, designs, plans and things of all kinds to be provided by Contractor under this Agreement and/or incorporated into the Facility other than Contractor's Equipment</w:t>
      </w:r>
      <w:r>
        <w:rPr/>
        <w:t>.</w:t>
      </w:r>
    </w:p>
    <w:p>
      <w:pPr>
        <w:pStyle w:val="BodyText"/>
        <w:bidi w:val="0"/>
        <w:rPr>
          <w:rFonts w:ascii="Times New Roman" w:hAnsi="Times New Roman"/>
        </w:rPr>
      </w:pPr>
      <w:r>
        <w:rPr/>
      </w:r>
    </w:p>
    <w:p>
      <w:pPr>
        <w:pStyle w:val="BodyText"/>
        <w:bidi w:val="0"/>
        <w:rPr>
          <w:rFonts w:ascii="Times New Roman" w:hAnsi="Times New Roman"/>
          <w:b/>
          <w:u w:val="double"/>
        </w:rPr>
      </w:pPr>
      <w:r>
        <w:rPr/>
        <w:tab/>
      </w:r>
      <w:r>
        <w:rPr>
          <w:b/>
          <w:u w:val="double"/>
        </w:rPr>
        <w:t>“Equipment Vendors” shall mean the vendors or other suppliers of Owner Supplied Equipment under the Equipment Vendor Contracts.</w:t>
      </w:r>
    </w:p>
    <w:p>
      <w:pPr>
        <w:pStyle w:val="BodyText"/>
        <w:bidi w:val="0"/>
        <w:rPr>
          <w:rFonts w:ascii="Times New Roman" w:hAnsi="Times New Roman"/>
          <w:b/>
          <w:u w:val="double"/>
        </w:rPr>
      </w:pPr>
      <w:r>
        <w:rPr>
          <w:b/>
          <w:u w:val="double"/>
        </w:rPr>
      </w:r>
    </w:p>
    <w:p>
      <w:pPr>
        <w:pStyle w:val="BodyText"/>
        <w:bidi w:val="0"/>
        <w:rPr>
          <w:rFonts w:ascii="Times New Roman" w:hAnsi="Times New Roman"/>
        </w:rPr>
      </w:pPr>
      <w:r>
        <w:rPr/>
        <w:tab/>
      </w:r>
      <w:r>
        <w:rPr>
          <w:b/>
          <w:u w:val="double"/>
        </w:rPr>
        <w:t>“Equipment Vendor Contracts” shall mean the agreements between Owner and Equipment Vendors listed in Schedule U</w:t>
      </w:r>
      <w:r>
        <w:rPr/>
        <w:t xml:space="preserve"> </w:t>
      </w:r>
      <w:r>
        <w:rPr>
          <w:b/>
          <w:u w:val="double"/>
        </w:rPr>
        <w:t>for the particular items of Owner Supplied Equipment to be supplied under such agreements, as listed on Schedule U.</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Events of Force Majeure</w:t>
      </w:r>
      <w:r>
        <w:rPr/>
        <w:t xml:space="preserve">” shall have the meaning set forth in Section </w:t>
      </w:r>
      <w:r>
        <w:rPr>
          <w:strike/>
        </w:rPr>
        <w:t>&lt;17.3&gt;</w:t>
      </w:r>
      <w:r>
        <w:rPr/>
        <w:t xml:space="preserve"> </w:t>
      </w:r>
      <w:r>
        <w:rPr>
          <w:b/>
          <w:u w:val="double"/>
        </w:rPr>
        <w:t>17.2</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Excess Utilities</w:t>
      </w:r>
      <w:r>
        <w:rPr/>
        <w:t>” shall have the meaning set forth in Section 4.1.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Facility</w:t>
      </w:r>
      <w:r>
        <w:rPr/>
        <w:t xml:space="preserve">” shall mean the </w:t>
      </w:r>
      <w:r>
        <w:rPr>
          <w:b/>
          <w:strike/>
        </w:rPr>
        <w:t>&lt;combined cycle&gt;</w:t>
      </w:r>
      <w:r>
        <w:rPr>
          <w:b/>
          <w:u w:val="double"/>
        </w:rPr>
        <w:t>[insert description]</w:t>
      </w:r>
      <w:r>
        <w:rPr/>
        <w:t xml:space="preserve"> power plant and certain related facilities described in </w:t>
      </w:r>
      <w:r>
        <w:rPr>
          <w:u w:val="single"/>
        </w:rPr>
        <w:t>Exhibit B-1</w:t>
      </w:r>
      <w:r>
        <w:rPr/>
        <w:t>.</w:t>
      </w:r>
    </w:p>
    <w:p>
      <w:pPr>
        <w:pStyle w:val="BodyText"/>
        <w:bidi w:val="0"/>
        <w:rPr>
          <w:rFonts w:ascii="Times New Roman" w:hAnsi="Times New Roman"/>
        </w:rPr>
      </w:pPr>
      <w:r>
        <w:rPr/>
      </w:r>
    </w:p>
    <w:p>
      <w:pPr>
        <w:pStyle w:val="BodyText"/>
        <w:bidi w:val="0"/>
        <w:rPr>
          <w:rFonts w:ascii="Times New Roman" w:hAnsi="Times New Roman"/>
          <w:u w:val="single"/>
        </w:rPr>
      </w:pPr>
      <w:r>
        <w:rPr/>
        <w:tab/>
        <w:t>“</w:t>
      </w:r>
      <w:r>
        <w:rPr>
          <w:u w:val="single"/>
        </w:rPr>
        <w:t>Far Field Sound Level Guarantee</w:t>
      </w:r>
      <w:r>
        <w:rPr/>
        <w:t xml:space="preserve">” shall have the meaning as set forth in </w:t>
      </w:r>
      <w:r>
        <w:rPr>
          <w:u w:val="single"/>
        </w:rPr>
        <w:t>Exhibit E-1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Fast-Track Arbitrator</w:t>
      </w:r>
      <w:r>
        <w:rPr/>
        <w:t>” shall have the meaning set forth in Section 19.2.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Final Completion</w:t>
      </w:r>
      <w:r>
        <w:rPr/>
        <w:t>” shall have the meaning set forth in Section 11.3.</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Final Completion Certificate</w:t>
      </w:r>
      <w:r>
        <w:rPr/>
        <w:t>” shall have the meaning set forth in Section 11.3.</w:t>
      </w:r>
    </w:p>
    <w:p>
      <w:pPr>
        <w:pStyle w:val="BodyText"/>
        <w:bidi w:val="0"/>
        <w:rPr>
          <w:rFonts w:ascii="Times New Roman" w:hAnsi="Times New Roman"/>
        </w:rPr>
      </w:pPr>
      <w:r>
        <w:rPr/>
      </w:r>
    </w:p>
    <w:p>
      <w:pPr>
        <w:pStyle w:val="BodyText"/>
        <w:bidi w:val="0"/>
        <w:rPr>
          <w:rStyle w:val="LP2"/>
          <w:rFonts w:ascii="Times New Roman" w:hAnsi="Times New Roman"/>
        </w:rPr>
      </w:pPr>
      <w:r>
        <w:rPr>
          <w:rStyle w:val="LP2"/>
          <w:sz w:val="23"/>
        </w:rPr>
        <w:tab/>
        <w:t>“</w:t>
      </w:r>
      <w:r>
        <w:rPr>
          <w:rStyle w:val="LP2"/>
          <w:sz w:val="23"/>
          <w:u w:val="single"/>
        </w:rPr>
        <w:t>Functional Test</w:t>
      </w:r>
      <w:r>
        <w:rPr>
          <w:rStyle w:val="LP2"/>
          <w:sz w:val="23"/>
        </w:rPr>
        <w:t>” shall have the meaning set forth in Section 11.1.2.</w:t>
      </w:r>
    </w:p>
    <w:p>
      <w:pPr>
        <w:pStyle w:val="BodyText"/>
        <w:bidi w:val="0"/>
        <w:rPr>
          <w:rStyle w:val="LP2"/>
          <w:rFonts w:ascii="Times New Roman" w:hAnsi="Times New Roman"/>
        </w:rPr>
      </w:pPr>
      <w:r>
        <w:rPr/>
      </w:r>
    </w:p>
    <w:p>
      <w:pPr>
        <w:pStyle w:val="BodyText"/>
        <w:bidi w:val="0"/>
        <w:rPr>
          <w:rStyle w:val="LP2"/>
          <w:rFonts w:ascii="Times New Roman" w:hAnsi="Times New Roman"/>
          <w:strike/>
        </w:rPr>
      </w:pPr>
      <w:r>
        <w:rPr>
          <w:rStyle w:val="LP2"/>
          <w:strike/>
          <w:sz w:val="23"/>
        </w:rPr>
        <w:t>&lt;“GE Contract” shall have the meaning set forth in Section 7.1.2.</w:t>
      </w:r>
    </w:p>
    <w:p>
      <w:pPr>
        <w:pStyle w:val="BodyText"/>
        <w:bidi w:val="0"/>
        <w:rPr>
          <w:rStyle w:val="LP2"/>
          <w:rFonts w:ascii="Times New Roman" w:hAnsi="Times New Roman"/>
          <w:strike/>
        </w:rPr>
      </w:pPr>
      <w:r>
        <w:rPr>
          <w:strike/>
        </w:rPr>
      </w:r>
    </w:p>
    <w:p>
      <w:pPr>
        <w:pStyle w:val="BodyText"/>
        <w:bidi w:val="0"/>
        <w:rPr>
          <w:rStyle w:val="LP2"/>
          <w:rFonts w:ascii="Times New Roman" w:hAnsi="Times New Roman"/>
        </w:rPr>
      </w:pPr>
      <w:r>
        <w:rPr>
          <w:rStyle w:val="LP2"/>
          <w:strike/>
          <w:sz w:val="23"/>
        </w:rPr>
        <w:t>“</w:t>
      </w:r>
      <w:r>
        <w:rPr>
          <w:rStyle w:val="LP2"/>
          <w:strike/>
          <w:sz w:val="23"/>
        </w:rPr>
        <w:t>GE Contract Damages” shall have the meaning set forth in Section 14.1.&gt;</w:t>
      </w:r>
    </w:p>
    <w:p>
      <w:pPr>
        <w:pStyle w:val="BodyText"/>
        <w:bidi w:val="0"/>
        <w:rPr>
          <w:rStyle w:val="LP2"/>
          <w:rFonts w:ascii="Times New Roman" w:hAnsi="Times New Roman"/>
        </w:rPr>
      </w:pPr>
      <w:r>
        <w:rPr/>
      </w:r>
    </w:p>
    <w:p>
      <w:pPr>
        <w:pStyle w:val="BodyText"/>
        <w:bidi w:val="0"/>
        <w:rPr>
          <w:rFonts w:ascii="Times New Roman" w:hAnsi="Times New Roman"/>
        </w:rPr>
      </w:pPr>
      <w:r>
        <w:rPr>
          <w:rStyle w:val="LP2"/>
          <w:sz w:val="23"/>
        </w:rPr>
        <w:tab/>
        <w:t>“</w:t>
      </w:r>
      <w:r>
        <w:rPr>
          <w:rStyle w:val="LP2"/>
          <w:sz w:val="23"/>
          <w:u w:val="single"/>
        </w:rPr>
        <w:t>Good Industry Practice" or “GIP</w:t>
      </w:r>
      <w:r>
        <w:rPr>
          <w:rStyle w:val="LP2"/>
          <w:sz w:val="23"/>
        </w:rPr>
        <w:t>” s</w:t>
      </w:r>
      <w:r>
        <w:rPr/>
        <w:t>hall mean those practices, methods, techniques and standards, as in effect or generally applicable at the time of performance of the Work, that are generally accepted for use in the independent power generation industry and commonly used in prudent power generation engineering and operations to design, engineer, construct, test, operate and maintain equipment lawfully, safely, efficiently and economically as applicable to equipment of the size, service, and type used in the Facility</w:t>
      </w:r>
      <w:r>
        <w:rPr>
          <w:i/>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Governmental Authority</w:t>
      </w:r>
      <w:r>
        <w:rPr/>
        <w:t>” shall mean the governmental, administrative, and municipal authorities, including, without limitation</w:t>
      </w:r>
      <w:r>
        <w:rPr>
          <w:strike/>
        </w:rPr>
        <w:t>&lt;,&gt;</w:t>
      </w:r>
      <w:r>
        <w:rPr/>
        <w:t xml:space="preserve"> any ministry, court, tribunal, department, municipality, city, instrumentality, agency or commission under the direct or indirect control of any city, county, state or federal government or governmental entity which has jurisdiction over any elements of the Work.</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Governmental Authorizations</w:t>
      </w:r>
      <w:r>
        <w:rPr/>
        <w:t>” shall mean all permits, consents, decisions, licenses, approvals, certificates, confirmations or exemptions from, and all applications and notices filed with any Governmental Authority that are necessary for the design, engineering, procurement, construction, start-up, commissioning, testing, financing, ownership, and operation of the Facility.</w:t>
      </w:r>
    </w:p>
    <w:p>
      <w:pPr>
        <w:pStyle w:val="BodyText"/>
        <w:bidi w:val="0"/>
        <w:rPr>
          <w:rFonts w:ascii="Times New Roman" w:hAnsi="Times New Roman"/>
        </w:rPr>
      </w:pPr>
      <w:r>
        <w:rPr/>
      </w:r>
    </w:p>
    <w:p>
      <w:pPr>
        <w:pStyle w:val="BodyText"/>
        <w:bidi w:val="0"/>
        <w:rPr>
          <w:rFonts w:ascii="Times New Roman" w:hAnsi="Times New Roman"/>
          <w:b/>
          <w:u w:val="double"/>
        </w:rPr>
      </w:pPr>
      <w:r>
        <w:rPr/>
        <w:tab/>
      </w:r>
      <w:r>
        <w:rPr>
          <w:b/>
          <w:u w:val="double"/>
        </w:rPr>
        <w:t>[“Ground Lease” shall mean the lease dated ______________ between Owner and Ground Lessor covering the real property upon which the Facility will be situated.]</w:t>
      </w:r>
    </w:p>
    <w:p>
      <w:pPr>
        <w:pStyle w:val="BodyText"/>
        <w:bidi w:val="0"/>
        <w:rPr>
          <w:rFonts w:ascii="Times New Roman" w:hAnsi="Times New Roman"/>
          <w:b/>
          <w:u w:val="double"/>
        </w:rPr>
      </w:pPr>
      <w:r>
        <w:rPr>
          <w:b/>
          <w:u w:val="double"/>
        </w:rPr>
      </w:r>
    </w:p>
    <w:p>
      <w:pPr>
        <w:pStyle w:val="BodyText"/>
        <w:bidi w:val="0"/>
        <w:rPr>
          <w:rFonts w:ascii="Times New Roman" w:hAnsi="Times New Roman"/>
        </w:rPr>
      </w:pPr>
      <w:r>
        <w:rPr/>
        <w:tab/>
      </w:r>
      <w:r>
        <w:rPr>
          <w:b/>
          <w:u w:val="double"/>
        </w:rPr>
        <w:t>[“Ground Lessor” shall mean ________________, a _______________________.]</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Guaranteed Completion Date</w:t>
      </w:r>
      <w:r>
        <w:rPr/>
        <w:t>” shall have the meaning set forth in Section 13.1.</w:t>
      </w:r>
    </w:p>
    <w:p>
      <w:pPr>
        <w:pStyle w:val="BodyText"/>
        <w:bidi w:val="0"/>
        <w:rPr>
          <w:rFonts w:ascii="Times New Roman" w:hAnsi="Times New Roman"/>
        </w:rPr>
      </w:pPr>
      <w:r>
        <w:rPr/>
      </w:r>
    </w:p>
    <w:p>
      <w:pPr>
        <w:pStyle w:val="BodyText"/>
        <w:bidi w:val="0"/>
        <w:ind w:firstLine="720" w:start="0"/>
        <w:rPr>
          <w:rFonts w:ascii="Times New Roman" w:hAnsi="Times New Roman"/>
        </w:rPr>
      </w:pPr>
      <w:r>
        <w:rPr>
          <w:rStyle w:val="LP2"/>
          <w:sz w:val="23"/>
        </w:rPr>
        <w:tab/>
      </w:r>
      <w:r>
        <w:rPr>
          <w:rStyle w:val="LP2"/>
          <w:b/>
          <w:sz w:val="23"/>
          <w:u w:val="double"/>
        </w:rPr>
        <w:t>“Guaranteed Maximum Price” or “GMP” shall have the meaning set forth in Exhibit C-1.</w:t>
      </w:r>
      <w:r>
        <w:rPr>
          <w:b/>
        </w:rPr>
        <w:tab/>
      </w:r>
      <w:r>
        <w:rPr/>
        <w:t>“</w:t>
      </w:r>
      <w:r>
        <w:rPr>
          <w:u w:val="single"/>
        </w:rPr>
        <w:t>Hazardous Substances</w:t>
      </w:r>
      <w:r>
        <w:rPr/>
        <w:t xml:space="preserve">” shall mean any chemical, substance, medical or other waste, living organism or combination thereof which is or may be hazardous to the environment or human or animal health or safety due to its radioactivity, ignitability, corrosivity, reactivity, explosivity, toxicity, carcinogenicity, mutagenicity, phytotoxicity, infectiousness or other harmful or potentially harmful properties or effects.    “Hazardous Substances” shall include without limitation petroleum hydrocarbons, including crude oil or any fraction thereof, asbestos, </w:t>
      </w:r>
      <w:r>
        <w:rPr>
          <w:b/>
          <w:u w:val="double"/>
        </w:rPr>
        <w:t>asbestos-containing materials,</w:t>
      </w:r>
      <w:r>
        <w:rPr/>
        <w:t xml:space="preserve"> radon, polychlorinated biphenyls (PCBs), methane and all substances which now or in the future may be defined as “hazardous substances,” “hazardous wastes,” “extremely hazardous wastes,” “hazardous materials” or “toxic substances,” biohazardous wastes, medical wastes, radioactive wastes or which are otherwise listed, defined or regulated in any manner pursuant to any Law pertaining to protection of the environment or human or animal health or safety.</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Heat Rate</w:t>
      </w:r>
      <w:r>
        <w:rPr/>
        <w:t xml:space="preserve">” shall mean the thermal efficiency of the Facility expressed as a ratio of fuel consumed to a unit of electric power output, as measured during a Heat Rate Test and adjusted from test conditions to Basis Conditions by the methods described in </w:t>
      </w:r>
      <w:r>
        <w:rPr>
          <w:u w:val="single"/>
        </w:rPr>
        <w:t>Exhibit E-3</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Heat Rate Guarantee</w:t>
      </w:r>
      <w:r>
        <w:rPr/>
        <w:t xml:space="preserve">” shall have the meaning set forth in </w:t>
      </w:r>
      <w:r>
        <w:rPr>
          <w:u w:val="single"/>
        </w:rPr>
        <w:t>Exhibit E-1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Heat Rate Limit</w:t>
      </w:r>
      <w:r>
        <w:rPr/>
        <w:t>” shall have the meaning set forth in Section 14.1.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Heat Rate Liquidated Damages</w:t>
      </w:r>
      <w:r>
        <w:rPr/>
        <w:t xml:space="preserve">” shall have the meaning set forth in </w:t>
      </w:r>
      <w:r>
        <w:rPr>
          <w:u w:val="single"/>
        </w:rPr>
        <w:t>Exhibit C-4</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Heat Rate Test</w:t>
      </w:r>
      <w:r>
        <w:rPr/>
        <w:t xml:space="preserve">” shall mean a test, conducted in accordance with the procedures developed pursuant to the guidelines set forth in </w:t>
      </w:r>
      <w:r>
        <w:rPr>
          <w:u w:val="single"/>
        </w:rPr>
        <w:t>Exhibit E-3</w:t>
      </w:r>
      <w:r>
        <w:rPr/>
        <w:t xml:space="preserve">, to demonstrate the </w:t>
      </w:r>
      <w:r>
        <w:rPr>
          <w:strike/>
        </w:rPr>
        <w:t>&lt;heat rate&gt;</w:t>
      </w:r>
      <w:r>
        <w:rPr/>
        <w:t xml:space="preserve"> </w:t>
      </w:r>
      <w:r>
        <w:rPr>
          <w:b/>
          <w:u w:val="double"/>
        </w:rPr>
        <w:t>Heat Rate</w:t>
      </w:r>
      <w:r>
        <w:rPr/>
        <w:t xml:space="preserve"> of the Facility.</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Indemnitee</w:t>
      </w:r>
      <w:r>
        <w:rPr/>
        <w:t>” shall have the meaning set forth in Section 18.5.</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Indemnitor</w:t>
      </w:r>
      <w:r>
        <w:rPr/>
        <w:t>” shall have the meaning set forth in Section 18.5.</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Insurance Representative</w:t>
      </w:r>
      <w:r>
        <w:rPr/>
        <w:t>” shall have the meaning set forth in Section 3.22.1.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Insurability Certificate</w:t>
      </w:r>
      <w:r>
        <w:rPr/>
        <w:t xml:space="preserve">” shall have the meaning set forth in Section </w:t>
      </w:r>
      <w:r>
        <w:rPr>
          <w:strike/>
        </w:rPr>
        <w:t>&lt;3.22.2(i)&gt;</w:t>
      </w:r>
      <w:r>
        <w:rPr/>
        <w:t xml:space="preserve"> </w:t>
      </w:r>
      <w:r>
        <w:rPr>
          <w:b/>
          <w:u w:val="double"/>
        </w:rPr>
        <w:t>3.22.3(a)</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Invoice</w:t>
      </w:r>
      <w:r>
        <w:rPr/>
        <w:t xml:space="preserve">” shall mean Contractor’s monthly request for payment in accordance with Section 7.2.2, which invoice shall be substantially in the form of </w:t>
      </w:r>
      <w:r>
        <w:rPr>
          <w:u w:val="single"/>
        </w:rPr>
        <w:t>Exhibit C-5</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Job Books</w:t>
      </w:r>
      <w:r>
        <w:rPr/>
        <w:t>” shall have the meaning set forth in Section 10.1.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Key Subcontract</w:t>
      </w:r>
      <w:r>
        <w:rPr/>
        <w:t xml:space="preserve">” shall mean any Subcontract that is designated as such on </w:t>
      </w:r>
      <w:r>
        <w:rPr>
          <w:u w:val="single"/>
        </w:rPr>
        <w:t>Exhibit L</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Key Subcontractor</w:t>
      </w:r>
      <w:r>
        <w:rPr/>
        <w:t>” shall mean any Subcontractor with whom Contractor enters into a Key Subcontract.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Key Work</w:t>
      </w:r>
      <w:r>
        <w:rPr/>
        <w:t>” shall have the meaning set forth in Section 2.4.</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kW</w:t>
      </w:r>
      <w:r>
        <w:rPr/>
        <w:t>” shall mean kilowatts.</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kWh</w:t>
      </w:r>
      <w:r>
        <w:rPr/>
        <w:t>” shall mean kilowatt-hours.</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Law</w:t>
      </w:r>
      <w:r>
        <w:rPr/>
        <w:t>” shall mean any constitution, charter, act, statute, law, ordinance, code, rule, regulation, order, treaty, decree, announcement, or published practice or any interpretation thereof, or other legislative or administrative action of any Governmental Authority, or specified standards or objective criteria contained in any applicable Governmental Authorization, or a final decree, judgment, or order of a court, or any applicable engineering, construction, safety, or electrical generation code.</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LCCP Panel</w:t>
      </w:r>
      <w:r>
        <w:rPr/>
        <w:t xml:space="preserve">” shall have the meaning set forth in Section </w:t>
      </w:r>
      <w:r>
        <w:rPr>
          <w:strike/>
        </w:rPr>
        <w:t>&lt;19.1&gt;</w:t>
      </w:r>
      <w:r>
        <w:rPr/>
        <w:t xml:space="preserve"> </w:t>
      </w:r>
      <w:r>
        <w:rPr>
          <w:b/>
          <w:u w:val="double"/>
        </w:rPr>
        <w:t>19.1.3</w:t>
      </w:r>
      <w:r>
        <w:rPr/>
        <w:t>.</w:t>
      </w:r>
    </w:p>
    <w:p>
      <w:pPr>
        <w:pStyle w:val="BodyText"/>
        <w:bidi w:val="0"/>
        <w:rPr>
          <w:rFonts w:ascii="Times New Roman" w:hAnsi="Times New Roman"/>
        </w:rPr>
      </w:pPr>
      <w:r>
        <w:rPr/>
      </w:r>
    </w:p>
    <w:p>
      <w:pPr>
        <w:pStyle w:val="BodyText"/>
        <w:bidi w:val="0"/>
        <w:rPr>
          <w:rFonts w:ascii="Times New Roman" w:hAnsi="Times New Roman"/>
          <w:strike/>
        </w:rPr>
      </w:pPr>
      <w:r>
        <w:rPr/>
        <w:tab/>
        <w:t>“</w:t>
      </w:r>
      <w:r>
        <w:rPr>
          <w:u w:val="single"/>
        </w:rPr>
        <w:t>Lender</w:t>
      </w:r>
      <w:r>
        <w:rPr/>
        <w:t xml:space="preserve">” shall mean lenders, institutions, noteholders, or bondholders providing or guaranteeing, financing or refinancing to Owner for </w:t>
      </w:r>
      <w:r>
        <w:rPr>
          <w:strike/>
        </w:rPr>
        <w:t>&lt;the construction&gt;</w:t>
      </w:r>
      <w:r>
        <w:rPr/>
        <w:t xml:space="preserve"> </w:t>
      </w:r>
      <w:r>
        <w:rPr>
          <w:b/>
          <w:u w:val="double"/>
        </w:rPr>
        <w:t>development</w:t>
      </w:r>
      <w:r>
        <w:rPr/>
        <w:t xml:space="preserve"> of the Facility, and any agent or trustee therefor</w:t>
      </w:r>
      <w:r>
        <w:rPr>
          <w:b/>
          <w:u w:val="double"/>
        </w:rPr>
        <w:t>, to the extent identified in writing to Contractor.</w:t>
      </w:r>
      <w:r>
        <w:rPr>
          <w:strike/>
        </w:rPr>
        <w:t>&lt;.</w:t>
      </w:r>
    </w:p>
    <w:p>
      <w:pPr>
        <w:pStyle w:val="BodyText"/>
        <w:bidi w:val="0"/>
        <w:rPr>
          <w:rFonts w:ascii="Times New Roman" w:hAnsi="Times New Roman"/>
          <w:strike/>
        </w:rPr>
      </w:pPr>
      <w:r>
        <w:rPr>
          <w:strike/>
        </w:rPr>
      </w:r>
    </w:p>
    <w:p>
      <w:pPr>
        <w:pStyle w:val="BodyText"/>
        <w:bidi w:val="0"/>
        <w:rPr>
          <w:rFonts w:ascii="Times New Roman" w:hAnsi="Times New Roman"/>
        </w:rPr>
      </w:pPr>
      <w:r>
        <w:rPr>
          <w:strike/>
        </w:rPr>
        <w:t>“</w:t>
      </w:r>
      <w:r>
        <w:rPr>
          <w:strike/>
        </w:rPr>
        <w:t>Lessor” shall mean Tejon Ranchcorp.&gt;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Liquidated Limit</w:t>
      </w:r>
      <w:r>
        <w:rPr/>
        <w:t>” shall have the meaning set forth in Section 14.1.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Losses</w:t>
      </w:r>
      <w:r>
        <w:rPr/>
        <w:t xml:space="preserve">” shall have the meaning set forth in </w:t>
      </w:r>
      <w:r>
        <w:rPr>
          <w:u w:val="single"/>
        </w:rPr>
        <w:t>Section 18.1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Maximum Heat Rate Guarantee</w:t>
      </w:r>
      <w:r>
        <w:rPr/>
        <w:t xml:space="preserve">” shall have the meaning set forth in </w:t>
      </w:r>
      <w:r>
        <w:rPr>
          <w:u w:val="single"/>
        </w:rPr>
        <w:t>Exhibit E-1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Mechanical Completion</w:t>
      </w:r>
      <w:r>
        <w:rPr/>
        <w:t>” shall mean, with respect to each unit, system, or component of the Facility, the completion of the Work relating thereto, including flushing and purging of systems; setting of the Equipment on foundations; connecting Equipment to other applicable equipment with piping, wiring, controls, and safety systems; ensuring that such Equipment and such related operating systems are individually cleaned, leak-checked,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without damage thereto or to any other property and without injury to any Person.    Mechanical Completion shall also include but not be limited to the following pre-commissioning activities with respect to the applicable unit, system, or component: stroking of all control valves, phase rotation of electrical equipment, and continuity of other electrical circuits (including loop checks) and response of controls and control equipment.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Minimum Net Electrical Output Guarantee</w:t>
      </w:r>
      <w:r>
        <w:rPr/>
        <w:t xml:space="preserve">” shall have the meaning set forth in </w:t>
      </w:r>
      <w:r>
        <w:rPr>
          <w:u w:val="single"/>
        </w:rPr>
        <w:t>Exhibit E-1</w:t>
      </w:r>
      <w:r>
        <w:rPr/>
        <w:t>.</w:t>
      </w:r>
    </w:p>
    <w:p>
      <w:pPr>
        <w:pStyle w:val="BodyText"/>
        <w:bidi w:val="0"/>
        <w:rPr>
          <w:rFonts w:ascii="Times New Roman" w:hAnsi="Times New Roman"/>
        </w:rPr>
      </w:pPr>
      <w:r>
        <w:rPr/>
      </w:r>
    </w:p>
    <w:p>
      <w:pPr>
        <w:pStyle w:val="BodyText"/>
        <w:bidi w:val="0"/>
        <w:rPr>
          <w:rFonts w:ascii="Times New Roman" w:hAnsi="Times New Roman"/>
          <w:strike/>
        </w:rPr>
      </w:pPr>
      <w:r>
        <w:rPr>
          <w:strike/>
        </w:rPr>
        <w:t>&lt;“Minimum Performance Guarantees” shall mean Minimum Net Electrical Output Guarantee, Maximum Heat Rate Guarantee, Reliability Guarantee, Sound Level Guarantees and Emissions Guarantee.</w:t>
      </w:r>
    </w:p>
    <w:p>
      <w:pPr>
        <w:pStyle w:val="BodyText"/>
        <w:bidi w:val="0"/>
        <w:rPr>
          <w:rFonts w:ascii="Times New Roman" w:hAnsi="Times New Roman"/>
          <w:strike/>
        </w:rPr>
      </w:pPr>
      <w:r>
        <w:rPr>
          <w:strike/>
        </w:rPr>
      </w:r>
    </w:p>
    <w:p>
      <w:pPr>
        <w:pStyle w:val="BodyText"/>
        <w:bidi w:val="0"/>
        <w:rPr>
          <w:rFonts w:ascii="Times New Roman" w:hAnsi="Times New Roman"/>
        </w:rPr>
      </w:pPr>
      <w:r>
        <w:rPr>
          <w:strike/>
        </w:rPr>
        <w:t>“</w:t>
      </w:r>
      <w:r>
        <w:rPr>
          <w:strike/>
        </w:rPr>
        <w:t>Mobilization of the Site” shall have the meaning set forth in Exhibit A-1. &gt;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Month</w:t>
      </w:r>
      <w:r>
        <w:rPr/>
        <w:t>” or “</w:t>
      </w:r>
      <w:r>
        <w:rPr>
          <w:u w:val="single"/>
        </w:rPr>
        <w:t>month</w:t>
      </w:r>
      <w:r>
        <w:rPr/>
        <w:t>” shall mean a calendar month (in accordance with the Gregorian calendar).</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MW</w:t>
      </w:r>
      <w:r>
        <w:rPr/>
        <w:t>” shall mean megawatts.</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Near Source Sound Level Guarantee</w:t>
      </w:r>
      <w:r>
        <w:rPr/>
        <w:t xml:space="preserve">” shall have the meaning set forth in </w:t>
      </w:r>
      <w:r>
        <w:rPr>
          <w:u w:val="single"/>
        </w:rPr>
        <w:t>Exhibit E-1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Net Electrical Output</w:t>
      </w:r>
      <w:r>
        <w:rPr/>
        <w:t xml:space="preserve">” shall mean the electric output of the Facility net of all auxiliary loads as measured during a Net Electrical Output Test and adjusted from test conditions to Basis Conditions by the methods described in </w:t>
      </w:r>
      <w:r>
        <w:rPr>
          <w:u w:val="single"/>
        </w:rPr>
        <w:t>Exhibit E-3</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Net Electrical Output Guarantee</w:t>
      </w:r>
      <w:r>
        <w:rPr/>
        <w:t xml:space="preserve">” shall have the meaning set forth in </w:t>
      </w:r>
      <w:r>
        <w:rPr>
          <w:u w:val="single"/>
        </w:rPr>
        <w:t>Exhibit E-1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Net Electrical Output Limit</w:t>
      </w:r>
      <w:r>
        <w:rPr/>
        <w:t>” shall have the meaning set forth in Section 14.1.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Net Electrical Output Liquidated Damages</w:t>
      </w:r>
      <w:r>
        <w:rPr/>
        <w:t xml:space="preserve">” shall have the meaning set forth in </w:t>
      </w:r>
      <w:r>
        <w:rPr>
          <w:u w:val="single"/>
        </w:rPr>
        <w:t>Exhibit C-4</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Net Electrical Output Test</w:t>
      </w:r>
      <w:r>
        <w:rPr/>
        <w:t xml:space="preserve">” shall mean a test, conducted in accordance with the procedures developed pursuant to the guidelines set forth in </w:t>
      </w:r>
      <w:r>
        <w:rPr>
          <w:u w:val="single"/>
        </w:rPr>
        <w:t>Exhibit E-3</w:t>
      </w:r>
      <w:r>
        <w:rPr/>
        <w:t>, to demonstrate the electric output of the Facility.</w:t>
      </w:r>
    </w:p>
    <w:p>
      <w:pPr>
        <w:pStyle w:val="BodyText"/>
        <w:bidi w:val="0"/>
        <w:rPr>
          <w:rFonts w:ascii="Times New Roman" w:hAnsi="Times New Roman"/>
        </w:rPr>
      </w:pPr>
      <w:r>
        <w:rPr/>
      </w:r>
    </w:p>
    <w:p>
      <w:pPr>
        <w:pStyle w:val="BodyText"/>
        <w:bidi w:val="0"/>
        <w:rPr>
          <w:rFonts w:ascii="Times New Roman" w:hAnsi="Times New Roman"/>
        </w:rPr>
      </w:pPr>
      <w:r>
        <w:rPr>
          <w:strike/>
        </w:rPr>
        <w:t>&lt;“Not-to-Exceed Payment Schedule” shall mean the payment schedule set forth in Exhibit C-2.&gt;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Notice to Proceed</w:t>
      </w:r>
      <w:r>
        <w:rPr/>
        <w:t>” shall have the meaning set forth in Section 5.1.1.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Notice to Proceed Effective Date</w:t>
      </w:r>
      <w:r>
        <w:rPr/>
        <w:t>” shall have the meaning set forth in Section 5.1.1.2.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Out of Scope Construction</w:t>
      </w:r>
      <w:r>
        <w:rPr/>
        <w:t>” shall have the meaning set forth in Section 3.16.</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Owner</w:t>
      </w:r>
      <w:r>
        <w:rPr/>
        <w:t>” shall have the meaning set forth in the preamble to this Agreement.</w:t>
      </w:r>
    </w:p>
    <w:p>
      <w:pPr>
        <w:pStyle w:val="BodyText"/>
        <w:bidi w:val="0"/>
        <w:rPr>
          <w:rFonts w:ascii="Times New Roman" w:hAnsi="Times New Roman"/>
        </w:rPr>
      </w:pPr>
      <w:r>
        <w:rPr/>
      </w:r>
    </w:p>
    <w:p>
      <w:pPr>
        <w:pStyle w:val="Style2toc"/>
        <w:bidi w:val="0"/>
        <w:rPr>
          <w:rFonts w:ascii="Times New Roman" w:hAnsi="Times New Roman"/>
        </w:rPr>
      </w:pPr>
      <w:r>
        <w:rPr/>
        <w:tab/>
        <w:t>“</w:t>
      </w:r>
      <w:r>
        <w:rPr>
          <w:u w:val="single"/>
        </w:rPr>
        <w:t>Owner Delay</w:t>
      </w:r>
      <w:r>
        <w:rPr/>
        <w:t>” means any delay by Owner in performing obligations under this Agreement, which delay materially and adversely affects Contractor’s cost, schedule, or other performance under this Agreement.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Owner Indemnitees</w:t>
      </w:r>
      <w:r>
        <w:rPr/>
        <w:t xml:space="preserve">” means Owner, </w:t>
      </w:r>
      <w:r>
        <w:rPr>
          <w:strike/>
        </w:rPr>
        <w:t>&lt;Lender, and each of their respective&gt;</w:t>
      </w:r>
      <w:r>
        <w:rPr/>
        <w:t xml:space="preserve"> </w:t>
      </w:r>
      <w:r>
        <w:rPr>
          <w:b/>
          <w:u w:val="double"/>
        </w:rPr>
        <w:t>Construction Manager, and its</w:t>
      </w:r>
      <w:r>
        <w:rPr/>
        <w:t xml:space="preserve"> Affiliates, successors, assigns, officers, members, managers, directors</w:t>
      </w:r>
      <w:r>
        <w:rPr>
          <w:strike/>
        </w:rPr>
        <w:t>&lt;,&gt;</w:t>
      </w:r>
      <w:r>
        <w:rPr/>
        <w:t xml:space="preserve"> and employees.</w:t>
      </w:r>
    </w:p>
    <w:p>
      <w:pPr>
        <w:pStyle w:val="BodyText"/>
        <w:bidi w:val="0"/>
        <w:rPr>
          <w:rFonts w:ascii="Times New Roman" w:hAnsi="Times New Roman"/>
        </w:rPr>
      </w:pPr>
      <w:r>
        <w:rPr/>
      </w:r>
    </w:p>
    <w:p>
      <w:pPr>
        <w:pStyle w:val="BodyText"/>
        <w:bidi w:val="0"/>
        <w:rPr>
          <w:rFonts w:ascii="Times New Roman" w:hAnsi="Times New Roman"/>
          <w:strike/>
        </w:rPr>
      </w:pPr>
      <w:r>
        <w:rPr/>
        <w:tab/>
      </w:r>
      <w:r>
        <w:rPr>
          <w:strike/>
        </w:rPr>
        <w:t>&lt;“Owner’s Representative” shall have the meaning set forth in Section 4.6.</w:t>
      </w:r>
    </w:p>
    <w:p>
      <w:pPr>
        <w:pStyle w:val="BodyText"/>
        <w:bidi w:val="0"/>
        <w:rPr>
          <w:rFonts w:ascii="Times New Roman" w:hAnsi="Times New Roman"/>
          <w:strike/>
        </w:rPr>
      </w:pPr>
      <w:r>
        <w:rPr>
          <w:strike/>
        </w:rPr>
      </w:r>
    </w:p>
    <w:p>
      <w:pPr>
        <w:pStyle w:val="BodyText"/>
        <w:bidi w:val="0"/>
        <w:rPr>
          <w:rFonts w:ascii="Times New Roman" w:hAnsi="Times New Roman"/>
          <w:b/>
          <w:u w:val="double"/>
        </w:rPr>
      </w:pPr>
      <w:r>
        <w:rPr>
          <w:strike/>
        </w:rPr>
        <w:t>&gt;</w:t>
      </w:r>
      <w:r>
        <w:rPr>
          <w:b/>
          <w:u w:val="double"/>
        </w:rPr>
        <w:t>“Owner Supplied Equipment” shall mean all machinery, equipment, computer hardware and software, apparatus, materials, articles, drawings, designs, plans and things of all kinds to be provided by the Equipment Vendors under the Equipment Vendor Contracts.</w:t>
      </w:r>
    </w:p>
    <w:p>
      <w:pPr>
        <w:pStyle w:val="BodyText"/>
        <w:bidi w:val="0"/>
        <w:rPr>
          <w:rFonts w:ascii="Times New Roman" w:hAnsi="Times New Roman"/>
          <w:b/>
          <w:u w:val="double"/>
        </w:rPr>
      </w:pPr>
      <w:r>
        <w:rPr>
          <w:b/>
          <w:u w:val="double"/>
        </w:rPr>
      </w:r>
    </w:p>
    <w:p>
      <w:pPr>
        <w:pStyle w:val="BodyText"/>
        <w:bidi w:val="0"/>
        <w:rPr>
          <w:rFonts w:ascii="Times New Roman" w:hAnsi="Times New Roman"/>
          <w:b/>
        </w:rPr>
      </w:pPr>
      <w:r>
        <w:rPr/>
        <w:tab/>
      </w:r>
      <w:r>
        <w:rPr>
          <w:b/>
          <w:u w:val="double"/>
        </w:rPr>
        <w:t>[</w:t>
      </w:r>
      <w:r>
        <w:rPr>
          <w:b/>
        </w:rPr>
        <w:t>“</w:t>
      </w:r>
      <w:r>
        <w:rPr>
          <w:b/>
          <w:u w:val="single"/>
        </w:rPr>
        <w:t>Parent Guarantee</w:t>
      </w:r>
      <w:r>
        <w:rPr>
          <w:b/>
        </w:rPr>
        <w:t>” shall have the meaning set forth in Section 21.2</w:t>
      </w:r>
      <w:r>
        <w:rPr>
          <w:b/>
          <w:strike/>
        </w:rPr>
        <w:t>&lt;.&gt;</w:t>
      </w:r>
      <w:r>
        <w:rPr>
          <w:b/>
          <w:u w:val="double"/>
        </w:rPr>
        <w:t>]</w:t>
      </w:r>
    </w:p>
    <w:p>
      <w:pPr>
        <w:pStyle w:val="BodyText"/>
        <w:bidi w:val="0"/>
        <w:rPr>
          <w:rFonts w:ascii="Times New Roman" w:hAnsi="Times New Roman"/>
        </w:rPr>
      </w:pPr>
      <w:r>
        <w:rPr/>
      </w:r>
    </w:p>
    <w:p>
      <w:pPr>
        <w:pStyle w:val="BodyText"/>
        <w:bidi w:val="0"/>
        <w:rPr>
          <w:rFonts w:ascii="Times New Roman" w:hAnsi="Times New Roman"/>
        </w:rPr>
      </w:pPr>
      <w:r>
        <w:rPr>
          <w:b/>
        </w:rPr>
        <w:tab/>
      </w:r>
      <w:r>
        <w:rPr/>
        <w:t>“</w:t>
      </w:r>
      <w:r>
        <w:rPr>
          <w:u w:val="single"/>
        </w:rPr>
        <w:t>Performance Guarantees</w:t>
      </w:r>
      <w:r>
        <w:rPr/>
        <w:t>” shall mean the Net Electrical Output Guarantee and Heat Rate Guarantee.</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Performance Liquidated Damages</w:t>
      </w:r>
      <w:r>
        <w:rPr/>
        <w:t>” shall mean the Heat Rate Liquidated Damages and Net Electrical Output Liquidated Damages, collectively or independently depending upon context.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Performance Tests</w:t>
      </w:r>
      <w:r>
        <w:rPr/>
        <w:t>” shall mean the EPC Reliability Test, Heat Rate Test, Net Electrical Output Test, Sound Level Test and Emissions Test, collectively or independently depending on context.</w:t>
      </w:r>
    </w:p>
    <w:p>
      <w:pPr>
        <w:pStyle w:val="BodyText"/>
        <w:bidi w:val="0"/>
        <w:rPr>
          <w:rFonts w:ascii="Times New Roman" w:hAnsi="Times New Roman"/>
        </w:rPr>
      </w:pPr>
      <w:r>
        <w:rPr/>
      </w:r>
    </w:p>
    <w:p>
      <w:pPr>
        <w:pStyle w:val="BodyText"/>
        <w:bidi w:val="0"/>
        <w:rPr>
          <w:rFonts w:ascii="Times New Roman" w:hAnsi="Times New Roman"/>
          <w:b/>
        </w:rPr>
      </w:pPr>
      <w:r>
        <w:rPr/>
        <w:tab/>
      </w:r>
      <w:r>
        <w:rPr>
          <w:b/>
          <w:u w:val="double"/>
        </w:rPr>
        <w:t>“Permitting Agency” shall mean the _________________________________.    [insert name of any applicable state agency who has the primary authority over the siting permits/licenses and construction of the Facility]</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Person</w:t>
      </w:r>
      <w:r>
        <w:rPr/>
        <w:t>” shall mean any natural person, corporation, company, partnership (general or limited), limited liability company,</w:t>
      </w:r>
      <w:r>
        <w:rPr>
          <w:b/>
          <w:u w:val="double"/>
        </w:rPr>
        <w:t xml:space="preserve"> limited liability partnership,</w:t>
      </w:r>
      <w:r>
        <w:rPr/>
        <w:t xml:space="preserve"> business trust, or other entity</w:t>
      </w:r>
      <w:r>
        <w:rPr>
          <w:strike/>
        </w:rPr>
        <w:t>&lt;,&gt;</w:t>
      </w:r>
      <w:r>
        <w:rPr/>
        <w:t xml:space="preserve"> or association.</w:t>
      </w:r>
    </w:p>
    <w:p>
      <w:pPr>
        <w:pStyle w:val="BodyText"/>
        <w:bidi w:val="0"/>
        <w:rPr>
          <w:rFonts w:ascii="Times New Roman" w:hAnsi="Times New Roman"/>
        </w:rPr>
      </w:pPr>
      <w:r>
        <w:rPr/>
      </w:r>
    </w:p>
    <w:p>
      <w:pPr>
        <w:pStyle w:val="BodyText"/>
        <w:bidi w:val="0"/>
        <w:rPr>
          <w:rFonts w:ascii="Times New Roman" w:hAnsi="Times New Roman"/>
          <w:strike/>
        </w:rPr>
      </w:pPr>
      <w:r>
        <w:rPr>
          <w:strike/>
        </w:rPr>
        <w:t>&lt;“Port of Import” shall mean the United States port of entry for any imported Equipment.</w:t>
      </w:r>
    </w:p>
    <w:p>
      <w:pPr>
        <w:pStyle w:val="BodyText"/>
        <w:bidi w:val="0"/>
        <w:rPr>
          <w:rFonts w:ascii="Times New Roman" w:hAnsi="Times New Roman"/>
          <w:strike/>
        </w:rPr>
      </w:pPr>
      <w:r>
        <w:rPr>
          <w:strike/>
        </w:rPr>
      </w:r>
    </w:p>
    <w:p>
      <w:pPr>
        <w:pStyle w:val="BodyText"/>
        <w:bidi w:val="0"/>
        <w:rPr>
          <w:rFonts w:ascii="Times New Roman" w:hAnsi="Times New Roman"/>
        </w:rPr>
      </w:pPr>
      <w:r>
        <w:rPr>
          <w:strike/>
        </w:rPr>
        <w:t>“</w:t>
      </w:r>
      <w:r>
        <w:rPr>
          <w:strike/>
        </w:rPr>
        <w:t>Power Island Equipment” shall mean all machinery, equipment, computer hardware and software, apparatus, materials, articles, drawings, designs, plans and things of all kinds to be provided under the GE Contract.&gt;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Preliminary Notice to Proceed</w:t>
      </w:r>
      <w:r>
        <w:rPr/>
        <w:t xml:space="preserve">” shall have the meaning set forth in Section </w:t>
      </w:r>
      <w:r>
        <w:rPr>
          <w:strike/>
        </w:rPr>
        <w:t>&lt;5.1.1&gt;</w:t>
      </w:r>
      <w:r>
        <w:rPr/>
        <w:t xml:space="preserve"> </w:t>
      </w:r>
      <w:r>
        <w:rPr>
          <w:b/>
          <w:u w:val="double"/>
        </w:rPr>
        <w:t>5.1.1.2</w:t>
      </w:r>
      <w:r>
        <w:rPr/>
        <w:t>.</w:t>
      </w:r>
    </w:p>
    <w:p>
      <w:pPr>
        <w:pStyle w:val="BodyText"/>
        <w:bidi w:val="0"/>
        <w:rPr>
          <w:rFonts w:ascii="Times New Roman" w:hAnsi="Times New Roman"/>
        </w:rPr>
      </w:pPr>
      <w:r>
        <w:rPr/>
      </w:r>
    </w:p>
    <w:p>
      <w:pPr>
        <w:pStyle w:val="BodyText"/>
        <w:bidi w:val="0"/>
        <w:rPr>
          <w:rFonts w:ascii="Times New Roman" w:hAnsi="Times New Roman"/>
        </w:rPr>
      </w:pPr>
      <w:r>
        <w:rPr/>
        <w:tab/>
      </w:r>
      <w:r>
        <w:rPr>
          <w:b/>
          <w:u w:val="double"/>
        </w:rPr>
        <w:t>[</w:t>
      </w:r>
      <w:r>
        <w:rPr>
          <w:b/>
        </w:rPr>
        <w:t>“</w:t>
      </w:r>
      <w:r>
        <w:rPr>
          <w:b/>
          <w:u w:val="single"/>
        </w:rPr>
        <w:t>Project Labor Agreement</w:t>
      </w:r>
      <w:r>
        <w:rPr>
          <w:b/>
        </w:rPr>
        <w:t xml:space="preserve">” shall </w:t>
      </w:r>
      <w:r>
        <w:rPr>
          <w:b/>
          <w:strike/>
        </w:rPr>
        <w:t>&lt;have the meaning set forth in Section 3.4.6.&gt;</w:t>
      </w:r>
      <w:r>
        <w:rPr>
          <w:b/>
        </w:rPr>
        <w:t xml:space="preserve"> </w:t>
      </w:r>
      <w:r>
        <w:rPr>
          <w:b/>
          <w:u w:val="double"/>
        </w:rPr>
        <w:t>mean the [Labor Agreement] dated _______________ between _________________________ and ____________________________ regarding Owner’s obligation to utilize union labor forces in connection with the construction of the Project.]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Project Schedule</w:t>
      </w:r>
      <w:r>
        <w:rPr/>
        <w:t>” shall have the meaning set forth in Section 5.2.1.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Project Schedule Summary</w:t>
      </w:r>
      <w:r>
        <w:rPr/>
        <w:t xml:space="preserve">” shall mean the summary schedule set forth in </w:t>
      </w:r>
      <w:r>
        <w:rPr>
          <w:u w:val="single"/>
        </w:rPr>
        <w:t>Exhibit A-1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Punchlist</w:t>
      </w:r>
      <w:r>
        <w:rPr/>
        <w:t>” shall have the meaning set forth in Section 11.5.1.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Punchlist Item</w:t>
      </w:r>
      <w:r>
        <w:rPr/>
        <w:t>” means any uncompleted part of the Facility that (considered individually or in the aggregate of all Punchlist Items) does not or will not adversely affect the performance of the Facility or the ability of Owner to operate the Facility in the ordinary course of business in accordance with GIP.</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Punchlist Withholding</w:t>
      </w:r>
      <w:r>
        <w:rPr/>
        <w:t>” shall have the meaning set forth in Section 11.5.2.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Reliability</w:t>
      </w:r>
      <w:r>
        <w:rPr/>
        <w:t xml:space="preserve">” shall have the meaning set forth in </w:t>
      </w:r>
      <w:r>
        <w:rPr>
          <w:u w:val="single"/>
        </w:rPr>
        <w:t>Exhibit E-3</w:t>
      </w:r>
      <w:r>
        <w:rPr>
          <w:strike/>
        </w:rPr>
        <w:t>&lt;, Part IV&gt;</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Reliability Guarantee</w:t>
      </w:r>
      <w:r>
        <w:rPr/>
        <w:t xml:space="preserve">” shall have the meaning set forth in </w:t>
      </w:r>
      <w:r>
        <w:rPr>
          <w:u w:val="single"/>
        </w:rPr>
        <w:t>Exhibit E-1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Replacement Contractor</w:t>
      </w:r>
      <w:r>
        <w:rPr/>
        <w:t>” shall have the meaning set forth in Section 16.1.3.</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Representatives</w:t>
      </w:r>
      <w:r>
        <w:rPr/>
        <w:t>” shall have the meaning set forth in Section 20.1.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Retainage</w:t>
      </w:r>
      <w:r>
        <w:rPr/>
        <w:t>” shall have the meaning set forth in Section 7.2.4.</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Retention Bond</w:t>
      </w:r>
      <w:r>
        <w:rPr/>
        <w:t>” shall have the meaning set forth in Section 21.1.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Scope of Work</w:t>
      </w:r>
      <w:r>
        <w:rPr/>
        <w:t>” shall mean the description of Work to be performed and Equipment to be provided by Contractor as set forth in Article 3.</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Security</w:t>
      </w:r>
      <w:r>
        <w:rPr/>
        <w:t xml:space="preserve">” shall mean the Retention Bond </w:t>
      </w:r>
      <w:r>
        <w:rPr>
          <w:b/>
          <w:u w:val="double"/>
        </w:rPr>
        <w:t>[</w:t>
      </w:r>
      <w:r>
        <w:rPr>
          <w:b/>
        </w:rPr>
        <w:t>and the Parent Guarantee</w:t>
      </w:r>
      <w:r>
        <w:rPr>
          <w:b/>
          <w:u w:val="double"/>
        </w:rPr>
        <w:t>]</w:t>
      </w:r>
      <w:r>
        <w:rPr/>
        <w:t xml:space="preserve"> together with any other security for the benefit of Owner for any of the obligations of Contractor under this Agreement.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Site</w:t>
      </w:r>
      <w:r>
        <w:rPr/>
        <w:t xml:space="preserve">” shall mean the real property described in </w:t>
      </w:r>
      <w:r>
        <w:rPr>
          <w:u w:val="single"/>
        </w:rPr>
        <w:t>Exhibit I</w:t>
      </w:r>
      <w:r>
        <w:rPr/>
        <w:t>.</w:t>
      </w:r>
      <w:r>
        <w:rPr>
          <w:b/>
          <w:u w:val="double"/>
        </w:rPr>
        <w:t>    [Exhibit should include any laydown area.]</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Sound Level Guarantees</w:t>
      </w:r>
      <w:r>
        <w:rPr/>
        <w:t xml:space="preserve">” shall mean the Near Source Sound Level Guarantee and the Far Field Sound Level Guarantee set forth in </w:t>
      </w:r>
      <w:r>
        <w:rPr>
          <w:u w:val="single"/>
        </w:rPr>
        <w:t>Exhibit E-1</w:t>
      </w:r>
      <w:r>
        <w:rPr/>
        <w:t>.</w:t>
      </w:r>
    </w:p>
    <w:p>
      <w:pPr>
        <w:pStyle w:val="BodyText"/>
        <w:bidi w:val="0"/>
        <w:rPr>
          <w:rFonts w:ascii="Times New Roman" w:hAnsi="Times New Roman"/>
        </w:rPr>
      </w:pPr>
      <w:r>
        <w:rPr/>
      </w:r>
    </w:p>
    <w:p>
      <w:pPr>
        <w:pStyle w:val="BodyText"/>
        <w:bidi w:val="0"/>
        <w:rPr>
          <w:rFonts w:ascii="Times New Roman" w:hAnsi="Times New Roman"/>
          <w:u w:val="single"/>
        </w:rPr>
      </w:pPr>
      <w:r>
        <w:rPr/>
        <w:tab/>
        <w:t>“</w:t>
      </w:r>
      <w:r>
        <w:rPr>
          <w:u w:val="single"/>
        </w:rPr>
        <w:t>Sound Level Test</w:t>
      </w:r>
      <w:r>
        <w:rPr/>
        <w:t xml:space="preserve">” shall mean a test, conducted in accordance with the procedures developed pursuant to the guidelines set forth in </w:t>
      </w:r>
      <w:r>
        <w:rPr>
          <w:u w:val="single"/>
        </w:rPr>
        <w:t>Exhibit E-3</w:t>
      </w:r>
      <w:r>
        <w:rPr/>
        <w:t>, to determine the sound levels of the Facility.</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Special Damages</w:t>
      </w:r>
      <w:r>
        <w:rPr/>
        <w:t>” shall have the meaning set forth in Section 14.2.</w:t>
      </w:r>
    </w:p>
    <w:p>
      <w:pPr>
        <w:pStyle w:val="BodyText"/>
        <w:bidi w:val="0"/>
        <w:rPr>
          <w:rFonts w:ascii="Times New Roman" w:hAnsi="Times New Roman"/>
        </w:rPr>
      </w:pPr>
      <w:r>
        <w:rPr/>
      </w:r>
    </w:p>
    <w:p>
      <w:pPr>
        <w:pStyle w:val="BodyText"/>
        <w:bidi w:val="0"/>
        <w:rPr>
          <w:rFonts w:ascii="Times New Roman" w:hAnsi="Times New Roman"/>
        </w:rPr>
      </w:pPr>
      <w:r>
        <w:rPr/>
        <w:tab/>
      </w:r>
      <w:r>
        <w:rPr>
          <w:b/>
          <w:u w:val="double"/>
        </w:rPr>
        <w:t>“Specific Performance Guarantees” shall mean the Minimum Net Electrical Output Guarantee, Maximum Heat Rate Guarantee, Reliability Guarantee, Sound Level Guarantees and Emissions Guarantee.</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Specifications</w:t>
      </w:r>
      <w:r>
        <w:rPr/>
        <w:t xml:space="preserve">” shall mean the specifications set forth in </w:t>
      </w:r>
      <w:r>
        <w:rPr>
          <w:u w:val="single"/>
        </w:rPr>
        <w:t>Exhibit B-1</w:t>
      </w:r>
      <w:r>
        <w:rPr/>
        <w: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Subcontract</w:t>
      </w:r>
      <w:r>
        <w:rPr/>
        <w:t>” shall mean an agreement between Contractor and a Subcontractor or a Subcontractor and any other Subcontractor for the performance of any portion of the Work.</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Subcontractor</w:t>
      </w:r>
      <w:r>
        <w:rPr/>
        <w:t>” shall mean any subcontractor, vendor, or supplier of equipment, materials or services to Contractor or any subcontractor or any Person engaged or employed by any such subcontractor, vendor, or supplier in connection with the performance of any portion of the Work.</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Substantial Completion</w:t>
      </w:r>
      <w:r>
        <w:rPr/>
        <w:t>” shall have the meaning set forth in Section 11.2.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Substantial Completion Certificate</w:t>
      </w:r>
      <w:r>
        <w:rPr/>
        <w:t>” shall have the meaning set forth in Section 11.2.</w:t>
      </w:r>
    </w:p>
    <w:p>
      <w:pPr>
        <w:pStyle w:val="BodyText"/>
        <w:bidi w:val="0"/>
        <w:rPr>
          <w:rFonts w:ascii="Times New Roman" w:hAnsi="Times New Roman"/>
        </w:rPr>
      </w:pPr>
      <w:r>
        <w:rPr/>
      </w:r>
    </w:p>
    <w:p>
      <w:pPr>
        <w:pStyle w:val="BodyText"/>
        <w:bidi w:val="0"/>
        <w:rPr>
          <w:rFonts w:ascii="Times New Roman" w:hAnsi="Times New Roman"/>
        </w:rPr>
      </w:pPr>
      <w:r>
        <w:rPr>
          <w:strike/>
        </w:rPr>
        <w:t>&lt;“Tejon Agreements” shall have the meaning set forth in Section 3.4.7.&gt;</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Termination Amount</w:t>
      </w:r>
      <w:r>
        <w:rPr/>
        <w:t>” shall have the meaning set forth in Section 16.1.5.</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Termination Expenses</w:t>
      </w:r>
      <w:r>
        <w:rPr/>
        <w:t>” shall have the meaning set forth in Section 16.2.3.1.</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USD, U.S. Dollars or $</w:t>
      </w:r>
      <w:r>
        <w:rPr/>
        <w:t>” shall mean lawful currency of the United States of America.</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Warranty Period</w:t>
      </w:r>
      <w:r>
        <w:rPr/>
        <w:t>” shall have the meaning set forth in Section 12.2.</w:t>
      </w:r>
    </w:p>
    <w:p>
      <w:pPr>
        <w:pStyle w:val="BodyText"/>
        <w:bidi w:val="0"/>
        <w:rPr>
          <w:rFonts w:ascii="Times New Roman" w:hAnsi="Times New Roman"/>
        </w:rPr>
      </w:pPr>
      <w:r>
        <w:rPr/>
      </w:r>
    </w:p>
    <w:p>
      <w:pPr>
        <w:pStyle w:val="BodyText"/>
        <w:bidi w:val="0"/>
        <w:rPr>
          <w:rFonts w:ascii="Times New Roman" w:hAnsi="Times New Roman"/>
        </w:rPr>
      </w:pPr>
      <w:r>
        <w:rPr/>
        <w:tab/>
        <w:t>“</w:t>
      </w:r>
      <w:r>
        <w:rPr>
          <w:u w:val="single"/>
        </w:rPr>
        <w:t>Work</w:t>
      </w:r>
      <w:r>
        <w:rPr/>
        <w:t>” shall mean all Equipment and other structures, instruments, facilities and materials included or to be included in the Facility and all obligations, duties and responsibilities assigned to or undertaken by Contractor pursuant to this Agreement.</w:t>
      </w:r>
    </w:p>
    <w:p>
      <w:pPr>
        <w:pStyle w:val="BodyText"/>
        <w:bidi w:val="0"/>
        <w:rPr>
          <w:rFonts w:ascii="Times New Roman" w:hAnsi="Times New Roman"/>
        </w:rPr>
      </w:pPr>
      <w:r>
        <w:rPr/>
      </w:r>
    </w:p>
    <w:p>
      <w:pPr>
        <w:pStyle w:val="Style1toc"/>
        <w:bidi w:val="0"/>
        <w:rPr>
          <w:rFonts w:ascii="Times New Roman" w:hAnsi="Times New Roman"/>
        </w:rPr>
      </w:pPr>
      <w:r>
        <w:rPr/>
        <w:t>ARTICLE 2</w:t>
      </w:r>
      <w:r>
        <w:fldChar w:fldCharType="begin"/>
      </w:r>
      <w:r>
        <w:rPr>
          <w:vanish/>
        </w:rPr>
        <w:instrText xml:space="preserve"> TC "ARTICLE 2 RELATIONSHIP OF OWNER, CONTRACTOR, SUBCONTRACTORS AND OTHERS671" \l 1 </w:instrText>
      </w:r>
      <w:r>
        <w:rPr>
          <w:vanish/>
        </w:rPr>
        <w:fldChar w:fldCharType="separate"/>
      </w:r>
      <w:bookmarkStart w:id="4" w:name="_Toc497198886"/>
      <w:bookmarkStart w:id="5" w:name="_Toc496784564"/>
      <w:bookmarkStart w:id="6" w:name="_Toc496784841"/>
      <w:bookmarkStart w:id="7" w:name="_Toc493577435"/>
      <w:bookmarkEnd w:id="4"/>
      <w:bookmarkEnd w:id="5"/>
      <w:bookmarkEnd w:id="6"/>
      <w:bookmarkEnd w:id="7"/>
      <w:r>
        <w:rPr>
          <w:vanish/>
        </w:rPr>
      </w:r>
      <w:r>
        <w:rPr>
          <w:vanish/>
        </w:rPr>
        <w:fldChar w:fldCharType="end"/>
      </w:r>
      <w:r>
        <w:rPr>
          <w:strike/>
        </w:rPr>
        <w:t>&lt;&lt;*&gt;&gt;</w:t>
      </w:r>
    </w:p>
    <w:p>
      <w:pPr>
        <w:pStyle w:val="Style1toc"/>
        <w:bidi w:val="0"/>
        <w:rPr>
          <w:rFonts w:ascii="Times New Roman" w:hAnsi="Times New Roman"/>
        </w:rPr>
      </w:pPr>
      <w:r>
        <w:rPr/>
        <w:t>RELATIONSHIP OF OWNER, CONTRACTOR, SUBCONTRACTORS AND OTHERS</w:t>
      </w:r>
    </w:p>
    <w:p>
      <w:pPr>
        <w:pStyle w:val="BodyText"/>
        <w:bidi w:val="0"/>
        <w:rPr>
          <w:rFonts w:ascii="Times New Roman" w:hAnsi="Times New Roman"/>
        </w:rPr>
      </w:pPr>
      <w:r>
        <w:rPr/>
      </w:r>
    </w:p>
    <w:p>
      <w:pPr>
        <w:pStyle w:val="Style2toc"/>
        <w:bidi w:val="0"/>
        <w:rPr>
          <w:rFonts w:ascii="Times New Roman" w:hAnsi="Times New Roman"/>
        </w:rPr>
      </w:pPr>
      <w:r>
        <w:rPr/>
        <w:t>2.1</w:t>
        <w:tab/>
      </w:r>
      <w:r>
        <w:rPr>
          <w:u w:val="single"/>
        </w:rPr>
        <w:t>Status of Contractor</w:t>
      </w:r>
      <w:r>
        <w:fldChar w:fldCharType="begin"/>
      </w:r>
      <w:r>
        <w:rPr>
          <w:u w:val="single"/>
          <w:vanish/>
        </w:rPr>
        <w:instrText xml:space="preserve"> TC "2.1</w:instrText>
        <w:tab/>
        <w:instrText xml:space="preserve">Status of Contractor672" \l 1 </w:instrText>
      </w:r>
      <w:r>
        <w:rPr>
          <w:u w:val="single"/>
          <w:vanish/>
        </w:rPr>
        <w:fldChar w:fldCharType="separate"/>
      </w:r>
      <w:bookmarkStart w:id="8" w:name="_Toc493577436"/>
      <w:bookmarkStart w:id="9" w:name="_Toc497198887"/>
      <w:bookmarkStart w:id="10" w:name="_Toc496784842"/>
      <w:bookmarkStart w:id="11" w:name="_Toc496784565"/>
      <w:bookmarkEnd w:id="8"/>
      <w:bookmarkEnd w:id="9"/>
      <w:bookmarkEnd w:id="10"/>
      <w:bookmarkEnd w:id="11"/>
      <w:r>
        <w:rPr>
          <w:vanish/>
          <w:u w:val="single"/>
        </w:rPr>
      </w:r>
      <w:r>
        <w:rPr>
          <w:u w:val="single"/>
          <w:vanish/>
        </w:rPr>
        <w:fldChar w:fldCharType="end"/>
      </w:r>
      <w:r>
        <w:rPr>
          <w:strike/>
        </w:rPr>
        <w:t>&lt;&lt;*&gt;&gt;</w:t>
      </w:r>
      <w:r>
        <w:rPr/>
        <w:t xml:space="preserve">.    Contractor </w:t>
      </w:r>
      <w:r>
        <w:rPr>
          <w:strike/>
        </w:rPr>
        <w:t>&lt;shall perform and execute the provisions of this Agreement as&gt;</w:t>
      </w:r>
      <w:r>
        <w:rPr/>
        <w:t xml:space="preserve"> </w:t>
      </w:r>
      <w:r>
        <w:rPr>
          <w:b/>
          <w:u w:val="double"/>
        </w:rPr>
        <w:t>is</w:t>
      </w:r>
      <w:r>
        <w:rPr/>
        <w:t xml:space="preserve"> an independent contractor and </w:t>
      </w:r>
      <w:r>
        <w:rPr>
          <w:strike/>
        </w:rPr>
        <w:t>&lt;shall&gt;</w:t>
      </w:r>
      <w:r>
        <w:rPr/>
        <w:t xml:space="preserve"> not </w:t>
      </w:r>
      <w:r>
        <w:rPr>
          <w:strike/>
        </w:rPr>
        <w:t>&lt;be an&gt;</w:t>
      </w:r>
      <w:r>
        <w:rPr/>
        <w:t xml:space="preserve"> </w:t>
      </w:r>
      <w:r>
        <w:rPr>
          <w:b/>
          <w:u w:val="double"/>
        </w:rPr>
        <w:t>Owner’s</w:t>
      </w:r>
      <w:r>
        <w:rPr/>
        <w:t xml:space="preserve"> agent or employee </w:t>
      </w:r>
      <w:r>
        <w:rPr>
          <w:strike/>
        </w:rPr>
        <w:t>&lt;of Owner&gt;</w:t>
      </w:r>
      <w:r>
        <w:rPr/>
        <w:t>.</w:t>
      </w:r>
    </w:p>
    <w:p>
      <w:pPr>
        <w:pStyle w:val="BodyText"/>
        <w:bidi w:val="0"/>
        <w:rPr>
          <w:rFonts w:ascii="Times New Roman" w:hAnsi="Times New Roman"/>
        </w:rPr>
      </w:pPr>
      <w:r>
        <w:rPr/>
      </w:r>
    </w:p>
    <w:p>
      <w:pPr>
        <w:pStyle w:val="Style2toc"/>
        <w:bidi w:val="0"/>
        <w:rPr>
          <w:rFonts w:ascii="Times New Roman" w:hAnsi="Times New Roman"/>
        </w:rPr>
      </w:pPr>
      <w:r>
        <w:rPr/>
        <w:t>2.2</w:t>
        <w:tab/>
      </w:r>
      <w:r>
        <w:rPr>
          <w:u w:val="single"/>
        </w:rPr>
        <w:t>Subcontractors</w:t>
      </w:r>
      <w:r>
        <w:fldChar w:fldCharType="begin"/>
      </w:r>
      <w:r>
        <w:rPr>
          <w:u w:val="single"/>
          <w:vanish/>
        </w:rPr>
        <w:instrText xml:space="preserve"> TC "2.2</w:instrText>
        <w:tab/>
        <w:instrText xml:space="preserve">Subcontractors672" \l 1 </w:instrText>
      </w:r>
      <w:r>
        <w:rPr>
          <w:u w:val="single"/>
          <w:vanish/>
        </w:rPr>
        <w:fldChar w:fldCharType="separate"/>
      </w:r>
      <w:bookmarkStart w:id="12" w:name="_Toc496784566"/>
      <w:bookmarkStart w:id="13" w:name="_Toc496784843"/>
      <w:bookmarkStart w:id="14" w:name="_Toc497198888"/>
      <w:bookmarkStart w:id="15" w:name="_Toc493577437"/>
      <w:bookmarkEnd w:id="12"/>
      <w:bookmarkEnd w:id="13"/>
      <w:bookmarkEnd w:id="14"/>
      <w:bookmarkEnd w:id="15"/>
      <w:r>
        <w:rPr>
          <w:vanish/>
          <w:u w:val="single"/>
        </w:rPr>
      </w:r>
      <w:r>
        <w:rPr>
          <w:u w:val="single"/>
          <w:vanish/>
        </w:rPr>
        <w:fldChar w:fldCharType="end"/>
      </w:r>
      <w:r>
        <w:rPr>
          <w:strike/>
        </w:rPr>
        <w:t>&lt;&lt;*&gt;&gt;</w:t>
      </w:r>
      <w:r>
        <w:rPr/>
        <w:t xml:space="preserve">.    Owner acknowledges and agrees that Contractor may have portions of the Work </w:t>
      </w:r>
      <w:r>
        <w:rPr>
          <w:strike/>
        </w:rPr>
        <w:t>&lt;accomplished&gt;</w:t>
      </w:r>
      <w:r>
        <w:rPr/>
        <w:t xml:space="preserve"> </w:t>
      </w:r>
      <w:r>
        <w:rPr>
          <w:b/>
          <w:u w:val="double"/>
        </w:rPr>
        <w:t>performed</w:t>
      </w:r>
      <w:r>
        <w:rPr/>
        <w:t xml:space="preserve"> by Subcontractors.    Contractor shall cause all Subcontractors to perform their work in conformity with </w:t>
      </w:r>
      <w:r>
        <w:rPr>
          <w:strike/>
        </w:rPr>
        <w:t>&lt;all of the provisions of&gt;</w:t>
      </w:r>
      <w:r>
        <w:rPr/>
        <w:t xml:space="preserve"> this Agreement.    No contractual relationship shall exist between Owner and any Subcontractor with respect to the Work </w:t>
      </w:r>
      <w:r>
        <w:rPr>
          <w:strike/>
        </w:rPr>
        <w:t>&lt;to be performed pursuant to this Agreement&gt;</w:t>
      </w:r>
      <w:r>
        <w:rPr/>
        <w:t xml:space="preserve">, and no Subcontractor </w:t>
      </w:r>
      <w:r>
        <w:rPr>
          <w:strike/>
        </w:rPr>
        <w:t>&lt;is intended to be or&gt;</w:t>
      </w:r>
      <w:r>
        <w:rPr/>
        <w:t xml:space="preserve"> shall be deemed a third-party beneficiary of this Agreement.    Contractor </w:t>
      </w:r>
      <w:r>
        <w:rPr>
          <w:strike/>
        </w:rPr>
        <w:t>&lt;agrees that it&gt;</w:t>
      </w:r>
      <w:r>
        <w:rPr/>
        <w:t xml:space="preserve"> shall be as fully responsible to Owner for the acts and omissions of Subcontractors </w:t>
      </w:r>
      <w:r>
        <w:rPr>
          <w:strike/>
        </w:rPr>
        <w:t>&lt;and of Persons directly or indirectly employed by them,&gt;</w:t>
      </w:r>
      <w:r>
        <w:rPr/>
        <w:t xml:space="preserve"> as it is for </w:t>
      </w:r>
      <w:r>
        <w:rPr>
          <w:strike/>
        </w:rPr>
        <w:t>&lt;the&gt;</w:t>
      </w:r>
      <w:r>
        <w:rPr/>
        <w:t xml:space="preserve"> </w:t>
      </w:r>
      <w:r>
        <w:rPr>
          <w:b/>
          <w:u w:val="double"/>
        </w:rPr>
        <w:t>its own employees’</w:t>
      </w:r>
      <w:r>
        <w:rPr/>
        <w:t xml:space="preserve"> acts or omissions </w:t>
      </w:r>
      <w:r>
        <w:rPr>
          <w:strike/>
        </w:rPr>
        <w:t>&lt;of Persons directly employed by Contractor&gt;</w:t>
      </w:r>
      <w:r>
        <w:rPr/>
        <w:t xml:space="preserve">.    Unless Owner expressly agrees in writing to the contrary, Owner shall not be obligated to pay or see to the payment of any Subcontractor.    Entry into any Subcontract shall not relieve Contractor of any of its obligations </w:t>
      </w:r>
      <w:r>
        <w:rPr>
          <w:strike/>
        </w:rPr>
        <w:t>&lt;to perform the Work in accordance with&gt;</w:t>
      </w:r>
      <w:r>
        <w:rPr/>
        <w:t xml:space="preserve"> </w:t>
      </w:r>
      <w:r>
        <w:rPr>
          <w:b/>
          <w:u w:val="double"/>
        </w:rPr>
        <w:t>under</w:t>
      </w:r>
      <w:r>
        <w:rPr/>
        <w:t xml:space="preserve"> this Agreement.    </w:t>
      </w:r>
    </w:p>
    <w:p>
      <w:pPr>
        <w:pStyle w:val="BodyText"/>
        <w:bidi w:val="0"/>
        <w:rPr>
          <w:rFonts w:ascii="Times New Roman" w:hAnsi="Times New Roman"/>
        </w:rPr>
      </w:pPr>
      <w:r>
        <w:rPr/>
      </w:r>
    </w:p>
    <w:p>
      <w:pPr>
        <w:pStyle w:val="Style2toc"/>
        <w:bidi w:val="0"/>
        <w:rPr>
          <w:rFonts w:ascii="Times New Roman" w:hAnsi="Times New Roman"/>
        </w:rPr>
      </w:pPr>
      <w:r>
        <w:rPr/>
        <w:t>2.3</w:t>
        <w:tab/>
      </w:r>
      <w:r>
        <w:rPr>
          <w:u w:val="single"/>
        </w:rPr>
        <w:t>Subcontract Provisions</w:t>
      </w:r>
      <w:r>
        <w:fldChar w:fldCharType="begin"/>
      </w:r>
      <w:r>
        <w:rPr>
          <w:u w:val="single"/>
          <w:vanish/>
        </w:rPr>
        <w:instrText xml:space="preserve"> TC "2.3</w:instrText>
        <w:tab/>
        <w:instrText xml:space="preserve">Subcontract Provisions672" \l 1 </w:instrText>
      </w:r>
      <w:r>
        <w:rPr>
          <w:u w:val="single"/>
          <w:vanish/>
        </w:rPr>
        <w:fldChar w:fldCharType="separate"/>
      </w:r>
      <w:bookmarkStart w:id="16" w:name="_Toc497198889"/>
      <w:bookmarkStart w:id="17" w:name="_Toc496784844"/>
      <w:bookmarkStart w:id="18" w:name="_Toc496784567"/>
      <w:bookmarkStart w:id="19" w:name="_Toc493577438"/>
      <w:bookmarkEnd w:id="16"/>
      <w:bookmarkEnd w:id="17"/>
      <w:bookmarkEnd w:id="18"/>
      <w:bookmarkEnd w:id="19"/>
      <w:r>
        <w:rPr>
          <w:vanish/>
          <w:u w:val="single"/>
        </w:rPr>
      </w:r>
      <w:r>
        <w:rPr>
          <w:u w:val="single"/>
          <w:vanish/>
        </w:rPr>
        <w:fldChar w:fldCharType="end"/>
      </w:r>
      <w:r>
        <w:rPr>
          <w:strike/>
        </w:rPr>
        <w:t>&lt;&lt;*&gt;&gt;</w:t>
      </w:r>
      <w:r>
        <w:rPr/>
        <w:t xml:space="preserve">.    Contractor shall ensure that all of its Subcontracts </w:t>
      </w:r>
      <w:r>
        <w:rPr>
          <w:strike/>
        </w:rPr>
        <w:t>&lt;between Contractor and its Subcontractors&gt;</w:t>
      </w:r>
      <w:r>
        <w:rPr/>
        <w:t xml:space="preserve"> are in writing.    All Key Subcontracts shall provide that </w:t>
      </w:r>
      <w:r>
        <w:rPr>
          <w:strike/>
        </w:rPr>
        <w:t>&lt;all rights, including all warranties, and obligations of Subcontractor under each of Contractor’s Subcontracts&gt;</w:t>
      </w:r>
      <w:r>
        <w:rPr/>
        <w:t xml:space="preserve"> </w:t>
      </w:r>
      <w:r>
        <w:rPr>
          <w:b/>
          <w:u w:val="double"/>
        </w:rPr>
        <w:t>they</w:t>
      </w:r>
      <w:r>
        <w:rPr/>
        <w:t xml:space="preserve"> are assignable to Owner and to Lender</w:t>
      </w:r>
      <w:r>
        <w:rPr>
          <w:strike/>
        </w:rPr>
        <w:t>&lt;,&gt;</w:t>
      </w:r>
      <w:r>
        <w:rPr/>
        <w:t xml:space="preserve"> </w:t>
      </w:r>
      <w:r>
        <w:rPr>
          <w:b/>
          <w:u w:val="double"/>
        </w:rPr>
        <w:t>(</w:t>
      </w:r>
      <w:r>
        <w:rPr/>
        <w:t>and each of their respective successors and assigns</w:t>
      </w:r>
      <w:r>
        <w:rPr>
          <w:b/>
          <w:u w:val="double"/>
        </w:rPr>
        <w:t>)</w:t>
      </w:r>
      <w:r>
        <w:rPr/>
        <w:t xml:space="preserve"> upon Owner’s written request</w:t>
      </w:r>
      <w:r>
        <w:rPr>
          <w:strike/>
        </w:rPr>
        <w:t>&lt;,&gt;</w:t>
      </w:r>
      <w:r>
        <w:rPr/>
        <w:t xml:space="preserve"> </w:t>
      </w:r>
      <w:r>
        <w:rPr>
          <w:b/>
          <w:u w:val="double"/>
        </w:rPr>
        <w:t>and</w:t>
      </w:r>
      <w:r>
        <w:rPr/>
        <w:t xml:space="preserve"> without </w:t>
      </w:r>
      <w:r>
        <w:rPr>
          <w:b/>
          <w:u w:val="double"/>
        </w:rPr>
        <w:t>Subcontractor’s</w:t>
      </w:r>
      <w:r>
        <w:rPr/>
        <w:t xml:space="preserve"> further consent </w:t>
      </w:r>
      <w:r>
        <w:rPr>
          <w:strike/>
        </w:rPr>
        <w:t>&lt;of any Subcontractor,&gt;</w:t>
      </w:r>
      <w:r>
        <w:rPr/>
        <w:t xml:space="preserve"> following </w:t>
      </w:r>
      <w:r>
        <w:rPr>
          <w:strike/>
        </w:rPr>
        <w:t>&lt;any&gt;</w:t>
      </w:r>
      <w:r>
        <w:rPr/>
        <w:t xml:space="preserve"> termination of this Agreement, provided that any assignee assumes all of Contractor’s obligations under such Key Subcontract accruing after the date of assignment.</w:t>
      </w:r>
    </w:p>
    <w:p>
      <w:pPr>
        <w:pStyle w:val="BodyText"/>
        <w:bidi w:val="0"/>
        <w:rPr>
          <w:rFonts w:ascii="Times New Roman" w:hAnsi="Times New Roman"/>
        </w:rPr>
      </w:pPr>
      <w:r>
        <w:rPr/>
      </w:r>
    </w:p>
    <w:p>
      <w:pPr>
        <w:pStyle w:val="Style2toc"/>
        <w:bidi w:val="0"/>
        <w:rPr>
          <w:rFonts w:ascii="Times New Roman" w:hAnsi="Times New Roman"/>
        </w:rPr>
      </w:pPr>
      <w:r>
        <w:rPr/>
        <w:t>2.4</w:t>
        <w:tab/>
      </w:r>
      <w:r>
        <w:rPr>
          <w:u w:val="single"/>
        </w:rPr>
        <w:t>Key Subcontracts</w:t>
      </w:r>
      <w:r>
        <w:fldChar w:fldCharType="begin"/>
      </w:r>
      <w:r>
        <w:rPr>
          <w:u w:val="single"/>
          <w:vanish/>
        </w:rPr>
        <w:instrText xml:space="preserve"> TC "2.4</w:instrText>
        <w:tab/>
        <w:instrText xml:space="preserve">Key Subcontracts672" \l 1 </w:instrText>
      </w:r>
      <w:r>
        <w:rPr>
          <w:u w:val="single"/>
          <w:vanish/>
        </w:rPr>
        <w:fldChar w:fldCharType="separate"/>
      </w:r>
      <w:bookmarkStart w:id="20" w:name="_Toc493577439"/>
      <w:bookmarkStart w:id="21" w:name="_Toc497198890"/>
      <w:bookmarkStart w:id="22" w:name="_Toc496784845"/>
      <w:bookmarkStart w:id="23" w:name="_Toc496784568"/>
      <w:bookmarkEnd w:id="20"/>
      <w:bookmarkEnd w:id="21"/>
      <w:bookmarkEnd w:id="22"/>
      <w:bookmarkEnd w:id="23"/>
      <w:r>
        <w:rPr>
          <w:vanish/>
          <w:u w:val="single"/>
        </w:rPr>
      </w:r>
      <w:r>
        <w:rPr>
          <w:u w:val="single"/>
          <w:vanish/>
        </w:rPr>
        <w:fldChar w:fldCharType="end"/>
      </w:r>
      <w:r>
        <w:rPr>
          <w:strike/>
        </w:rPr>
        <w:t>&lt;&lt;*&gt;&gt;</w:t>
      </w:r>
      <w:r>
        <w:rPr/>
        <w:t xml:space="preserve">.    Owner shall have the right of prior approval of Subcontractors for </w:t>
      </w:r>
      <w:r>
        <w:rPr>
          <w:strike/>
        </w:rPr>
        <w:t>&lt;certain&gt;</w:t>
      </w:r>
      <w:r>
        <w:rPr/>
        <w:t xml:space="preserve"> </w:t>
      </w:r>
      <w:r>
        <w:rPr>
          <w:b/>
          <w:u w:val="double"/>
        </w:rPr>
        <w:t>all</w:t>
      </w:r>
      <w:r>
        <w:rPr/>
        <w:t xml:space="preserve"> items of Work </w:t>
      </w:r>
      <w:r>
        <w:rPr>
          <w:strike/>
        </w:rPr>
        <w:t>&lt;which are&gt;</w:t>
      </w:r>
      <w:r>
        <w:rPr/>
        <w:t xml:space="preserve"> listed in </w:t>
      </w:r>
      <w:r>
        <w:rPr>
          <w:u w:val="single"/>
        </w:rPr>
        <w:t>Exhibit L</w:t>
      </w:r>
      <w:r>
        <w:rPr/>
        <w:t xml:space="preserve"> (the “Key Work”). </w:t>
      </w:r>
      <w:r>
        <w:rPr>
          <w:u w:val="single"/>
        </w:rPr>
        <w:t>Exhibit L</w:t>
      </w:r>
      <w:r>
        <w:rPr/>
        <w:t xml:space="preserve"> also contains a list of potential Subcontractors which Contractor and Owner have </w:t>
      </w:r>
      <w:r>
        <w:rPr>
          <w:strike/>
        </w:rPr>
        <w:t>&lt;agreed are&gt;</w:t>
      </w:r>
      <w:r>
        <w:rPr/>
        <w:t xml:space="preserve"> approved for </w:t>
      </w:r>
      <w:r>
        <w:rPr>
          <w:strike/>
        </w:rPr>
        <w:t>&lt;the&gt;</w:t>
      </w:r>
      <w:r>
        <w:rPr/>
        <w:t xml:space="preserve"> Key Work.    In the event </w:t>
      </w:r>
      <w:r>
        <w:rPr>
          <w:strike/>
        </w:rPr>
        <w:t>&lt;that&gt;</w:t>
      </w:r>
      <w:r>
        <w:rPr/>
        <w:t xml:space="preserve"> Contractor is considering </w:t>
      </w:r>
      <w:r>
        <w:rPr>
          <w:strike/>
        </w:rPr>
        <w:t>&lt;the&gt;</w:t>
      </w:r>
      <w:r>
        <w:rPr/>
        <w:t xml:space="preserve"> selection of a Person not listed as an approved </w:t>
      </w:r>
      <w:r>
        <w:rPr>
          <w:strike/>
        </w:rPr>
        <w:t>&lt;subcontractor&gt;</w:t>
      </w:r>
      <w:r>
        <w:rPr/>
        <w:t xml:space="preserve"> </w:t>
      </w:r>
      <w:r>
        <w:rPr>
          <w:b/>
          <w:u w:val="double"/>
        </w:rPr>
        <w:t>Subcontractor</w:t>
      </w:r>
      <w:r>
        <w:rPr/>
        <w:t xml:space="preserve"> on </w:t>
      </w:r>
      <w:r>
        <w:rPr>
          <w:u w:val="single"/>
        </w:rPr>
        <w:t>Exhibit L</w:t>
      </w:r>
      <w:r>
        <w:rPr/>
        <w:t xml:space="preserve"> for an item of Key Work, then Contractor shall notify Owner of the proposed Subcontractor at the earliest practical point in the selection process and furnish to Owner all information reasonably requested by Owner with respect to Contractor’s selection criteria.    Contractor shall request, in writing, Owner’s consent for Contractor to enter into a Subcontract with a Person not named on </w:t>
      </w:r>
      <w:r>
        <w:rPr>
          <w:u w:val="single"/>
        </w:rPr>
        <w:t>Exhibit L</w:t>
      </w:r>
      <w:r>
        <w:rPr/>
        <w:t xml:space="preserve"> as an approved </w:t>
      </w:r>
      <w:r>
        <w:rPr>
          <w:strike/>
        </w:rPr>
        <w:t>&lt;subcontractor&gt;</w:t>
      </w:r>
      <w:r>
        <w:rPr/>
        <w:t xml:space="preserve"> </w:t>
      </w:r>
      <w:r>
        <w:rPr>
          <w:b/>
          <w:u w:val="double"/>
        </w:rPr>
        <w:t>Subcontractor</w:t>
      </w:r>
      <w:r>
        <w:rPr/>
        <w:t xml:space="preserve"> for performance of an item of Key Work.    Owner </w:t>
      </w:r>
      <w:r>
        <w:rPr>
          <w:strike/>
        </w:rPr>
        <w:t>&lt;must&gt;</w:t>
      </w:r>
      <w:r>
        <w:rPr/>
        <w:t xml:space="preserve"> </w:t>
      </w:r>
      <w:r>
        <w:rPr>
          <w:b/>
          <w:u w:val="double"/>
        </w:rPr>
        <w:t>will</w:t>
      </w:r>
      <w:r>
        <w:rPr/>
        <w:t xml:space="preserve"> respond to Contractor’s request for its consent within ten (10) </w:t>
      </w:r>
      <w:r>
        <w:rPr>
          <w:strike/>
        </w:rPr>
        <w:t>&lt;business days&gt;</w:t>
      </w:r>
      <w:r>
        <w:rPr/>
        <w:t xml:space="preserve"> </w:t>
      </w:r>
      <w:r>
        <w:rPr>
          <w:b/>
          <w:u w:val="double"/>
        </w:rPr>
        <w:t>Business Days</w:t>
      </w:r>
      <w:r>
        <w:rPr/>
        <w:t xml:space="preserve"> after receipt of the request and </w:t>
      </w:r>
      <w:r>
        <w:rPr>
          <w:strike/>
        </w:rPr>
        <w:t>&lt;the&gt;</w:t>
      </w:r>
      <w:r>
        <w:rPr/>
        <w:t xml:space="preserve"> </w:t>
      </w:r>
      <w:r>
        <w:rPr>
          <w:b/>
          <w:u w:val="double"/>
        </w:rPr>
        <w:t>all</w:t>
      </w:r>
      <w:r>
        <w:rPr/>
        <w:t xml:space="preserve"> information described above in this </w:t>
      </w:r>
      <w:r>
        <w:rPr>
          <w:strike/>
        </w:rPr>
        <w:t>&lt;paragraph&gt;</w:t>
      </w:r>
      <w:r>
        <w:rPr/>
        <w:t xml:space="preserve"> </w:t>
      </w:r>
      <w:r>
        <w:rPr>
          <w:b/>
          <w:u w:val="double"/>
        </w:rPr>
        <w:t>Section</w:t>
      </w:r>
      <w:r>
        <w:rPr/>
        <w:t xml:space="preserve"> 2.4.    If Owner fails to timely respond to Contractor’s request, then Contractor shall have the right to execute </w:t>
      </w:r>
      <w:r>
        <w:rPr>
          <w:strike/>
        </w:rPr>
        <w:t>&lt;such&gt;</w:t>
      </w:r>
      <w:r>
        <w:rPr/>
        <w:t xml:space="preserve"> </w:t>
      </w:r>
      <w:r>
        <w:rPr>
          <w:b/>
          <w:u w:val="double"/>
        </w:rPr>
        <w:t>the</w:t>
      </w:r>
      <w:r>
        <w:rPr/>
        <w:t xml:space="preserve"> Subcontract with the proposed Subcontractor </w:t>
      </w:r>
      <w:r>
        <w:rPr>
          <w:strike/>
        </w:rPr>
        <w:t>&lt;for the performance of Key Work&gt;</w:t>
      </w:r>
      <w:r>
        <w:rPr/>
        <w:t xml:space="preserve">.    If Owner has refused to consent to the proposed Subcontractor, then Contractor shall not enter into a Subcontract with </w:t>
      </w:r>
      <w:r>
        <w:rPr>
          <w:strike/>
        </w:rPr>
        <w:t>&lt;such&gt;</w:t>
      </w:r>
      <w:r>
        <w:rPr/>
        <w:t xml:space="preserve"> </w:t>
      </w:r>
      <w:r>
        <w:rPr>
          <w:b/>
          <w:u w:val="double"/>
        </w:rPr>
        <w:t>the</w:t>
      </w:r>
      <w:r>
        <w:rPr/>
        <w:t xml:space="preserve"> proposed Subcontractor </w:t>
      </w:r>
      <w:r>
        <w:rPr>
          <w:strike/>
        </w:rPr>
        <w:t>&lt;for such item of Key Work&gt;</w:t>
      </w:r>
      <w:r>
        <w:rPr/>
        <w:t>.</w:t>
      </w:r>
    </w:p>
    <w:p>
      <w:pPr>
        <w:pStyle w:val="BodyText"/>
        <w:bidi w:val="0"/>
        <w:rPr>
          <w:rFonts w:ascii="Times New Roman" w:hAnsi="Times New Roman"/>
        </w:rPr>
      </w:pPr>
      <w:r>
        <w:rPr/>
      </w:r>
    </w:p>
    <w:p>
      <w:pPr>
        <w:pStyle w:val="Style1toc"/>
        <w:keepNext w:val="true"/>
        <w:bidi w:val="0"/>
        <w:rPr>
          <w:rFonts w:ascii="Times New Roman" w:hAnsi="Times New Roman"/>
        </w:rPr>
      </w:pPr>
      <w:r>
        <w:rPr/>
        <w:t>ARTICLE 3</w:t>
      </w:r>
      <w:r>
        <w:fldChar w:fldCharType="begin"/>
      </w:r>
      <w:r>
        <w:rPr>
          <w:vanish/>
        </w:rPr>
        <w:instrText xml:space="preserve"> TC "ARTICLE 3  CONTRACTOR’S RESPONSIBILITIES671" \l 1 </w:instrText>
      </w:r>
      <w:r>
        <w:rPr>
          <w:vanish/>
        </w:rPr>
        <w:fldChar w:fldCharType="separate"/>
      </w:r>
      <w:bookmarkStart w:id="24" w:name="_Toc493577440"/>
      <w:bookmarkStart w:id="25" w:name="_Toc496784569"/>
      <w:bookmarkStart w:id="26" w:name="_Toc496784846"/>
      <w:bookmarkStart w:id="27" w:name="_Toc497198891"/>
      <w:bookmarkEnd w:id="24"/>
      <w:bookmarkEnd w:id="25"/>
      <w:bookmarkEnd w:id="26"/>
      <w:bookmarkEnd w:id="27"/>
      <w:r>
        <w:rPr>
          <w:vanish/>
        </w:rPr>
      </w:r>
      <w:r>
        <w:rPr>
          <w:vanish/>
        </w:rPr>
        <w:fldChar w:fldCharType="end"/>
      </w:r>
      <w:r>
        <w:rPr>
          <w:strike/>
        </w:rPr>
        <w:t>&lt;&lt;*&gt;&gt;</w:t>
      </w:r>
    </w:p>
    <w:p>
      <w:pPr>
        <w:pStyle w:val="Style1toc"/>
        <w:bidi w:val="0"/>
        <w:rPr>
          <w:rFonts w:ascii="Times New Roman" w:hAnsi="Times New Roman"/>
        </w:rPr>
      </w:pPr>
      <w:r>
        <w:rPr/>
        <w:t>CONTRACTOR’S RESPONSIBILITIES</w:t>
      </w:r>
    </w:p>
    <w:p>
      <w:pPr>
        <w:pStyle w:val="BodyText"/>
        <w:keepNext w:val="true"/>
        <w:bidi w:val="0"/>
        <w:rPr>
          <w:rFonts w:ascii="Times New Roman" w:hAnsi="Times New Roman"/>
        </w:rPr>
      </w:pPr>
      <w:r>
        <w:rPr/>
      </w:r>
    </w:p>
    <w:p>
      <w:pPr>
        <w:pStyle w:val="Style2toc"/>
        <w:bidi w:val="0"/>
        <w:rPr>
          <w:rFonts w:ascii="Times New Roman" w:hAnsi="Times New Roman"/>
        </w:rPr>
      </w:pPr>
      <w:r>
        <w:rPr/>
        <w:t>3.1</w:t>
        <w:tab/>
      </w:r>
      <w:r>
        <w:rPr>
          <w:u w:val="single"/>
        </w:rPr>
        <w:t>Scope of Work</w:t>
      </w:r>
      <w:r>
        <w:fldChar w:fldCharType="begin"/>
      </w:r>
      <w:r>
        <w:rPr>
          <w:u w:val="single"/>
          <w:vanish/>
        </w:rPr>
        <w:instrText xml:space="preserve"> TC "3.1</w:instrText>
        <w:tab/>
        <w:instrText xml:space="preserve">Scope of Work672" \l 1 </w:instrText>
      </w:r>
      <w:r>
        <w:rPr>
          <w:u w:val="single"/>
          <w:vanish/>
        </w:rPr>
        <w:fldChar w:fldCharType="separate"/>
      </w:r>
      <w:bookmarkStart w:id="28" w:name="_Toc493577441"/>
      <w:bookmarkStart w:id="29" w:name="_Toc497198892"/>
      <w:bookmarkStart w:id="30" w:name="_Toc496784847"/>
      <w:bookmarkStart w:id="31" w:name="_Toc496784570"/>
      <w:bookmarkEnd w:id="28"/>
      <w:bookmarkEnd w:id="29"/>
      <w:bookmarkEnd w:id="30"/>
      <w:bookmarkEnd w:id="31"/>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2"/>
        <w:bidi w:val="0"/>
        <w:rPr>
          <w:rFonts w:ascii="Times New Roman" w:hAnsi="Times New Roman"/>
          <w:u w:val="single"/>
        </w:rPr>
      </w:pPr>
      <w:r>
        <w:rPr/>
        <w:t>3.1.1</w:t>
        <w:tab/>
      </w:r>
      <w:r>
        <w:rPr>
          <w:u w:val="single"/>
        </w:rPr>
        <w:t>General Description of Work</w:t>
      </w:r>
      <w:r>
        <w:rPr/>
        <w:t>.    Contractor shall procure and supply the Equipment and design, engineer</w:t>
      </w:r>
      <w:r>
        <w:rPr>
          <w:strike/>
        </w:rPr>
        <w:t>&lt;, procure,&gt;</w:t>
      </w:r>
      <w:r>
        <w:rPr/>
        <w:t xml:space="preserve"> and construct the complete Facility (including completion of civil </w:t>
      </w:r>
      <w:r>
        <w:rPr>
          <w:strike/>
        </w:rPr>
        <w:t>&lt;works&gt;</w:t>
      </w:r>
      <w:r>
        <w:rPr/>
        <w:t xml:space="preserve"> </w:t>
      </w:r>
      <w:r>
        <w:rPr>
          <w:b/>
          <w:u w:val="double"/>
        </w:rPr>
        <w:t>work</w:t>
      </w:r>
      <w:r>
        <w:rPr/>
        <w:t xml:space="preserve"> and the start-up, commissioning and testing of the Facility) so that the Facility complies with the requirements set forth in this Agreement and all applicable Laws and Governmental Authorizations.    Contractor shall furnish, undertake, provide or cause to be provided, in a good and workmanlike manner, the Equipment, Contractor’s Equipment and all services, supervision, testing, labor and personnel necessary to design, engineer, procure, construct, start-up, commission, and test the Facility in accordance with the published recommendations of the original Equipment manufacturers, Governmental Authorizations, the requirements set forth in the instruments granting Owner and Contractor rights to the Site, applicable Laws, GIP, and the provisions of this Agreement. Where this Agreement describes the Scope of Work in general terms, but not in complete detail, it is understood and agreed that the Scope of Work includes any incidental work which can be reasonably inferred as required and necessary to procure and supply the Equipment and complete the Facility in accordance with this Agreement.    Scope of Work also includes </w:t>
      </w:r>
      <w:r>
        <w:rPr>
          <w:strike/>
        </w:rPr>
        <w:t>&lt;the&gt;</w:t>
      </w:r>
      <w:r>
        <w:rPr/>
        <w:t xml:space="preserve"> completion of all items set forth on </w:t>
      </w:r>
      <w:r>
        <w:rPr>
          <w:u w:val="single"/>
        </w:rPr>
        <w:t>Exhibit B-1</w:t>
      </w:r>
      <w:r>
        <w:rPr/>
        <w:t xml:space="preserve">.    In the event of any conflict or inconsistency between the requirements of this Agreement that require a higher standard than GIP, the requirements of this Agreement shall prevail.    Contractor shall design the Facility so that it can be operated by the number and type of </w:t>
      </w:r>
      <w:r>
        <w:rPr>
          <w:strike/>
        </w:rPr>
        <w:t>&lt;Operator&gt;</w:t>
      </w:r>
      <w:r>
        <w:rPr/>
        <w:t xml:space="preserve"> </w:t>
      </w:r>
      <w:r>
        <w:rPr>
          <w:b/>
          <w:u w:val="double"/>
        </w:rPr>
        <w:t>operational</w:t>
      </w:r>
      <w:r>
        <w:rPr/>
        <w:t xml:space="preserve"> personnel outlined in </w:t>
      </w:r>
      <w:r>
        <w:rPr>
          <w:u w:val="single"/>
        </w:rPr>
        <w:t>Exhibit B-1</w:t>
      </w:r>
      <w:r>
        <w:rPr/>
        <w:t xml:space="preserve">, </w:t>
      </w:r>
      <w:r>
        <w:rPr>
          <w:strike/>
        </w:rPr>
        <w:t>&lt;Section 3.3.1&gt;</w:t>
      </w:r>
      <w:r>
        <w:rPr/>
        <w:t xml:space="preserve"> </w:t>
      </w:r>
      <w:r>
        <w:rPr>
          <w:b/>
          <w:u w:val="double"/>
        </w:rPr>
        <w:t>Section _____</w:t>
      </w:r>
      <w:r>
        <w:rPr/>
        <w:t>.</w:t>
      </w:r>
    </w:p>
    <w:p>
      <w:pPr>
        <w:pStyle w:val="BodyText"/>
        <w:bidi w:val="0"/>
        <w:rPr>
          <w:rFonts w:ascii="Times New Roman" w:hAnsi="Times New Roman"/>
        </w:rPr>
      </w:pPr>
      <w:r>
        <w:rPr/>
      </w:r>
    </w:p>
    <w:p>
      <w:pPr>
        <w:pStyle w:val="BodyText2"/>
        <w:bidi w:val="0"/>
        <w:rPr>
          <w:rFonts w:ascii="Times New Roman" w:hAnsi="Times New Roman"/>
        </w:rPr>
      </w:pPr>
      <w:r>
        <w:rPr/>
        <w:t>3.1.2</w:t>
        <w:tab/>
      </w:r>
      <w:r>
        <w:rPr>
          <w:u w:val="single"/>
        </w:rPr>
        <w:t>Specific Responsibilities</w:t>
      </w:r>
      <w:r>
        <w:rPr/>
        <w:t>.    Without limiting the generality of Section 3.1.1 or any other provision of this Agreement Contractor shall design, engineer, procure, construct, start-up, test</w:t>
      </w:r>
      <w:r>
        <w:rPr>
          <w:strike/>
        </w:rPr>
        <w:t>&lt;,&gt;</w:t>
      </w:r>
      <w:r>
        <w:rPr/>
        <w:t xml:space="preserve"> and commission the Facility such that it meets the requirements of Mechanical Completion, Substantial Completion and Final Completion, and except as the following is limited by Article 4, Contractor shall:</w:t>
      </w:r>
    </w:p>
    <w:p>
      <w:pPr>
        <w:pStyle w:val="BodyText"/>
        <w:bidi w:val="0"/>
        <w:rPr>
          <w:rFonts w:ascii="Times New Roman" w:hAnsi="Times New Roman"/>
        </w:rPr>
      </w:pPr>
      <w:r>
        <w:rPr/>
      </w:r>
    </w:p>
    <w:p>
      <w:pPr>
        <w:pStyle w:val="BodyTextIndent2"/>
        <w:bidi w:val="0"/>
        <w:rPr>
          <w:rFonts w:ascii="Times New Roman" w:hAnsi="Times New Roman"/>
        </w:rPr>
      </w:pPr>
      <w:r>
        <w:rPr/>
        <w:t>3.1.2.1</w:t>
        <w:tab/>
        <w:t>prepare a conceptual design and the integrated detailed design of the entire Facility such that the Facility when constructed in accordance with such design and upon installation of the Equipment will conform to the Specifications and the Scope of Work and meets the requirements described in this Agreement;</w:t>
      </w:r>
    </w:p>
    <w:p>
      <w:pPr>
        <w:pStyle w:val="BodyText"/>
        <w:bidi w:val="0"/>
        <w:rPr>
          <w:rFonts w:ascii="Times New Roman" w:hAnsi="Times New Roman"/>
        </w:rPr>
      </w:pPr>
      <w:r>
        <w:rPr/>
      </w:r>
    </w:p>
    <w:p>
      <w:pPr>
        <w:pStyle w:val="BodyTextIndent2"/>
        <w:bidi w:val="0"/>
        <w:rPr>
          <w:rFonts w:ascii="Times New Roman" w:hAnsi="Times New Roman"/>
        </w:rPr>
      </w:pPr>
      <w:r>
        <w:rPr/>
        <w:t>3.1.2.2</w:t>
        <w:tab/>
        <w:t xml:space="preserve">perform any required improvements to the Site necessary for </w:t>
      </w:r>
      <w:r>
        <w:rPr>
          <w:strike/>
        </w:rPr>
        <w:t>&lt;the&gt;</w:t>
      </w:r>
      <w:r>
        <w:rPr/>
        <w:t xml:space="preserve"> completion of the Facility in accordance with this Agreement;</w:t>
      </w:r>
    </w:p>
    <w:p>
      <w:pPr>
        <w:pStyle w:val="BodyText"/>
        <w:bidi w:val="0"/>
        <w:rPr>
          <w:rFonts w:ascii="Times New Roman" w:hAnsi="Times New Roman"/>
        </w:rPr>
      </w:pPr>
      <w:r>
        <w:rPr/>
      </w:r>
    </w:p>
    <w:p>
      <w:pPr>
        <w:pStyle w:val="BodyTextIndent2"/>
        <w:bidi w:val="0"/>
        <w:rPr>
          <w:rFonts w:ascii="Times New Roman" w:hAnsi="Times New Roman"/>
        </w:rPr>
      </w:pPr>
      <w:r>
        <w:rPr/>
        <w:t>3.1.2.3</w:t>
        <w:tab/>
        <w:t xml:space="preserve">procure and supply all Equipment which shall be new, unused and meet or exceed GIP, expedite and transport the Equipment to the Site, perform receipt and inventory at the Site to ensure equipment is received in undamaged condition and ensure the proper handling and storage of same, </w:t>
      </w:r>
      <w:r>
        <w:rPr>
          <w:b/>
          <w:u w:val="double"/>
        </w:rPr>
        <w:t>all</w:t>
      </w:r>
      <w:r>
        <w:rPr/>
        <w:t xml:space="preserve"> consistent with GIP;</w:t>
      </w:r>
    </w:p>
    <w:p>
      <w:pPr>
        <w:pStyle w:val="BodyText"/>
        <w:bidi w:val="0"/>
        <w:rPr>
          <w:rFonts w:ascii="Times New Roman" w:hAnsi="Times New Roman"/>
        </w:rPr>
      </w:pPr>
      <w:r>
        <w:rPr/>
      </w:r>
    </w:p>
    <w:p>
      <w:pPr>
        <w:pStyle w:val="BodyTextIndent2"/>
        <w:bidi w:val="0"/>
        <w:rPr>
          <w:rFonts w:ascii="Times New Roman" w:hAnsi="Times New Roman"/>
        </w:rPr>
      </w:pPr>
      <w:r>
        <w:rPr/>
        <w:t>3.1.2.4</w:t>
        <w:tab/>
        <w:t xml:space="preserve">provide management, Contractor’s Equipment, construction utilities and consumables, including lubricants, chemicals, welding rods and construction equipment fuel necessary for </w:t>
      </w:r>
      <w:r>
        <w:rPr>
          <w:strike/>
        </w:rPr>
        <w:t>&lt;the&gt;</w:t>
      </w:r>
      <w:r>
        <w:rPr/>
        <w:t xml:space="preserve"> construction of the Facility in accordance with this Agreement except for those items to be furnished by Owner as set forth in </w:t>
      </w:r>
      <w:r>
        <w:rPr>
          <w:strike/>
        </w:rPr>
        <w:t>&lt;Section 4.2&gt;</w:t>
      </w:r>
      <w:r>
        <w:rPr/>
        <w:t xml:space="preserve"> </w:t>
      </w:r>
      <w:r>
        <w:rPr>
          <w:b/>
          <w:u w:val="double"/>
        </w:rPr>
        <w:t>Section 4.1</w:t>
      </w:r>
      <w:r>
        <w:rPr/>
        <w:t>:</w:t>
      </w:r>
    </w:p>
    <w:p>
      <w:pPr>
        <w:pStyle w:val="BodyText"/>
        <w:bidi w:val="0"/>
        <w:rPr>
          <w:rFonts w:ascii="Times New Roman" w:hAnsi="Times New Roman"/>
        </w:rPr>
      </w:pPr>
      <w:r>
        <w:rPr/>
      </w:r>
    </w:p>
    <w:p>
      <w:pPr>
        <w:pStyle w:val="BodyTextIndent2"/>
        <w:bidi w:val="0"/>
        <w:rPr>
          <w:rFonts w:ascii="Times New Roman" w:hAnsi="Times New Roman"/>
        </w:rPr>
      </w:pPr>
      <w:r>
        <w:rPr/>
        <w:t>3.1.2.5</w:t>
        <w:tab/>
        <w:t>not used;</w:t>
      </w:r>
    </w:p>
    <w:p>
      <w:pPr>
        <w:pStyle w:val="BodyText"/>
        <w:bidi w:val="0"/>
        <w:rPr>
          <w:rFonts w:ascii="Times New Roman" w:hAnsi="Times New Roman"/>
        </w:rPr>
      </w:pPr>
      <w:r>
        <w:rPr/>
      </w:r>
    </w:p>
    <w:p>
      <w:pPr>
        <w:pStyle w:val="BodyTextIndent2"/>
        <w:bidi w:val="0"/>
        <w:rPr>
          <w:rFonts w:ascii="Times New Roman" w:hAnsi="Times New Roman"/>
        </w:rPr>
      </w:pPr>
      <w:r>
        <w:rPr/>
        <w:t>3.1.2.6</w:t>
        <w:tab/>
        <w:t xml:space="preserve">conduct the training described in </w:t>
      </w:r>
      <w:r>
        <w:rPr>
          <w:u w:val="single"/>
        </w:rPr>
        <w:t>Exhibit O</w:t>
      </w:r>
      <w:r>
        <w:rPr/>
        <w:t>;</w:t>
      </w:r>
    </w:p>
    <w:p>
      <w:pPr>
        <w:pStyle w:val="BodyText"/>
        <w:bidi w:val="0"/>
        <w:rPr>
          <w:rFonts w:ascii="Times New Roman" w:hAnsi="Times New Roman"/>
        </w:rPr>
      </w:pPr>
      <w:r>
        <w:rPr/>
      </w:r>
    </w:p>
    <w:p>
      <w:pPr>
        <w:pStyle w:val="BodyTextIndent2"/>
        <w:bidi w:val="0"/>
        <w:rPr>
          <w:rFonts w:ascii="Times New Roman" w:hAnsi="Times New Roman"/>
        </w:rPr>
      </w:pPr>
      <w:r>
        <w:rPr/>
        <w:t>3.1.2.7</w:t>
        <w:tab/>
        <w:t xml:space="preserve">if necessary, clear all Equipment through customs and take any other actions necessary to import any Equipment; </w:t>
      </w:r>
    </w:p>
    <w:p>
      <w:pPr>
        <w:pStyle w:val="BodyText"/>
        <w:bidi w:val="0"/>
        <w:rPr>
          <w:rFonts w:ascii="Times New Roman" w:hAnsi="Times New Roman"/>
        </w:rPr>
      </w:pPr>
      <w:r>
        <w:rPr/>
      </w:r>
    </w:p>
    <w:p>
      <w:pPr>
        <w:pStyle w:val="BodyTextIndent2"/>
        <w:bidi w:val="0"/>
        <w:rPr>
          <w:rFonts w:ascii="Times New Roman" w:hAnsi="Times New Roman"/>
        </w:rPr>
      </w:pPr>
      <w:r>
        <w:rPr/>
        <w:t>3.1.2.8</w:t>
        <w:tab/>
        <w:t xml:space="preserve">prepare detailed Performance Test </w:t>
      </w:r>
      <w:r>
        <w:rPr>
          <w:strike/>
        </w:rPr>
        <w:t>&lt;and EPC Reliability Test&gt;</w:t>
      </w:r>
      <w:r>
        <w:rPr/>
        <w:t xml:space="preserve"> procedures in accordance with </w:t>
      </w:r>
      <w:r>
        <w:rPr>
          <w:u w:val="single"/>
        </w:rPr>
        <w:t>Exhibit E-3</w:t>
      </w:r>
      <w:r>
        <w:rPr/>
        <w:t xml:space="preserve"> which procedures shall be used for the Performance Tests </w:t>
      </w:r>
      <w:r>
        <w:rPr>
          <w:strike/>
        </w:rPr>
        <w:t>&lt;and the EPC Reliability Tests&gt;</w:t>
      </w:r>
      <w:r>
        <w:rPr/>
        <w:t>; and</w:t>
      </w:r>
    </w:p>
    <w:p>
      <w:pPr>
        <w:pStyle w:val="BodyText"/>
        <w:bidi w:val="0"/>
        <w:rPr>
          <w:rFonts w:ascii="Times New Roman" w:hAnsi="Times New Roman"/>
        </w:rPr>
      </w:pPr>
      <w:r>
        <w:rPr/>
      </w:r>
    </w:p>
    <w:p>
      <w:pPr>
        <w:pStyle w:val="BodyTextIndent2"/>
        <w:bidi w:val="0"/>
        <w:rPr>
          <w:rFonts w:ascii="Times New Roman" w:hAnsi="Times New Roman"/>
        </w:rPr>
      </w:pPr>
      <w:r>
        <w:rPr/>
        <w:t>3.1.2.9</w:t>
        <w:tab/>
        <w:t xml:space="preserve">prepare start-up and commissioning procedures. </w:t>
      </w:r>
    </w:p>
    <w:p>
      <w:pPr>
        <w:pStyle w:val="BodyText"/>
        <w:bidi w:val="0"/>
        <w:rPr>
          <w:rFonts w:ascii="Times New Roman" w:hAnsi="Times New Roman"/>
        </w:rPr>
      </w:pPr>
      <w:r>
        <w:rPr/>
      </w:r>
    </w:p>
    <w:p>
      <w:pPr>
        <w:pStyle w:val="BodyText"/>
        <w:bidi w:val="0"/>
        <w:ind w:firstLine="720" w:start="720"/>
        <w:rPr>
          <w:rFonts w:ascii="Times New Roman" w:hAnsi="Times New Roman"/>
        </w:rPr>
      </w:pPr>
      <w:r>
        <w:rPr>
          <w:b/>
          <w:u w:val="double"/>
        </w:rPr>
        <w:t>[</w:t>
      </w:r>
      <w:r>
        <w:rPr>
          <w:b/>
        </w:rPr>
        <w:t>3.1.3</w:t>
        <w:tab/>
      </w:r>
      <w:r>
        <w:rPr>
          <w:b/>
          <w:u w:val="single"/>
        </w:rPr>
        <w:t xml:space="preserve">Compliance with </w:t>
      </w:r>
      <w:r>
        <w:rPr>
          <w:b/>
          <w:strike/>
          <w:u w:val="single"/>
        </w:rPr>
        <w:t>&lt;Presiding Members’ Final Decision&gt;</w:t>
      </w:r>
      <w:r>
        <w:rPr>
          <w:b/>
          <w:u w:val="single"/>
        </w:rPr>
        <w:t xml:space="preserve"> </w:t>
      </w:r>
      <w:r>
        <w:rPr>
          <w:b/>
          <w:u w:val="double"/>
        </w:rPr>
        <w:t>Permitting and Licensing Requirements</w:t>
      </w:r>
      <w:r>
        <w:rPr>
          <w:b/>
        </w:rPr>
        <w:t xml:space="preserve">.    Contractor shall comply with the </w:t>
      </w:r>
      <w:r>
        <w:rPr>
          <w:b/>
          <w:strike/>
        </w:rPr>
        <w:t>&lt;Presiding Members’ Final Decision on the Application for Certification to the CEC. Contractor has received the Presiding Members’ Preliminary Decision dated as of July 18, 2000 and has established the Contract Price, the Guaranteed Completion Date and Project Schedule Summary based on the Preliminary Decision. If the Presiding Members’ Final Decision creates rights or obligations that materially differ from those in the Preliminary Decision, then either party shall be entitled to propose a Change Order to accommodate the material differences.&gt;</w:t>
      </w:r>
      <w:r>
        <w:rPr>
          <w:b/>
          <w:u w:val="double"/>
        </w:rPr>
        <w:t>[Insert description of any specific siting permit/license requirements that affect Contractor’s performance of the Work.]</w:t>
      </w:r>
      <w:r>
        <w:rPr>
          <w:b/>
        </w:rPr>
        <w:t xml:space="preserve">    Owner shall timely inform the </w:t>
      </w:r>
      <w:r>
        <w:rPr>
          <w:b/>
          <w:strike/>
        </w:rPr>
        <w:t>&lt;CEC&gt;</w:t>
      </w:r>
      <w:r>
        <w:rPr>
          <w:b/>
        </w:rPr>
        <w:t xml:space="preserve"> </w:t>
      </w:r>
      <w:r>
        <w:rPr>
          <w:b/>
          <w:u w:val="double"/>
        </w:rPr>
        <w:t>Permitting Agency</w:t>
      </w:r>
      <w:r>
        <w:rPr>
          <w:b/>
        </w:rPr>
        <w:t xml:space="preserve"> that it has retained Contractor </w:t>
      </w:r>
      <w:r>
        <w:rPr>
          <w:b/>
          <w:u w:val="double"/>
        </w:rPr>
        <w:t>[if required]</w:t>
      </w:r>
      <w:r>
        <w:rPr>
          <w:b/>
        </w:rPr>
        <w:t xml:space="preserve">.    Contractor acknowledges that it will need to communicate directly with the </w:t>
      </w:r>
      <w:r>
        <w:rPr>
          <w:b/>
          <w:strike/>
        </w:rPr>
        <w:t>&lt;CEC&gt;</w:t>
      </w:r>
      <w:r>
        <w:rPr>
          <w:b/>
        </w:rPr>
        <w:t xml:space="preserve"> </w:t>
      </w:r>
      <w:r>
        <w:rPr>
          <w:b/>
          <w:u w:val="double"/>
        </w:rPr>
        <w:t>Permitting Agency</w:t>
      </w:r>
      <w:r>
        <w:rPr>
          <w:b/>
        </w:rPr>
        <w:t xml:space="preserve">, including without limitation responding to inquiries and processing comments and directions.    Prior to the Notice to Proceed Effective Date, Owner shall coordinate all communications from and to the </w:t>
      </w:r>
      <w:r>
        <w:rPr>
          <w:b/>
          <w:strike/>
        </w:rPr>
        <w:t>&lt;CEC&gt;</w:t>
      </w:r>
      <w:r>
        <w:rPr>
          <w:b/>
        </w:rPr>
        <w:t xml:space="preserve"> </w:t>
      </w:r>
      <w:r>
        <w:rPr>
          <w:b/>
          <w:u w:val="double"/>
        </w:rPr>
        <w:t>Permitting Agency</w:t>
      </w:r>
      <w:r>
        <w:rPr>
          <w:b/>
        </w:rPr>
        <w:t xml:space="preserve">; after the Notice to Proceed Effective Date, Contractor shall coordinate such communications.    The party with coordination responsibility shall promptly deliver to the other party communications from the </w:t>
      </w:r>
      <w:r>
        <w:rPr>
          <w:b/>
          <w:strike/>
        </w:rPr>
        <w:t>&lt;CEC&gt;</w:t>
      </w:r>
      <w:r>
        <w:rPr>
          <w:b/>
        </w:rPr>
        <w:t xml:space="preserve"> </w:t>
      </w:r>
      <w:r>
        <w:rPr>
          <w:b/>
          <w:u w:val="double"/>
        </w:rPr>
        <w:t>Permitting Agency</w:t>
      </w:r>
      <w:r>
        <w:rPr>
          <w:b/>
        </w:rPr>
        <w:t xml:space="preserve"> and will give the other party an opportunity to review and comment on the coordinating party’s proposed communications to the </w:t>
      </w:r>
      <w:r>
        <w:rPr>
          <w:b/>
          <w:strike/>
        </w:rPr>
        <w:t>&lt;CEC&gt;</w:t>
      </w:r>
      <w:r>
        <w:rPr>
          <w:b/>
        </w:rPr>
        <w:t xml:space="preserve"> </w:t>
      </w:r>
      <w:r>
        <w:rPr>
          <w:b/>
          <w:u w:val="double"/>
        </w:rPr>
        <w:t>Permitting Agency</w:t>
      </w:r>
      <w:r>
        <w:rPr>
          <w:b/>
        </w:rPr>
        <w:t xml:space="preserve"> before submission to the </w:t>
      </w:r>
      <w:r>
        <w:rPr>
          <w:b/>
          <w:strike/>
        </w:rPr>
        <w:t>&lt;CEC&gt;</w:t>
      </w:r>
      <w:r>
        <w:rPr>
          <w:b/>
        </w:rPr>
        <w:t xml:space="preserve"> </w:t>
      </w:r>
      <w:r>
        <w:rPr>
          <w:b/>
          <w:u w:val="double"/>
        </w:rPr>
        <w:t>Permitting Agency</w:t>
      </w:r>
      <w:r>
        <w:rPr>
          <w:b/>
        </w:rPr>
        <w:t>, to the extent such communications may impact the other party’s performance.</w:t>
      </w:r>
      <w:r>
        <w:rPr>
          <w:b/>
          <w:u w:val="double"/>
        </w:rPr>
        <w:t>]</w:t>
      </w:r>
    </w:p>
    <w:p>
      <w:pPr>
        <w:pStyle w:val="BodyText"/>
        <w:bidi w:val="0"/>
        <w:rPr>
          <w:rFonts w:ascii="Times New Roman" w:hAnsi="Times New Roman"/>
        </w:rPr>
      </w:pPr>
      <w:r>
        <w:rPr/>
      </w:r>
    </w:p>
    <w:p>
      <w:pPr>
        <w:pStyle w:val="Style2toc"/>
        <w:bidi w:val="0"/>
        <w:rPr>
          <w:rFonts w:ascii="Times New Roman" w:hAnsi="Times New Roman"/>
        </w:rPr>
      </w:pPr>
      <w:r>
        <w:rPr/>
        <w:t>3.2</w:t>
        <w:tab/>
      </w:r>
      <w:r>
        <w:rPr>
          <w:u w:val="single"/>
        </w:rPr>
        <w:t>Spare Parts</w:t>
      </w:r>
      <w:r>
        <w:fldChar w:fldCharType="begin"/>
      </w:r>
      <w:r>
        <w:rPr>
          <w:u w:val="single"/>
          <w:vanish/>
        </w:rPr>
        <w:instrText xml:space="preserve"> TC "3.2</w:instrText>
        <w:tab/>
        <w:instrText xml:space="preserve">Spare Parts672" \l 1 </w:instrText>
      </w:r>
      <w:r>
        <w:rPr>
          <w:u w:val="single"/>
          <w:vanish/>
        </w:rPr>
        <w:fldChar w:fldCharType="separate"/>
      </w:r>
      <w:bookmarkStart w:id="32" w:name="_Toc496784571"/>
      <w:bookmarkStart w:id="33" w:name="_Toc497198893"/>
      <w:bookmarkStart w:id="34" w:name="_Toc496784848"/>
      <w:bookmarkStart w:id="35" w:name="_Toc493577442"/>
      <w:bookmarkEnd w:id="32"/>
      <w:bookmarkEnd w:id="33"/>
      <w:bookmarkEnd w:id="34"/>
      <w:bookmarkEnd w:id="35"/>
      <w:r>
        <w:rPr>
          <w:vanish/>
          <w:u w:val="single"/>
        </w:rPr>
      </w:r>
      <w:r>
        <w:rPr>
          <w:u w:val="single"/>
          <w:vanish/>
        </w:rPr>
        <w:fldChar w:fldCharType="end"/>
      </w:r>
      <w:r>
        <w:rPr>
          <w:strike/>
        </w:rPr>
        <w:t>&lt;&lt;*&gt;&gt;</w:t>
      </w:r>
      <w:r>
        <w:rPr/>
        <w:t>.</w:t>
      </w:r>
    </w:p>
    <w:p>
      <w:pPr>
        <w:pStyle w:val="BodyText"/>
        <w:keepNext w:val="true"/>
        <w:bidi w:val="0"/>
        <w:rPr>
          <w:rFonts w:ascii="Times New Roman" w:hAnsi="Times New Roman"/>
        </w:rPr>
      </w:pPr>
      <w:r>
        <w:rPr/>
      </w:r>
    </w:p>
    <w:p>
      <w:pPr>
        <w:pStyle w:val="BodyText2"/>
        <w:bidi w:val="0"/>
        <w:rPr>
          <w:rFonts w:ascii="Times New Roman" w:hAnsi="Times New Roman"/>
        </w:rPr>
      </w:pPr>
      <w:r>
        <w:rPr/>
        <w:t>3.2.1</w:t>
        <w:tab/>
      </w:r>
      <w:r>
        <w:rPr>
          <w:u w:val="single"/>
        </w:rPr>
        <w:t>Special Tools and Consumable Spare Parts</w:t>
      </w:r>
      <w:r>
        <w:rPr/>
        <w:t xml:space="preserve">.    Provided within the Contract Price are all special tools and </w:t>
      </w:r>
      <w:r>
        <w:rPr>
          <w:strike/>
        </w:rPr>
        <w:t>&lt;operating&gt;</w:t>
      </w:r>
      <w:r>
        <w:rPr/>
        <w:t xml:space="preserve"> </w:t>
      </w:r>
      <w:r>
        <w:rPr>
          <w:b/>
          <w:u w:val="double"/>
        </w:rPr>
        <w:t>consumable</w:t>
      </w:r>
      <w:r>
        <w:rPr/>
        <w:t xml:space="preserve"> spare parts necessary for the construction, start-up, commissioning and testing of the Facility prior to Substantial Completion.</w:t>
      </w:r>
    </w:p>
    <w:p>
      <w:pPr>
        <w:pStyle w:val="BodyText"/>
        <w:bidi w:val="0"/>
        <w:rPr>
          <w:rFonts w:ascii="Times New Roman" w:hAnsi="Times New Roman"/>
        </w:rPr>
      </w:pPr>
      <w:r>
        <w:rPr/>
      </w:r>
    </w:p>
    <w:p>
      <w:pPr>
        <w:pStyle w:val="BodyText2"/>
        <w:bidi w:val="0"/>
        <w:rPr>
          <w:rFonts w:ascii="Times New Roman" w:hAnsi="Times New Roman"/>
        </w:rPr>
      </w:pPr>
      <w:r>
        <w:rPr/>
        <w:t>3.2.2</w:t>
        <w:tab/>
      </w:r>
      <w:r>
        <w:rPr>
          <w:u w:val="single"/>
        </w:rPr>
        <w:t>Operating Spare Parts</w:t>
      </w:r>
      <w:r>
        <w:rPr/>
        <w:t xml:space="preserve">.    </w:t>
      </w:r>
      <w:r>
        <w:rPr>
          <w:b/>
          <w:u w:val="double"/>
        </w:rPr>
        <w:t>Contractor shall solicit from bidders for Equipment, other than the Owner Supplied Equipment, operating and maintenance spare parts lists and proposed pricing for such spare parts concurrently with the bid for such Equipment.</w:t>
      </w:r>
      <w:r>
        <w:rPr/>
        <w:t xml:space="preserve">    Contractor shall provide </w:t>
      </w:r>
      <w:r>
        <w:rPr>
          <w:strike/>
        </w:rPr>
        <w:t>&lt;such services in connection with the procurement of&gt;</w:t>
      </w:r>
      <w:r>
        <w:rPr/>
        <w:t xml:space="preserve"> </w:t>
      </w:r>
      <w:r>
        <w:rPr>
          <w:b/>
          <w:u w:val="double"/>
        </w:rPr>
        <w:t>Owner with such priced spare parts list at least ten (10) Business Days prior to the time Contractor intends to place the order for such Equipment with the successful bidder.    Owner may in its discretion enter into purchase agreements with such Subcontractor for spare parts.    Contractor shall provide appropriate support to Owner in its negotiations.    Contractor shall be responsible for receiving, inventorying, storing and handling over to Owner or Owner’s operator, as instructed by Owner, all</w:t>
      </w:r>
      <w:r>
        <w:rPr/>
        <w:t xml:space="preserve"> operating spare parts </w:t>
      </w:r>
      <w:r>
        <w:rPr>
          <w:strike/>
        </w:rPr>
        <w:t>&lt;as are specified in Exhibit N.&gt;</w:t>
      </w:r>
      <w:r>
        <w:rPr/>
        <w:t xml:space="preserve"> </w:t>
      </w:r>
      <w:r>
        <w:rPr>
          <w:b/>
          <w:u w:val="double"/>
        </w:rPr>
        <w:t>that Owner or its operator purchase under separate contract with a Subcontractor to the extent that delivery of such spare parts occurs prior to Substantial Completion.</w:t>
      </w:r>
    </w:p>
    <w:p>
      <w:pPr>
        <w:pStyle w:val="BodyText"/>
        <w:bidi w:val="0"/>
        <w:rPr>
          <w:rFonts w:ascii="Times New Roman" w:hAnsi="Times New Roman"/>
        </w:rPr>
      </w:pPr>
      <w:r>
        <w:rPr/>
      </w:r>
    </w:p>
    <w:p>
      <w:pPr>
        <w:pStyle w:val="BodyText"/>
        <w:bidi w:val="0"/>
        <w:rPr>
          <w:rFonts w:ascii="Times New Roman" w:hAnsi="Times New Roman"/>
        </w:rPr>
      </w:pPr>
      <w:r>
        <w:rPr/>
        <w:tab/>
        <w:t>3.2.3</w:t>
        <w:tab/>
      </w:r>
      <w:r>
        <w:rPr>
          <w:u w:val="single"/>
        </w:rPr>
        <w:t>Failure During Start-Up</w:t>
      </w:r>
      <w:r>
        <w:rPr/>
        <w:t xml:space="preserve">.    </w:t>
      </w:r>
      <w:r>
        <w:rPr>
          <w:strike/>
        </w:rPr>
        <w:t>&lt;Should&gt;</w:t>
      </w:r>
      <w:r>
        <w:rPr/>
        <w:t xml:space="preserve"> </w:t>
      </w:r>
      <w:r>
        <w:rPr>
          <w:b/>
          <w:u w:val="double"/>
        </w:rPr>
        <w:t>If</w:t>
      </w:r>
      <w:r>
        <w:rPr/>
        <w:t xml:space="preserve"> any Equipment </w:t>
      </w:r>
      <w:r>
        <w:rPr>
          <w:strike/>
        </w:rPr>
        <w:t>&lt;fail&gt;</w:t>
      </w:r>
      <w:r>
        <w:rPr/>
        <w:t xml:space="preserve"> </w:t>
      </w:r>
      <w:r>
        <w:rPr>
          <w:b/>
          <w:u w:val="double"/>
        </w:rPr>
        <w:t>fails</w:t>
      </w:r>
      <w:r>
        <w:rPr/>
        <w:t xml:space="preserve"> prior to Final Completion, spare parts may be withdrawn from Owner’s stock </w:t>
      </w:r>
      <w:r>
        <w:rPr>
          <w:strike/>
        </w:rPr>
        <w:t>&lt;of operations and maintenance stores and&gt;</w:t>
      </w:r>
      <w:r>
        <w:rPr/>
        <w:t xml:space="preserve"> </w:t>
      </w:r>
      <w:r>
        <w:rPr>
          <w:b/>
          <w:u w:val="double"/>
        </w:rPr>
        <w:t>to repair</w:t>
      </w:r>
      <w:r>
        <w:rPr/>
        <w:t xml:space="preserve"> the Equipment that failed </w:t>
      </w:r>
      <w:r>
        <w:rPr>
          <w:strike/>
        </w:rPr>
        <w:t>&lt;returned to operating condition&gt;</w:t>
      </w:r>
      <w:r>
        <w:rPr/>
        <w:t xml:space="preserve">.    Contractor </w:t>
      </w:r>
      <w:r>
        <w:rPr>
          <w:strike/>
        </w:rPr>
        <w:t>&lt;shall&gt;</w:t>
      </w:r>
      <w:r>
        <w:rPr/>
        <w:t xml:space="preserve"> at its cost </w:t>
      </w:r>
      <w:r>
        <w:rPr>
          <w:b/>
          <w:u w:val="double"/>
        </w:rPr>
        <w:t>shall</w:t>
      </w:r>
      <w:r>
        <w:rPr/>
        <w:t xml:space="preserve"> promptly replace all </w:t>
      </w:r>
      <w:r>
        <w:rPr>
          <w:strike/>
        </w:rPr>
        <w:t>&lt;such&gt;</w:t>
      </w:r>
      <w:r>
        <w:rPr/>
        <w:t xml:space="preserve"> withdrawn spare parts with new spare parts of the same type made by the same manufacturer.</w:t>
      </w:r>
    </w:p>
    <w:p>
      <w:pPr>
        <w:pStyle w:val="BodyText2"/>
        <w:bidi w:val="0"/>
        <w:rPr>
          <w:rFonts w:ascii="Times New Roman" w:hAnsi="Times New Roman"/>
        </w:rPr>
      </w:pPr>
      <w:r>
        <w:rPr/>
      </w:r>
    </w:p>
    <w:p>
      <w:pPr>
        <w:pStyle w:val="Style2toc"/>
        <w:bidi w:val="0"/>
        <w:rPr>
          <w:rFonts w:ascii="Times New Roman" w:hAnsi="Times New Roman"/>
        </w:rPr>
      </w:pPr>
      <w:r>
        <w:rPr/>
        <w:t>3.3</w:t>
        <w:tab/>
      </w:r>
      <w:r>
        <w:rPr>
          <w:u w:val="single"/>
        </w:rPr>
        <w:t>Compliance with Drawings and Review of Drawings and Documents</w:t>
      </w:r>
      <w:r>
        <w:fldChar w:fldCharType="begin"/>
      </w:r>
      <w:r>
        <w:rPr>
          <w:u w:val="single"/>
          <w:vanish/>
        </w:rPr>
        <w:instrText xml:space="preserve"> TC "3.3</w:instrText>
        <w:tab/>
        <w:instrText xml:space="preserve">Compliance with Drawings and Review of Drawings and Documents672" \l 1 </w:instrText>
      </w:r>
      <w:r>
        <w:rPr>
          <w:u w:val="single"/>
          <w:vanish/>
        </w:rPr>
        <w:fldChar w:fldCharType="separate"/>
      </w:r>
      <w:bookmarkStart w:id="36" w:name="_Toc497198894"/>
      <w:bookmarkStart w:id="37" w:name="_Toc496784849"/>
      <w:bookmarkStart w:id="38" w:name="_Toc496784572"/>
      <w:bookmarkStart w:id="39" w:name="_Toc493577443"/>
      <w:bookmarkEnd w:id="36"/>
      <w:bookmarkEnd w:id="37"/>
      <w:bookmarkEnd w:id="38"/>
      <w:bookmarkEnd w:id="39"/>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2"/>
        <w:bidi w:val="0"/>
        <w:rPr>
          <w:rFonts w:ascii="Times New Roman" w:hAnsi="Times New Roman"/>
        </w:rPr>
      </w:pPr>
      <w:r>
        <w:rPr/>
        <w:t>3.3.1</w:t>
        <w:tab/>
      </w:r>
      <w:r>
        <w:rPr>
          <w:u w:val="single"/>
        </w:rPr>
        <w:t>Submission by Contractor</w:t>
      </w:r>
      <w:r>
        <w:rPr/>
        <w:t xml:space="preserve">.    Contractor shall </w:t>
      </w:r>
      <w:r>
        <w:rPr>
          <w:b/>
          <w:u w:val="double"/>
        </w:rPr>
        <w:t>timely</w:t>
      </w:r>
      <w:r>
        <w:rPr/>
        <w:t xml:space="preserve"> submit to Owner</w:t>
      </w:r>
      <w:r>
        <w:rPr>
          <w:strike/>
        </w:rPr>
        <w:t>&lt;, throughout the duration of this Agreement, current&gt;</w:t>
      </w:r>
      <w:r>
        <w:rPr/>
        <w:t xml:space="preserve"> complete copies of the Facility drawing and </w:t>
      </w:r>
      <w:r>
        <w:rPr>
          <w:strike/>
        </w:rPr>
        <w:t>&lt;document lists&gt;</w:t>
      </w:r>
      <w:r>
        <w:rPr/>
        <w:t xml:space="preserve"> </w:t>
      </w:r>
      <w:r>
        <w:rPr>
          <w:b/>
          <w:u w:val="double"/>
        </w:rPr>
        <w:t>documents</w:t>
      </w:r>
      <w:r>
        <w:rPr/>
        <w:t xml:space="preserve"> for those documents listed in </w:t>
      </w:r>
      <w:r>
        <w:rPr>
          <w:u w:val="single"/>
        </w:rPr>
        <w:t>Exhibit R-2</w:t>
      </w:r>
      <w:r>
        <w:rPr>
          <w:strike/>
        </w:rPr>
        <w:t>&lt;, and Contractor shall provide or cause to be provided to Owner, within&gt;</w:t>
      </w:r>
      <w:r>
        <w:rPr>
          <w:b/>
          <w:u w:val="double"/>
        </w:rPr>
        <w:t>.    Within</w:t>
      </w:r>
      <w:r>
        <w:rPr/>
        <w:t xml:space="preserve"> thirty (30) days following the Notice to Proceed Effective Date, </w:t>
      </w:r>
      <w:r>
        <w:rPr>
          <w:b/>
          <w:u w:val="double"/>
        </w:rPr>
        <w:t>Contractor shall provide to Owner</w:t>
      </w:r>
      <w:r>
        <w:rPr/>
        <w:t xml:space="preserve"> a submittal schedule setting out the anticipated dates of issue </w:t>
      </w:r>
      <w:r>
        <w:rPr>
          <w:strike/>
        </w:rPr>
        <w:t>&lt;of&gt;</w:t>
      </w:r>
      <w:r>
        <w:rPr/>
        <w:t xml:space="preserve"> </w:t>
      </w:r>
      <w:r>
        <w:rPr>
          <w:b/>
          <w:u w:val="double"/>
        </w:rPr>
        <w:t>for</w:t>
      </w:r>
      <w:r>
        <w:rPr/>
        <w:t xml:space="preserve"> all such drawings and documents. </w:t>
      </w:r>
      <w:r>
        <w:rPr>
          <w:strike/>
        </w:rPr>
        <w:t>&lt;Contractor shall transmit to Owner in a timely fashion the drawings and documents listed in Exhibit R-2.&gt;</w:t>
      </w:r>
    </w:p>
    <w:p>
      <w:pPr>
        <w:pStyle w:val="BodyText2"/>
        <w:bidi w:val="0"/>
        <w:rPr>
          <w:rFonts w:ascii="Times New Roman" w:hAnsi="Times New Roman"/>
        </w:rPr>
      </w:pPr>
      <w:r>
        <w:rPr/>
      </w:r>
    </w:p>
    <w:p>
      <w:pPr>
        <w:pStyle w:val="BodyText2"/>
        <w:bidi w:val="0"/>
        <w:rPr>
          <w:rFonts w:ascii="Times New Roman" w:hAnsi="Times New Roman"/>
          <w:b/>
        </w:rPr>
      </w:pPr>
      <w:r>
        <w:rPr/>
        <w:t>3.3.2</w:t>
        <w:tab/>
      </w:r>
      <w:r>
        <w:rPr>
          <w:u w:val="single"/>
        </w:rPr>
        <w:t>Review by Owner</w:t>
      </w:r>
      <w:r>
        <w:rPr/>
        <w:t xml:space="preserve">.    Owner shall notify Contractor of any comments or queries within fifteen (15) days of </w:t>
      </w:r>
      <w:r>
        <w:rPr>
          <w:strike/>
        </w:rPr>
        <w:t>&lt;receipt of&gt;</w:t>
      </w:r>
      <w:r>
        <w:rPr/>
        <w:t xml:space="preserve"> </w:t>
      </w:r>
      <w:r>
        <w:rPr>
          <w:b/>
          <w:u w:val="double"/>
        </w:rPr>
        <w:t>receiving</w:t>
      </w:r>
      <w:r>
        <w:rPr/>
        <w:t xml:space="preserve"> any drawing or document listed in </w:t>
      </w:r>
      <w:r>
        <w:rPr>
          <w:u w:val="single"/>
        </w:rPr>
        <w:t>Exhibit R-2</w:t>
      </w:r>
      <w:r>
        <w:rPr/>
        <w:t xml:space="preserve">.    If Owner fails to respond within the fifteen (15) day period, then such drawing or document shall be deemed to have been reviewed by Owner and Owner shall be deemed to have concurred without comment thereto.    </w:t>
      </w:r>
      <w:r>
        <w:rPr>
          <w:strike/>
        </w:rPr>
        <w:t>&lt;Contractor shall, within&gt;</w:t>
      </w:r>
      <w:r>
        <w:rPr/>
        <w:t xml:space="preserve"> </w:t>
      </w:r>
      <w:r>
        <w:rPr>
          <w:b/>
          <w:u w:val="double"/>
        </w:rPr>
        <w:t>Within</w:t>
      </w:r>
      <w:r>
        <w:rPr/>
        <w:t xml:space="preserve"> ten (10) days following receipt of any comments or queries </w:t>
      </w:r>
      <w:r>
        <w:rPr>
          <w:strike/>
        </w:rPr>
        <w:t>&lt;on any such drawing or document, amend such&gt;</w:t>
      </w:r>
      <w:r>
        <w:rPr>
          <w:b/>
          <w:u w:val="double"/>
        </w:rPr>
        <w:t>, Contractor shall amend the</w:t>
      </w:r>
      <w:r>
        <w:rPr/>
        <w:t xml:space="preserve"> drawing or document or otherwise take account of or respond to Owner’s comments or queries and shall resubmit </w:t>
      </w:r>
      <w:r>
        <w:rPr>
          <w:strike/>
        </w:rPr>
        <w:t>&lt;such&gt;</w:t>
      </w:r>
      <w:r>
        <w:rPr/>
        <w:t xml:space="preserve"> </w:t>
      </w:r>
      <w:r>
        <w:rPr>
          <w:b/>
          <w:u w:val="double"/>
        </w:rPr>
        <w:t>the</w:t>
      </w:r>
      <w:r>
        <w:rPr/>
        <w:t xml:space="preserve"> drawing or document </w:t>
      </w:r>
      <w:r>
        <w:rPr>
          <w:strike/>
        </w:rPr>
        <w:t>&lt;for&gt;</w:t>
      </w:r>
      <w:r>
        <w:rPr/>
        <w:t xml:space="preserve"> </w:t>
      </w:r>
      <w:r>
        <w:rPr>
          <w:b/>
          <w:u w:val="double"/>
        </w:rPr>
        <w:t>to</w:t>
      </w:r>
      <w:r>
        <w:rPr/>
        <w:t xml:space="preserve"> Owner </w:t>
      </w:r>
      <w:r>
        <w:rPr>
          <w:b/>
          <w:u w:val="double"/>
        </w:rPr>
        <w:t>for</w:t>
      </w:r>
      <w:r>
        <w:rPr/>
        <w:t xml:space="preserve"> review.    Owner shall notify Contractor of any comments </w:t>
      </w:r>
      <w:r>
        <w:rPr>
          <w:strike/>
        </w:rPr>
        <w:t>&lt;it may have&gt;</w:t>
      </w:r>
      <w:r>
        <w:rPr/>
        <w:t xml:space="preserve"> </w:t>
      </w:r>
      <w:r>
        <w:rPr>
          <w:b/>
          <w:u w:val="double"/>
        </w:rPr>
        <w:t>or queries</w:t>
      </w:r>
      <w:r>
        <w:rPr/>
        <w:t xml:space="preserve"> with respect to such a resubmitted drawing or document within seven (7) days of its receipt.    </w:t>
      </w:r>
      <w:r>
        <w:rPr>
          <w:strike/>
        </w:rPr>
        <w:t>&lt;Contractor shall reasonably endeavor to implement and accommodate within any such drawing or document submitted for review and within&gt;</w:t>
      </w:r>
      <w:r>
        <w:rPr/>
        <w:t xml:space="preserve"> </w:t>
      </w:r>
      <w:r>
        <w:rPr>
          <w:b/>
          <w:u w:val="double"/>
        </w:rPr>
        <w:t>Within</w:t>
      </w:r>
      <w:r>
        <w:rPr/>
        <w:t xml:space="preserve"> the method, manner or sequence of carrying out the Work, </w:t>
      </w:r>
      <w:r>
        <w:rPr>
          <w:b/>
          <w:u w:val="double"/>
        </w:rPr>
        <w:t>Contractor shall reasonably endeavor</w:t>
      </w:r>
      <w:r>
        <w:rPr>
          <w:b/>
        </w:rPr>
        <w:t xml:space="preserve"> </w:t>
      </w:r>
      <w:r>
        <w:rPr>
          <w:b/>
          <w:u w:val="double"/>
        </w:rPr>
        <w:t>to implement</w:t>
      </w:r>
      <w:r>
        <w:rPr/>
        <w:t xml:space="preserve"> Owner’s comments </w:t>
      </w:r>
      <w:r>
        <w:rPr>
          <w:strike/>
        </w:rPr>
        <w:t>&lt;relating to such drawing or document&gt;</w:t>
      </w:r>
      <w:r>
        <w:rPr/>
        <w:t xml:space="preserve"> (including comments on matters of safety and ease of operation and maintenance of the Facility)</w:t>
      </w:r>
      <w:r>
        <w:rPr>
          <w:b/>
          <w:u w:val="double"/>
        </w:rPr>
        <w:t>,</w:t>
      </w:r>
      <w:r>
        <w:rPr/>
        <w:t xml:space="preserve"> unless such comments are inconsistent with the requirements of this Agreement. Owner shall not review or comment on any drawing or document submitted for information except on the grounds that the drawing or document is not in accordance with the requirements of this Agreement, except that Owner shall always be entitled to comment on or require a Change to any such drawing or document by directing a Change Order </w:t>
      </w:r>
      <w:r>
        <w:rPr>
          <w:strike/>
        </w:rPr>
        <w:t>&lt;pursuant to&gt;</w:t>
      </w:r>
      <w:r>
        <w:rPr/>
        <w:t xml:space="preserve"> </w:t>
      </w:r>
      <w:r>
        <w:rPr>
          <w:b/>
          <w:u w:val="double"/>
        </w:rPr>
        <w:t>under</w:t>
      </w:r>
      <w:r>
        <w:rPr/>
        <w:t xml:space="preserve"> Article 6.</w:t>
      </w:r>
    </w:p>
    <w:p>
      <w:pPr>
        <w:pStyle w:val="BodyText"/>
        <w:bidi w:val="0"/>
        <w:rPr>
          <w:rFonts w:ascii="Times New Roman" w:hAnsi="Times New Roman"/>
        </w:rPr>
      </w:pPr>
      <w:r>
        <w:rPr/>
      </w:r>
    </w:p>
    <w:p>
      <w:pPr>
        <w:pStyle w:val="BodyText2"/>
        <w:bidi w:val="0"/>
        <w:rPr>
          <w:rFonts w:ascii="Times New Roman" w:hAnsi="Times New Roman"/>
        </w:rPr>
      </w:pPr>
      <w:r>
        <w:rPr/>
        <w:t>3.3.3</w:t>
        <w:tab/>
      </w:r>
      <w:r>
        <w:rPr>
          <w:u w:val="single"/>
        </w:rPr>
        <w:t>Owner’s Right to Examine</w:t>
      </w:r>
      <w:r>
        <w:rPr/>
        <w:t>.    Owner and its authorized representatives shall also have the right, at any time on reasonable notice, at the premises of Contractor or Subcontractor, to examine drawings or documents which have been or are being prepared by Contractor or any Subcontractor for the purposes of this Agreement, except drawings or documents containing proprietary manufacturing know</w:t>
      </w:r>
      <w:r>
        <w:rPr>
          <w:b/>
          <w:u w:val="double"/>
        </w:rPr>
        <w:t>-</w:t>
      </w:r>
      <w:r>
        <w:rPr/>
        <w:t xml:space="preserve">how which is confidential to </w:t>
      </w:r>
      <w:r>
        <w:rPr>
          <w:b/>
          <w:u w:val="double"/>
        </w:rPr>
        <w:t>Contractor or</w:t>
      </w:r>
      <w:r>
        <w:rPr/>
        <w:t xml:space="preserve"> a Subcontractor.</w:t>
      </w:r>
    </w:p>
    <w:p>
      <w:pPr>
        <w:pStyle w:val="BodyText"/>
        <w:bidi w:val="0"/>
        <w:rPr>
          <w:rFonts w:ascii="Times New Roman" w:hAnsi="Times New Roman"/>
        </w:rPr>
      </w:pPr>
      <w:r>
        <w:rPr/>
      </w:r>
    </w:p>
    <w:p>
      <w:pPr>
        <w:pStyle w:val="BodyText2"/>
        <w:bidi w:val="0"/>
        <w:rPr>
          <w:rFonts w:ascii="Times New Roman" w:hAnsi="Times New Roman"/>
        </w:rPr>
      </w:pPr>
      <w:r>
        <w:rPr/>
        <w:t>3.3.4</w:t>
        <w:tab/>
      </w:r>
      <w:r>
        <w:rPr>
          <w:u w:val="single"/>
        </w:rPr>
        <w:t>Compliance With Drawings</w:t>
      </w:r>
      <w:r>
        <w:rPr/>
        <w:t xml:space="preserve">.    Contractor shall perform the Work and ensure that all Equipment is procured and supplied substantially in accordance with the final drawings and documents listed in </w:t>
      </w:r>
      <w:r>
        <w:rPr>
          <w:u w:val="single"/>
        </w:rPr>
        <w:t>Exhibit R-2</w:t>
      </w:r>
      <w:r>
        <w:rPr/>
        <w:t xml:space="preserve"> </w:t>
      </w:r>
      <w:r>
        <w:rPr>
          <w:b/>
          <w:u w:val="double"/>
        </w:rPr>
        <w:t>and</w:t>
      </w:r>
      <w:r>
        <w:rPr/>
        <w:t xml:space="preserve"> submitted to Owner </w:t>
      </w:r>
      <w:r>
        <w:rPr>
          <w:b/>
          <w:u w:val="double"/>
        </w:rPr>
        <w:t>under this Section 3.3</w:t>
      </w:r>
      <w:r>
        <w:rPr/>
        <w:t>.</w:t>
      </w:r>
    </w:p>
    <w:p>
      <w:pPr>
        <w:pStyle w:val="BodyText"/>
        <w:bidi w:val="0"/>
        <w:rPr>
          <w:rFonts w:ascii="Times New Roman" w:hAnsi="Times New Roman"/>
        </w:rPr>
      </w:pPr>
      <w:r>
        <w:rPr/>
      </w:r>
    </w:p>
    <w:p>
      <w:pPr>
        <w:pStyle w:val="Style2toc"/>
        <w:bidi w:val="0"/>
        <w:rPr>
          <w:rFonts w:ascii="Times New Roman" w:hAnsi="Times New Roman"/>
        </w:rPr>
      </w:pPr>
      <w:r>
        <w:rPr/>
        <w:t>3.4</w:t>
        <w:tab/>
      </w:r>
      <w:r>
        <w:rPr>
          <w:u w:val="single"/>
        </w:rPr>
        <w:t>Contractor’s Personnel and Labor Relations</w:t>
      </w:r>
      <w:r>
        <w:fldChar w:fldCharType="begin"/>
      </w:r>
      <w:r>
        <w:rPr>
          <w:u w:val="single"/>
          <w:vanish/>
        </w:rPr>
        <w:instrText xml:space="preserve"> TC "3.4</w:instrText>
        <w:tab/>
        <w:instrText xml:space="preserve">Contractor’s Personnel and Labor Relations672" \l 1 </w:instrText>
      </w:r>
      <w:r>
        <w:rPr>
          <w:u w:val="single"/>
          <w:vanish/>
        </w:rPr>
        <w:fldChar w:fldCharType="separate"/>
      </w:r>
      <w:bookmarkStart w:id="40" w:name="_Toc493577444"/>
      <w:bookmarkStart w:id="41" w:name="_Toc497198895"/>
      <w:bookmarkStart w:id="42" w:name="_Toc496784850"/>
      <w:bookmarkStart w:id="43" w:name="_Toc496784573"/>
      <w:bookmarkEnd w:id="40"/>
      <w:bookmarkEnd w:id="41"/>
      <w:bookmarkEnd w:id="42"/>
      <w:bookmarkEnd w:id="43"/>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2"/>
        <w:bidi w:val="0"/>
        <w:rPr>
          <w:rFonts w:ascii="Times New Roman" w:hAnsi="Times New Roman"/>
        </w:rPr>
      </w:pPr>
      <w:r>
        <w:rPr/>
        <w:t>3.4.1</w:t>
        <w:tab/>
      </w:r>
      <w:r>
        <w:rPr>
          <w:u w:val="single"/>
        </w:rPr>
        <w:t>Site Staff</w:t>
      </w:r>
      <w:r>
        <w:rPr/>
        <w:t>.    Contractor shall ensure that there are at all times at the Site sufficient suitably qualified and experienced personnel to supervise and perform the Work at the Site and to direct the operating and maintenance personnel in the start-up, commissioning and testing of the Facility.</w:t>
      </w:r>
    </w:p>
    <w:p>
      <w:pPr>
        <w:pStyle w:val="BodyText"/>
        <w:bidi w:val="0"/>
        <w:rPr>
          <w:rFonts w:ascii="Times New Roman" w:hAnsi="Times New Roman"/>
        </w:rPr>
      </w:pPr>
      <w:r>
        <w:rPr/>
      </w:r>
    </w:p>
    <w:p>
      <w:pPr>
        <w:pStyle w:val="BodyText2"/>
        <w:bidi w:val="0"/>
        <w:rPr>
          <w:rFonts w:ascii="Times New Roman" w:hAnsi="Times New Roman"/>
        </w:rPr>
      </w:pPr>
      <w:r>
        <w:rPr/>
        <w:t>3.4.2</w:t>
        <w:tab/>
      </w:r>
      <w:r>
        <w:rPr>
          <w:u w:val="single"/>
        </w:rPr>
        <w:t>Key Personnel</w:t>
      </w:r>
      <w:r>
        <w:rPr/>
        <w:t xml:space="preserve">.    Contractor shall appoint suitably qualified and experienced Persons acceptable to Owner to fill the posts listed in </w:t>
      </w:r>
      <w:r>
        <w:rPr>
          <w:u w:val="single"/>
        </w:rPr>
        <w:t>Exhibit S</w:t>
      </w:r>
      <w:r>
        <w:rPr/>
        <w:t xml:space="preserve">.    Contractor shall maintain such posts in connection with the Work as long as reasonably necessary to fulfill Contractor’s obligations under this Agreement and shall not remove or replace personnel holding such posts without </w:t>
      </w:r>
      <w:r>
        <w:rPr>
          <w:strike/>
        </w:rPr>
        <w:t>&lt;the&gt;</w:t>
      </w:r>
      <w:r>
        <w:rPr/>
        <w:t xml:space="preserve"> </w:t>
      </w:r>
      <w:r>
        <w:rPr>
          <w:b/>
          <w:u w:val="double"/>
        </w:rPr>
        <w:t>Owner’s</w:t>
      </w:r>
      <w:r>
        <w:rPr/>
        <w:t xml:space="preserve"> prior written approval </w:t>
      </w:r>
      <w:r>
        <w:rPr>
          <w:strike/>
        </w:rPr>
        <w:t>&lt;of Owner&gt;</w:t>
      </w:r>
      <w:r>
        <w:rPr/>
        <w:t xml:space="preserve">, which approval shall not be unreasonably withheld or delayed.    Contractor shall submit the resumes of the Persons nominated to fill the positions listed on </w:t>
      </w:r>
      <w:r>
        <w:rPr>
          <w:u w:val="single"/>
        </w:rPr>
        <w:t>Exhibit S</w:t>
      </w:r>
      <w:r>
        <w:rPr/>
        <w:t xml:space="preserve"> to Owner for review, comment, or rejection prior to their appointment.    One post designated on </w:t>
      </w:r>
      <w:r>
        <w:rPr>
          <w:u w:val="single"/>
        </w:rPr>
        <w:t>Exhibit S</w:t>
      </w:r>
      <w:r>
        <w:rPr/>
        <w:t xml:space="preserve"> shall have full authority to act on behalf of Contractor for all purposes in connection with this Agreement </w:t>
      </w:r>
      <w:r>
        <w:rPr>
          <w:strike/>
        </w:rPr>
        <w:t>&lt;and&gt;</w:t>
      </w:r>
      <w:r>
        <w:rPr>
          <w:b/>
          <w:u w:val="double"/>
        </w:rPr>
        <w:t>.</w:t>
      </w:r>
      <w:r>
        <w:rPr/>
        <w:t xml:space="preserve">    Contractor shall notify Owner of the normal workplace(s) of the Person who holds such post and provide Owner with a telephone number where such person can be reached twenty-four (24) hours a day, seven (7) days a week.    Another post designated on </w:t>
      </w:r>
      <w:r>
        <w:rPr>
          <w:u w:val="single"/>
        </w:rPr>
        <w:t>Exhibit S</w:t>
      </w:r>
      <w:r>
        <w:rPr/>
        <w:t xml:space="preserve"> shall be held by a Person employed at the Site from the commencement of Work on the Site until Substantial Completion to supervise all work done on the Site and to receive all instructions related to Site activities given by or on behalf of Owner.    Whenever such Person is absent from the Site, Contractor shall nominate a suitable Person to act as his or her deputy.</w:t>
      </w:r>
    </w:p>
    <w:p>
      <w:pPr>
        <w:pStyle w:val="BodyText"/>
        <w:bidi w:val="0"/>
        <w:rPr>
          <w:rFonts w:ascii="Times New Roman" w:hAnsi="Times New Roman"/>
        </w:rPr>
      </w:pPr>
      <w:r>
        <w:rPr/>
      </w:r>
    </w:p>
    <w:p>
      <w:pPr>
        <w:pStyle w:val="BodyText2"/>
        <w:bidi w:val="0"/>
        <w:rPr>
          <w:rFonts w:ascii="Times New Roman" w:hAnsi="Times New Roman"/>
        </w:rPr>
      </w:pPr>
      <w:r>
        <w:rPr/>
        <w:t>3.4.3</w:t>
        <w:tab/>
      </w:r>
      <w:r>
        <w:rPr>
          <w:u w:val="single"/>
        </w:rPr>
        <w:t>Objection to Representative</w:t>
      </w:r>
      <w:r>
        <w:rPr/>
        <w:t xml:space="preserve">.    Owner shall be entitled by notice to Contractor to object to any representative or Person listed on </w:t>
      </w:r>
      <w:r>
        <w:rPr>
          <w:u w:val="single"/>
        </w:rPr>
        <w:t>Exhibit S</w:t>
      </w:r>
      <w:r>
        <w:rPr/>
        <w:t xml:space="preserve"> employed by Contractor in the execution of the Work who shall, in Owner’s reasonable opinion, be incompetent or negligent, or engaged in misconduct, and Contractor shall promptly remove or ensure the removal of such Person from the Work and appoint a suitable replacement.</w:t>
      </w:r>
    </w:p>
    <w:p>
      <w:pPr>
        <w:pStyle w:val="BodyText"/>
        <w:bidi w:val="0"/>
        <w:rPr>
          <w:rFonts w:ascii="Times New Roman" w:hAnsi="Times New Roman"/>
        </w:rPr>
      </w:pPr>
      <w:r>
        <w:rPr/>
      </w:r>
    </w:p>
    <w:p>
      <w:pPr>
        <w:pStyle w:val="BodyText2"/>
        <w:bidi w:val="0"/>
        <w:rPr>
          <w:rFonts w:ascii="Times New Roman" w:hAnsi="Times New Roman"/>
        </w:rPr>
      </w:pPr>
      <w:r>
        <w:rPr/>
        <w:t>3.4.4</w:t>
        <w:tab/>
      </w:r>
      <w:r>
        <w:rPr>
          <w:u w:val="single"/>
        </w:rPr>
        <w:t>Labor Relations</w:t>
      </w:r>
      <w:r>
        <w:rPr/>
        <w:t xml:space="preserve">.    Contractor shall not enter into labor contracts required for the performance of the Work without Owner’s prior </w:t>
      </w:r>
      <w:r>
        <w:rPr>
          <w:b/>
          <w:u w:val="double"/>
        </w:rPr>
        <w:t>written</w:t>
      </w:r>
      <w:r>
        <w:rPr/>
        <w:t xml:space="preserve"> approval, which approval shall not be unreasonably withheld </w:t>
      </w:r>
      <w:r>
        <w:rPr>
          <w:b/>
          <w:u w:val="double"/>
        </w:rPr>
        <w:t>or delayed</w:t>
      </w:r>
      <w:r>
        <w:rPr/>
        <w:t xml:space="preserve">.    Contractor shall use all reasonable efforts in the employment of labor and Subcontractors (whether directly or indirectly employed) so as not to cause any conflict or interference with or between the various trades, or any delay in the performance of Contractor’s obligations.    Contractor shall be responsible for all labor </w:t>
      </w:r>
      <w:r>
        <w:rPr>
          <w:strike/>
        </w:rPr>
        <w:t>&lt;relation’s&gt;</w:t>
      </w:r>
      <w:r>
        <w:rPr/>
        <w:t xml:space="preserve"> </w:t>
      </w:r>
      <w:r>
        <w:rPr>
          <w:b/>
          <w:u w:val="double"/>
        </w:rPr>
        <w:t>relations</w:t>
      </w:r>
      <w:r>
        <w:rPr/>
        <w:t xml:space="preserve"> matters of its employees and those of its Subcontractors relating to the Work and shall </w:t>
      </w:r>
      <w:r>
        <w:rPr>
          <w:strike/>
        </w:rPr>
        <w:t>&lt;at all times&gt;</w:t>
      </w:r>
      <w:r>
        <w:rPr/>
        <w:t xml:space="preserve"> use </w:t>
      </w:r>
      <w:r>
        <w:rPr>
          <w:b/>
          <w:u w:val="double"/>
        </w:rPr>
        <w:t>(</w:t>
      </w:r>
      <w:r>
        <w:rPr/>
        <w:t>and cause its Subcontractors to use</w:t>
      </w:r>
      <w:r>
        <w:rPr>
          <w:b/>
          <w:u w:val="double"/>
        </w:rPr>
        <w:t>)</w:t>
      </w:r>
      <w:r>
        <w:rPr/>
        <w:t xml:space="preserve"> reasonable efforts to maintain harmony among their </w:t>
      </w:r>
      <w:r>
        <w:rPr>
          <w:strike/>
        </w:rPr>
        <w:t>&lt;workforces.&gt;</w:t>
      </w:r>
      <w:r>
        <w:rPr/>
        <w:t xml:space="preserve"> </w:t>
      </w:r>
      <w:r>
        <w:rPr>
          <w:b/>
          <w:u w:val="double"/>
        </w:rPr>
        <w:t>work forces.</w:t>
      </w:r>
      <w:r>
        <w:rPr/>
        <w:t xml:space="preserve">    Contractor </w:t>
      </w:r>
      <w:r>
        <w:rPr>
          <w:strike/>
        </w:rPr>
        <w:t>&lt;at all times&gt;</w:t>
      </w:r>
      <w:r>
        <w:rPr/>
        <w:t xml:space="preserve"> shall use </w:t>
      </w:r>
      <w:r>
        <w:rPr>
          <w:b/>
          <w:u w:val="double"/>
        </w:rPr>
        <w:t>(</w:t>
      </w:r>
      <w:r>
        <w:rPr/>
        <w:t>and cause its Subcontractors to use</w:t>
      </w:r>
      <w:r>
        <w:rPr>
          <w:b/>
          <w:u w:val="double"/>
        </w:rPr>
        <w:t>)</w:t>
      </w:r>
      <w:r>
        <w:rPr/>
        <w:t xml:space="preserve"> reasonable efforts and judgment as an experienced contractor to adopt and implement policies and practices designed to avoid work stoppages, slowdowns, disputes, and strikes.</w:t>
      </w:r>
    </w:p>
    <w:p>
      <w:pPr>
        <w:pStyle w:val="BodyText"/>
        <w:bidi w:val="0"/>
        <w:rPr>
          <w:rFonts w:ascii="Times New Roman" w:hAnsi="Times New Roman"/>
        </w:rPr>
      </w:pPr>
      <w:r>
        <w:rPr/>
      </w:r>
    </w:p>
    <w:p>
      <w:pPr>
        <w:pStyle w:val="BodyText2"/>
        <w:bidi w:val="0"/>
        <w:rPr>
          <w:rFonts w:ascii="Times New Roman" w:hAnsi="Times New Roman"/>
        </w:rPr>
      </w:pPr>
      <w:r>
        <w:rPr/>
        <w:t>3.4.5</w:t>
        <w:tab/>
      </w:r>
      <w:r>
        <w:rPr>
          <w:u w:val="single"/>
        </w:rPr>
        <w:t>Employment of Qualified Personnel</w:t>
      </w:r>
      <w:r>
        <w:rPr/>
        <w:t xml:space="preserve">.    Whenever required by Law or GIP, Contractor </w:t>
      </w:r>
      <w:r>
        <w:rPr>
          <w:strike/>
        </w:rPr>
        <w:t>&lt;agrees to&gt;</w:t>
      </w:r>
      <w:r>
        <w:rPr/>
        <w:t xml:space="preserve"> </w:t>
      </w:r>
      <w:r>
        <w:rPr>
          <w:b/>
          <w:u w:val="double"/>
        </w:rPr>
        <w:t>will</w:t>
      </w:r>
      <w:r>
        <w:rPr/>
        <w:t xml:space="preserve"> employ licensed personnel to perform professional services in </w:t>
      </w:r>
      <w:r>
        <w:rPr>
          <w:strike/>
        </w:rPr>
        <w:t>&lt;the&gt;</w:t>
      </w:r>
      <w:r>
        <w:rPr/>
        <w:t xml:space="preserve"> performance of the Work.</w:t>
      </w:r>
    </w:p>
    <w:p>
      <w:pPr>
        <w:pStyle w:val="BodyText2"/>
        <w:bidi w:val="0"/>
        <w:rPr>
          <w:rFonts w:ascii="Times New Roman" w:hAnsi="Times New Roman"/>
        </w:rPr>
      </w:pPr>
      <w:r>
        <w:rPr/>
      </w:r>
    </w:p>
    <w:p>
      <w:pPr>
        <w:pStyle w:val="BodyText2"/>
        <w:bidi w:val="0"/>
        <w:rPr>
          <w:rFonts w:ascii="Times New Roman" w:hAnsi="Times New Roman"/>
        </w:rPr>
      </w:pPr>
      <w:r>
        <w:rPr>
          <w:b/>
          <w:u w:val="double"/>
        </w:rPr>
        <w:t>[</w:t>
      </w:r>
      <w:r>
        <w:rPr>
          <w:b/>
        </w:rPr>
        <w:t>3.4.6</w:t>
        <w:tab/>
      </w:r>
      <w:r>
        <w:rPr>
          <w:b/>
          <w:u w:val="single"/>
        </w:rPr>
        <w:t>Project Labor Agreement</w:t>
      </w:r>
      <w:r>
        <w:rPr>
          <w:b/>
        </w:rPr>
        <w:t xml:space="preserve">.    Contractor has reviewed the Project Labor Agreement </w:t>
      </w:r>
      <w:r>
        <w:rPr>
          <w:b/>
          <w:strike/>
        </w:rPr>
        <w:t>&lt;for Pastoria Project dated March 9, 2000 (the “Project Labor Agreement”)&gt;</w:t>
      </w:r>
      <w:r>
        <w:rPr>
          <w:b/>
        </w:rPr>
        <w:t xml:space="preserve"> and shall comply with the same.    Contractor has established the Contract Price, the Guaranteed Completion Date and Project Schedule Summary </w:t>
      </w:r>
      <w:r>
        <w:rPr>
          <w:b/>
          <w:strike/>
        </w:rPr>
        <w:t>&lt;based on&gt;</w:t>
      </w:r>
      <w:r>
        <w:rPr>
          <w:b/>
        </w:rPr>
        <w:t xml:space="preserve"> </w:t>
      </w:r>
      <w:r>
        <w:rPr>
          <w:b/>
          <w:u w:val="double"/>
        </w:rPr>
        <w:t>with full knowledge of</w:t>
      </w:r>
      <w:r>
        <w:rPr>
          <w:b/>
        </w:rPr>
        <w:t xml:space="preserve"> the Project Labor Agreement.    If the Project Labor Agreement is amended, or Owner and any labor unions enter into other contracts applicable to the Work, Contractor shall comply with the same, but if the amendments or other contracts create rights or obligations materially different from those in the Project Labor Agreement in effect as of the date of this Agreement, then either party shall be entitled to propose a Change Order to accommodate the material differences.</w:t>
      </w:r>
      <w:r>
        <w:rPr>
          <w:b/>
          <w:u w:val="double"/>
        </w:rPr>
        <w:t>]</w:t>
      </w:r>
    </w:p>
    <w:p>
      <w:pPr>
        <w:pStyle w:val="BodyText2"/>
        <w:bidi w:val="0"/>
        <w:rPr>
          <w:rFonts w:ascii="Times New Roman" w:hAnsi="Times New Roman"/>
        </w:rPr>
      </w:pPr>
      <w:r>
        <w:rPr/>
      </w:r>
    </w:p>
    <w:p>
      <w:pPr>
        <w:pStyle w:val="BodyText2"/>
        <w:bidi w:val="0"/>
        <w:rPr>
          <w:rFonts w:ascii="Times New Roman" w:hAnsi="Times New Roman"/>
        </w:rPr>
      </w:pPr>
      <w:r>
        <w:rPr>
          <w:b/>
          <w:u w:val="double"/>
        </w:rPr>
        <w:t>[</w:t>
      </w:r>
      <w:r>
        <w:rPr>
          <w:b/>
        </w:rPr>
        <w:t>3.4.7</w:t>
        <w:tab/>
      </w:r>
      <w:r>
        <w:rPr>
          <w:b/>
          <w:strike/>
          <w:u w:val="single"/>
        </w:rPr>
        <w:t>&lt;Tejon Agreements&gt;</w:t>
      </w:r>
      <w:r>
        <w:rPr>
          <w:b/>
          <w:u w:val="single"/>
        </w:rPr>
        <w:t xml:space="preserve"> </w:t>
      </w:r>
      <w:r>
        <w:rPr>
          <w:b/>
          <w:u w:val="double"/>
        </w:rPr>
        <w:t>Ground Lease</w:t>
      </w:r>
      <w:r>
        <w:rPr>
          <w:b/>
        </w:rPr>
        <w:t xml:space="preserve">.    Contractor has reviewed the </w:t>
      </w:r>
      <w:r>
        <w:rPr>
          <w:b/>
          <w:strike/>
        </w:rPr>
        <w:t>&lt;Option Agreement&gt;</w:t>
      </w:r>
      <w:r>
        <w:rPr>
          <w:b/>
        </w:rPr>
        <w:t xml:space="preserve"> </w:t>
      </w:r>
      <w:r>
        <w:rPr>
          <w:b/>
          <w:u w:val="double"/>
        </w:rPr>
        <w:t>Ground Lease</w:t>
      </w:r>
      <w:r>
        <w:rPr>
          <w:b/>
        </w:rPr>
        <w:t xml:space="preserve"> between </w:t>
      </w:r>
      <w:r>
        <w:rPr>
          <w:b/>
          <w:strike/>
        </w:rPr>
        <w:t>&lt;Pastoria Energy Facility, LLC and Lessor dated April 30, 1999 and the related Ground Lease and Easement Deed and Agreement (collectively, the “Tejon Agreements”)&gt;</w:t>
      </w:r>
      <w:r>
        <w:rPr>
          <w:b/>
        </w:rPr>
        <w:t xml:space="preserve"> </w:t>
      </w:r>
      <w:r>
        <w:rPr>
          <w:b/>
          <w:u w:val="double"/>
        </w:rPr>
        <w:t xml:space="preserve">Owner and Ground Lessor </w:t>
      </w:r>
      <w:r>
        <w:rPr>
          <w:b/>
        </w:rPr>
        <w:t xml:space="preserve">and shall comply with the same in connection with the Work.    Contractor has established the Contract Price, the Guaranteed Completion Date and Project Schedule Summary </w:t>
      </w:r>
      <w:r>
        <w:rPr>
          <w:b/>
          <w:strike/>
        </w:rPr>
        <w:t>&lt;based on the Tejon Agreements. If the Tejon Agreements are&gt;</w:t>
      </w:r>
      <w:r>
        <w:rPr>
          <w:b/>
        </w:rPr>
        <w:t xml:space="preserve"> </w:t>
      </w:r>
      <w:r>
        <w:rPr>
          <w:b/>
          <w:u w:val="double"/>
        </w:rPr>
        <w:t>with full knowledge of the Ground Lease.    If the Ground Lease is</w:t>
      </w:r>
      <w:r>
        <w:rPr>
          <w:b/>
        </w:rPr>
        <w:t xml:space="preserve"> amended, Contractor shall comply with the same, but if the amendments create rights or obligations materially different from those in the </w:t>
      </w:r>
      <w:r>
        <w:rPr>
          <w:b/>
          <w:strike/>
        </w:rPr>
        <w:t>&lt;Tejon Agreements&gt;</w:t>
      </w:r>
      <w:r>
        <w:rPr>
          <w:b/>
        </w:rPr>
        <w:t xml:space="preserve"> </w:t>
      </w:r>
      <w:r>
        <w:rPr>
          <w:b/>
          <w:u w:val="double"/>
        </w:rPr>
        <w:t>Ground Lease</w:t>
      </w:r>
      <w:r>
        <w:rPr>
          <w:b/>
        </w:rPr>
        <w:t xml:space="preserve"> in effect as of the date of this Agreement, then either party shall be entitled to propose a Change Order to accommodate the material differences.</w:t>
      </w:r>
      <w:r>
        <w:rPr>
          <w:b/>
          <w:u w:val="double"/>
        </w:rPr>
        <w:t>]</w:t>
      </w:r>
    </w:p>
    <w:p>
      <w:pPr>
        <w:pStyle w:val="BodyText"/>
        <w:bidi w:val="0"/>
        <w:rPr>
          <w:rFonts w:ascii="Times New Roman" w:hAnsi="Times New Roman"/>
        </w:rPr>
      </w:pPr>
      <w:r>
        <w:rPr/>
      </w:r>
    </w:p>
    <w:p>
      <w:pPr>
        <w:pStyle w:val="BodyText"/>
        <w:bidi w:val="0"/>
        <w:rPr>
          <w:rFonts w:ascii="Times New Roman" w:hAnsi="Times New Roman"/>
        </w:rPr>
      </w:pPr>
      <w:r>
        <w:rPr/>
        <w:t>3.5</w:t>
        <w:tab/>
      </w:r>
      <w:r>
        <w:rPr>
          <w:u w:val="single"/>
        </w:rPr>
        <w:t>Governmental Authorization and Contractor Assistance</w:t>
      </w:r>
      <w:r>
        <w:fldChar w:fldCharType="begin"/>
      </w:r>
      <w:r>
        <w:rPr>
          <w:u w:val="single"/>
          <w:vanish/>
        </w:rPr>
        <w:instrText xml:space="preserve"> TC "3.5</w:instrText>
        <w:tab/>
        <w:instrText xml:space="preserve">Governmental Authorization and Contractor Assistance672" \l 1 </w:instrText>
      </w:r>
      <w:r>
        <w:rPr>
          <w:u w:val="single"/>
          <w:vanish/>
        </w:rPr>
        <w:fldChar w:fldCharType="separate"/>
      </w:r>
      <w:bookmarkStart w:id="44" w:name="_Toc497198896"/>
      <w:bookmarkStart w:id="45" w:name="_Toc496784574"/>
      <w:bookmarkStart w:id="46" w:name="_Toc496784851"/>
      <w:bookmarkStart w:id="47" w:name="_Toc493577445"/>
      <w:bookmarkEnd w:id="44"/>
      <w:bookmarkEnd w:id="45"/>
      <w:bookmarkEnd w:id="46"/>
      <w:bookmarkEnd w:id="47"/>
      <w:r>
        <w:rPr>
          <w:vanish/>
          <w:u w:val="single"/>
        </w:rPr>
      </w:r>
      <w:r>
        <w:rPr>
          <w:u w:val="single"/>
          <w:vanish/>
        </w:rPr>
        <w:fldChar w:fldCharType="end"/>
      </w:r>
      <w:r>
        <w:rPr>
          <w:strike/>
        </w:rPr>
        <w:t>&lt;&lt;*&gt;&gt;</w:t>
      </w:r>
      <w:r>
        <w:rPr/>
        <w:t xml:space="preserve">.    Contractor shall obtain in a timely manner the Governmental Authorizations listed in </w:t>
      </w:r>
      <w:r>
        <w:rPr>
          <w:u w:val="single"/>
        </w:rPr>
        <w:t>Exhibit K</w:t>
      </w:r>
      <w:r>
        <w:rPr/>
        <w:t xml:space="preserve"> for which it is designated as responsible, any other local construction Governmental Authorizations related to construction work on the Site </w:t>
      </w:r>
      <w:r>
        <w:rPr>
          <w:strike/>
        </w:rPr>
        <w:t>&lt;which applicable Law requires to be issued in Contractor’s name and&gt;</w:t>
      </w:r>
      <w:r>
        <w:rPr>
          <w:b/>
          <w:u w:val="double"/>
        </w:rPr>
        <w:t>, as well as</w:t>
      </w:r>
      <w:r>
        <w:rPr/>
        <w:t xml:space="preserve"> any completion certificates required by applicable Law certifying that the Facility has been built in accordance with all such Governmental Authorizations and the as-built drawings.    Contractor shall promptly deliver to Owner copies of all such Governmental Authorizations.    Contractor shall give all notices and pay all fees required to be given or paid to any Governmental Authority in relation to </w:t>
      </w:r>
      <w:r>
        <w:rPr>
          <w:strike/>
        </w:rPr>
        <w:t>&lt;any such&gt;</w:t>
      </w:r>
      <w:r>
        <w:rPr/>
        <w:t xml:space="preserve"> </w:t>
      </w:r>
      <w:r>
        <w:rPr>
          <w:b/>
          <w:u w:val="double"/>
        </w:rPr>
        <w:t>the</w:t>
      </w:r>
      <w:r>
        <w:rPr/>
        <w:t xml:space="preserve"> Governmental Authorizations which are Contractor’s responsibility.    Contractor shall use reasonable efforts (including, but not limited to, providing documents and information requested by Owner) to assist Owner in its efforts to obtain the Governmental Authorizations for which Owner is designated as responsible under this Agreement.</w:t>
      </w:r>
    </w:p>
    <w:p>
      <w:pPr>
        <w:pStyle w:val="BodyText"/>
        <w:bidi w:val="0"/>
        <w:rPr>
          <w:rFonts w:ascii="Times New Roman" w:hAnsi="Times New Roman"/>
        </w:rPr>
      </w:pPr>
      <w:r>
        <w:rPr/>
      </w:r>
    </w:p>
    <w:p>
      <w:pPr>
        <w:pStyle w:val="BodyText"/>
        <w:bidi w:val="0"/>
        <w:rPr>
          <w:rFonts w:ascii="Times New Roman" w:hAnsi="Times New Roman"/>
        </w:rPr>
      </w:pPr>
      <w:r>
        <w:rPr/>
        <w:t>3.6</w:t>
        <w:tab/>
      </w:r>
      <w:r>
        <w:rPr>
          <w:u w:val="single"/>
        </w:rPr>
        <w:t>Control of the Work</w:t>
      </w:r>
      <w:r>
        <w:fldChar w:fldCharType="begin"/>
      </w:r>
      <w:r>
        <w:rPr>
          <w:u w:val="single"/>
          <w:vanish/>
        </w:rPr>
        <w:instrText xml:space="preserve"> TC "3.6</w:instrText>
        <w:tab/>
        <w:instrText xml:space="preserve">Control of the Work672" \l 1 </w:instrText>
      </w:r>
      <w:r>
        <w:rPr>
          <w:u w:val="single"/>
          <w:vanish/>
        </w:rPr>
        <w:fldChar w:fldCharType="separate"/>
      </w:r>
      <w:bookmarkStart w:id="48" w:name="_Toc493577446"/>
      <w:bookmarkStart w:id="49" w:name="_Toc497198897"/>
      <w:bookmarkStart w:id="50" w:name="_Toc496784852"/>
      <w:bookmarkStart w:id="51" w:name="_Toc496784575"/>
      <w:bookmarkEnd w:id="48"/>
      <w:bookmarkEnd w:id="49"/>
      <w:bookmarkEnd w:id="50"/>
      <w:bookmarkEnd w:id="51"/>
      <w:r>
        <w:rPr>
          <w:vanish/>
          <w:u w:val="single"/>
        </w:rPr>
      </w:r>
      <w:r>
        <w:rPr>
          <w:u w:val="single"/>
          <w:vanish/>
        </w:rPr>
        <w:fldChar w:fldCharType="end"/>
      </w:r>
      <w:r>
        <w:rPr>
          <w:strike/>
        </w:rPr>
        <w:t>&lt;&lt;*&gt;&gt;</w:t>
      </w:r>
      <w:r>
        <w:rPr/>
        <w:t xml:space="preserve">.    Except as otherwise provided </w:t>
      </w:r>
      <w:r>
        <w:rPr>
          <w:strike/>
        </w:rPr>
        <w:t>&lt;pursuant to&gt;</w:t>
      </w:r>
      <w:r>
        <w:rPr/>
        <w:t xml:space="preserve"> </w:t>
      </w:r>
      <w:r>
        <w:rPr>
          <w:b/>
          <w:u w:val="double"/>
        </w:rPr>
        <w:t>under</w:t>
      </w:r>
      <w:r>
        <w:rPr/>
        <w:t xml:space="preserve"> Section 3.8.3 and 3.18, Contractor shall be solely responsible for all construction means, methods, techniques, sequences, procedures, safety</w:t>
      </w:r>
      <w:r>
        <w:rPr>
          <w:strike/>
        </w:rPr>
        <w:t>&lt;,&gt;</w:t>
      </w:r>
      <w:r>
        <w:rPr/>
        <w:t xml:space="preserve"> and security programs in connection with performance of the Work.</w:t>
      </w:r>
    </w:p>
    <w:p>
      <w:pPr>
        <w:pStyle w:val="Style2toc"/>
        <w:bidi w:val="0"/>
        <w:rPr>
          <w:rFonts w:ascii="Times New Roman" w:hAnsi="Times New Roman"/>
        </w:rPr>
      </w:pPr>
      <w:r>
        <w:rPr/>
      </w:r>
    </w:p>
    <w:p>
      <w:pPr>
        <w:pStyle w:val="Style2toc"/>
        <w:bidi w:val="0"/>
        <w:rPr>
          <w:rFonts w:ascii="Times New Roman" w:hAnsi="Times New Roman"/>
        </w:rPr>
      </w:pPr>
      <w:r>
        <w:rPr/>
        <w:t>3.7</w:t>
        <w:tab/>
      </w:r>
      <w:r>
        <w:rPr>
          <w:u w:val="single"/>
        </w:rPr>
        <w:t>Cleanup; Non-Interference</w:t>
      </w:r>
      <w:r>
        <w:fldChar w:fldCharType="begin"/>
      </w:r>
      <w:r>
        <w:rPr>
          <w:u w:val="single"/>
          <w:vanish/>
        </w:rPr>
        <w:instrText xml:space="preserve"> TC "3.7</w:instrText>
        <w:tab/>
        <w:instrText xml:space="preserve">Cleanup; Non-Interference672" \l 1 </w:instrText>
      </w:r>
      <w:r>
        <w:rPr>
          <w:u w:val="single"/>
          <w:vanish/>
        </w:rPr>
        <w:fldChar w:fldCharType="separate"/>
      </w:r>
      <w:bookmarkStart w:id="52" w:name="_Toc493577447"/>
      <w:bookmarkStart w:id="53" w:name="_Toc496784576"/>
      <w:bookmarkStart w:id="54" w:name="_Toc496784853"/>
      <w:bookmarkStart w:id="55" w:name="_Toc497198898"/>
      <w:bookmarkEnd w:id="52"/>
      <w:bookmarkEnd w:id="53"/>
      <w:bookmarkEnd w:id="54"/>
      <w:bookmarkEnd w:id="55"/>
      <w:r>
        <w:rPr>
          <w:vanish/>
          <w:u w:val="single"/>
        </w:rPr>
      </w:r>
      <w:r>
        <w:rPr>
          <w:u w:val="single"/>
          <w:vanish/>
        </w:rPr>
        <w:fldChar w:fldCharType="end"/>
      </w:r>
      <w:r>
        <w:rPr>
          <w:strike/>
        </w:rPr>
        <w:t>&lt;&lt;*&gt;&gt;</w:t>
      </w:r>
      <w:r>
        <w:rPr/>
        <w:t xml:space="preserve">.    Contractor </w:t>
      </w:r>
      <w:r>
        <w:rPr>
          <w:strike/>
        </w:rPr>
        <w:t>&lt;shall&gt;</w:t>
      </w:r>
      <w:r>
        <w:rPr/>
        <w:t xml:space="preserve"> at all times </w:t>
      </w:r>
      <w:r>
        <w:rPr>
          <w:b/>
          <w:u w:val="double"/>
        </w:rPr>
        <w:t>shall</w:t>
      </w:r>
      <w:r>
        <w:rPr/>
        <w:t xml:space="preserve"> keep the Site reasonably free from waste materials or rubbish caused by its </w:t>
      </w:r>
      <w:r>
        <w:rPr>
          <w:b/>
          <w:u w:val="double"/>
        </w:rPr>
        <w:t>or its Subcontractor’s</w:t>
      </w:r>
      <w:r>
        <w:rPr/>
        <w:t xml:space="preserve"> activities.    During the period from Substantial Completion until Final Completion, Contractor shall ensure that the performance of the Work does not unreasonably interfere with the commercial operation of the Facility.    As soon as practicable after Substantial Completion, Contractor shall remove Contractor’s Equipment and all waste material and rubbish from the Site and, to the extent generated by the Work, from the surrounding areas.</w:t>
      </w:r>
    </w:p>
    <w:p>
      <w:pPr>
        <w:pStyle w:val="BodyText"/>
        <w:bidi w:val="0"/>
        <w:rPr>
          <w:rFonts w:ascii="Times New Roman" w:hAnsi="Times New Roman"/>
        </w:rPr>
      </w:pPr>
      <w:r>
        <w:rPr/>
      </w:r>
    </w:p>
    <w:p>
      <w:pPr>
        <w:pStyle w:val="Style2toc"/>
        <w:bidi w:val="0"/>
        <w:rPr>
          <w:rFonts w:ascii="Times New Roman" w:hAnsi="Times New Roman"/>
        </w:rPr>
      </w:pPr>
      <w:r>
        <w:rPr/>
        <w:t>3.8</w:t>
        <w:tab/>
      </w:r>
      <w:r>
        <w:rPr>
          <w:u w:val="single"/>
        </w:rPr>
        <w:t>Safety and Emergencies</w:t>
      </w:r>
      <w:r>
        <w:fldChar w:fldCharType="begin"/>
      </w:r>
      <w:r>
        <w:rPr>
          <w:u w:val="single"/>
          <w:vanish/>
        </w:rPr>
        <w:instrText xml:space="preserve"> TC "3.8</w:instrText>
        <w:tab/>
        <w:instrText xml:space="preserve">Safety and Emergencies672" \l 1 </w:instrText>
      </w:r>
      <w:r>
        <w:rPr>
          <w:u w:val="single"/>
          <w:vanish/>
        </w:rPr>
        <w:fldChar w:fldCharType="separate"/>
      </w:r>
      <w:bookmarkStart w:id="56" w:name="_Toc493577448"/>
      <w:bookmarkStart w:id="57" w:name="_Toc497198899"/>
      <w:bookmarkStart w:id="58" w:name="_Toc496784854"/>
      <w:bookmarkStart w:id="59" w:name="_Toc496784577"/>
      <w:bookmarkEnd w:id="56"/>
      <w:bookmarkEnd w:id="57"/>
      <w:bookmarkEnd w:id="58"/>
      <w:bookmarkEnd w:id="59"/>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3.8.1</w:t>
        <w:tab/>
      </w:r>
      <w:r>
        <w:rPr>
          <w:u w:val="single"/>
        </w:rPr>
        <w:t>Precautions</w:t>
      </w:r>
      <w:r>
        <w:rPr/>
        <w:t xml:space="preserve">. 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Work.    At least thirty-five (35) days prior to commencement of activities at the Site, Contractor shall submit its Site safety procedures to Owner for review and comment.    Contractor shall take into account and appropriately revise its Site safety procedures as reasonably required in response to </w:t>
      </w:r>
      <w:r>
        <w:rPr>
          <w:strike/>
        </w:rPr>
        <w:t>&lt;any Owner&gt;</w:t>
      </w:r>
      <w:r>
        <w:rPr/>
        <w:t xml:space="preserve"> </w:t>
      </w:r>
      <w:r>
        <w:rPr>
          <w:b/>
          <w:u w:val="double"/>
        </w:rPr>
        <w:t>Owner’s</w:t>
      </w:r>
      <w:r>
        <w:rPr/>
        <w:t xml:space="preserve"> comments.</w:t>
      </w:r>
    </w:p>
    <w:p>
      <w:pPr>
        <w:pStyle w:val="BodyText"/>
        <w:bidi w:val="0"/>
        <w:rPr>
          <w:rFonts w:ascii="Times New Roman" w:hAnsi="Times New Roman"/>
        </w:rPr>
      </w:pPr>
      <w:r>
        <w:rPr/>
      </w:r>
    </w:p>
    <w:p>
      <w:pPr>
        <w:pStyle w:val="BodyText"/>
        <w:bidi w:val="0"/>
        <w:rPr>
          <w:rFonts w:ascii="Times New Roman" w:hAnsi="Times New Roman"/>
        </w:rPr>
      </w:pPr>
      <w:r>
        <w:rPr/>
        <w:tab/>
        <w:t>3.8.2</w:t>
        <w:tab/>
      </w:r>
      <w:r>
        <w:rPr>
          <w:u w:val="single"/>
        </w:rPr>
        <w:t>Emergencies</w:t>
      </w:r>
      <w:r>
        <w:rPr/>
        <w:t xml:space="preserve">.    In the event of </w:t>
      </w:r>
      <w:r>
        <w:rPr>
          <w:strike/>
        </w:rPr>
        <w:t>&lt;any&gt;</w:t>
      </w:r>
      <w:r>
        <w:rPr/>
        <w:t xml:space="preserve"> </w:t>
      </w:r>
      <w:r>
        <w:rPr>
          <w:b/>
          <w:u w:val="double"/>
        </w:rPr>
        <w:t>an</w:t>
      </w:r>
      <w:r>
        <w:rPr/>
        <w:t xml:space="preserve"> emergency endangering life or property, Contractor shall take such action as may be necessary to prevent</w:t>
      </w:r>
      <w:r>
        <w:rPr>
          <w:strike/>
        </w:rPr>
        <w:t>&lt;, avoid,&gt;</w:t>
      </w:r>
      <w:r>
        <w:rPr/>
        <w:t xml:space="preserve"> or mitigate injury, damage</w:t>
      </w:r>
      <w:r>
        <w:rPr>
          <w:strike/>
        </w:rPr>
        <w:t>&lt;,&gt;</w:t>
      </w:r>
      <w:r>
        <w:rPr/>
        <w:t xml:space="preserve"> or loss and shall promptly notify Owner of any such emergency and the actions taken by Contractor.</w:t>
      </w:r>
    </w:p>
    <w:p>
      <w:pPr>
        <w:pStyle w:val="BodyText"/>
        <w:bidi w:val="0"/>
        <w:rPr>
          <w:rFonts w:ascii="Times New Roman" w:hAnsi="Times New Roman"/>
        </w:rPr>
      </w:pPr>
      <w:r>
        <w:rPr/>
      </w:r>
    </w:p>
    <w:p>
      <w:pPr>
        <w:pStyle w:val="BodyText"/>
        <w:bidi w:val="0"/>
        <w:rPr>
          <w:rFonts w:ascii="Times New Roman" w:hAnsi="Times New Roman"/>
        </w:rPr>
      </w:pPr>
      <w:r>
        <w:rPr/>
        <w:tab/>
        <w:t>3.8.3</w:t>
        <w:tab/>
      </w:r>
      <w:r>
        <w:rPr>
          <w:u w:val="single"/>
        </w:rPr>
        <w:t>Owner Actions</w:t>
      </w:r>
      <w:r>
        <w:rPr/>
        <w:t>.    Whenever Contractor has not complied with its obligations set forth in Section 3.8.1 or 3.8.2, creating an emergency requiring immediate action, Owner may take reasonable precautions, but the taking of such action by Owner, or Owner’s failure to do so, shall not limit Contractor’s liability or its obligations under this Agreement.    Contractor shall reimburse Owner for the reasonable costs incurred by Owner in taking such precautions.</w:t>
      </w:r>
    </w:p>
    <w:p>
      <w:pPr>
        <w:pStyle w:val="BodyText"/>
        <w:bidi w:val="0"/>
        <w:rPr>
          <w:rFonts w:ascii="Times New Roman" w:hAnsi="Times New Roman"/>
        </w:rPr>
      </w:pPr>
      <w:r>
        <w:rPr/>
      </w:r>
    </w:p>
    <w:p>
      <w:pPr>
        <w:pStyle w:val="BodyText"/>
        <w:bidi w:val="0"/>
        <w:rPr>
          <w:rFonts w:ascii="Times New Roman" w:hAnsi="Times New Roman"/>
        </w:rPr>
      </w:pPr>
      <w:r>
        <w:rPr/>
        <w:tab/>
        <w:t>3.8.4</w:t>
        <w:tab/>
      </w:r>
      <w:r>
        <w:rPr>
          <w:u w:val="single"/>
        </w:rPr>
        <w:t>Safety</w:t>
      </w:r>
      <w:r>
        <w:rPr/>
        <w:t xml:space="preserve">.    Upon commencement of commissioning, Contractor shall comply with </w:t>
      </w:r>
      <w:r>
        <w:rPr>
          <w:strike/>
        </w:rPr>
        <w:t>&lt;Owner’s&gt;</w:t>
      </w:r>
      <w:r>
        <w:rPr/>
        <w:t xml:space="preserve"> </w:t>
      </w:r>
      <w:r>
        <w:rPr>
          <w:b/>
          <w:u w:val="double"/>
        </w:rPr>
        <w:t>such</w:t>
      </w:r>
      <w:r>
        <w:rPr/>
        <w:t xml:space="preserve"> safety and security rules and procedures </w:t>
      </w:r>
      <w:r>
        <w:rPr>
          <w:b/>
          <w:u w:val="double"/>
        </w:rPr>
        <w:t>as Owner or Construction Manager may provide from time to time</w:t>
      </w:r>
      <w:r>
        <w:rPr/>
        <w:t>.</w:t>
      </w:r>
    </w:p>
    <w:p>
      <w:pPr>
        <w:pStyle w:val="BodyText"/>
        <w:bidi w:val="0"/>
        <w:rPr>
          <w:rFonts w:ascii="Times New Roman" w:hAnsi="Times New Roman"/>
        </w:rPr>
      </w:pPr>
      <w:r>
        <w:rPr/>
      </w:r>
    </w:p>
    <w:p>
      <w:pPr>
        <w:pStyle w:val="Normal"/>
        <w:bidi w:val="0"/>
        <w:ind w:hanging="0" w:start="720"/>
        <w:jc w:val="both"/>
        <w:rPr>
          <w:sz w:val="23"/>
        </w:rPr>
      </w:pPr>
      <w:r>
        <w:rPr>
          <w:sz w:val="23"/>
        </w:rPr>
        <w:tab/>
        <w:t>3.8.5</w:t>
        <w:tab/>
      </w:r>
      <w:r>
        <w:rPr>
          <w:sz w:val="23"/>
          <w:u w:val="single"/>
        </w:rPr>
        <w:t>Drug and Alcohol-Free Workplace</w:t>
      </w:r>
      <w:r>
        <w:rPr>
          <w:sz w:val="23"/>
        </w:rPr>
        <w:t xml:space="preserve">.    The parties desire to provide a safe and productive work environment.    The parties believe that the use, possession and/or distribution of illegal/unauthorized drugs and alcohol presents a serious threat to the safety of employees, visitors and others at the Site, or other premises owned, leased, or occupied by Owner.    Without in any way shifting responsibility for safety from Contractor to Owner, Contractor’s and Subcontractors’ employees associated with the </w:t>
      </w:r>
      <w:r>
        <w:rPr>
          <w:strike/>
          <w:sz w:val="23"/>
        </w:rPr>
        <w:t>&lt;Scope of Work under this Agreement must agree to compliance&gt;</w:t>
      </w:r>
      <w:r>
        <w:rPr>
          <w:sz w:val="23"/>
        </w:rPr>
        <w:t xml:space="preserve"> </w:t>
      </w:r>
      <w:r>
        <w:rPr>
          <w:b/>
          <w:sz w:val="23"/>
          <w:u w:val="double"/>
        </w:rPr>
        <w:t>Work will comply</w:t>
      </w:r>
      <w:r>
        <w:rPr>
          <w:sz w:val="23"/>
        </w:rPr>
        <w:t xml:space="preserve"> with Owner’s drug and alcohol policy </w:t>
      </w:r>
      <w:r>
        <w:rPr>
          <w:b/>
          <w:sz w:val="23"/>
          <w:u w:val="double"/>
        </w:rPr>
        <w:t>[</w:t>
      </w:r>
      <w:r>
        <w:rPr>
          <w:b/>
          <w:sz w:val="23"/>
        </w:rPr>
        <w:t>Number 1200-2, dated September 11, 1995</w:t>
      </w:r>
      <w:r>
        <w:rPr>
          <w:b/>
          <w:sz w:val="23"/>
          <w:u w:val="double"/>
        </w:rPr>
        <w:t>]</w:t>
      </w:r>
      <w:r>
        <w:rPr>
          <w:sz w:val="23"/>
        </w:rPr>
        <w:t xml:space="preserve"> including: </w:t>
      </w:r>
    </w:p>
    <w:p>
      <w:pPr>
        <w:pStyle w:val="bodytext1"/>
        <w:bidi w:val="0"/>
        <w:spacing w:lineRule="atLeast" w:line="240"/>
        <w:ind w:hanging="0" w:start="1440"/>
        <w:jc w:val="both"/>
        <w:rPr>
          <w:rFonts w:ascii="Times New Roman" w:hAnsi="Times New Roman"/>
          <w:sz w:val="23"/>
        </w:rPr>
      </w:pPr>
      <w:r>
        <w:rPr>
          <w:sz w:val="23"/>
        </w:rPr>
        <w:t>(1)</w:t>
        <w:tab/>
        <w:t>While on or entering the Site or other premises owned, leased, or occupied by Owner, such employees must consent to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Owner.</w:t>
      </w:r>
    </w:p>
    <w:p>
      <w:pPr>
        <w:pStyle w:val="bodytext1"/>
        <w:bidi w:val="0"/>
        <w:spacing w:lineRule="atLeast" w:line="240"/>
        <w:ind w:hanging="0" w:start="1440"/>
        <w:jc w:val="both"/>
        <w:rPr>
          <w:rFonts w:ascii="Times New Roman" w:hAnsi="Times New Roman"/>
          <w:sz w:val="23"/>
        </w:rPr>
      </w:pPr>
      <w:r>
        <w:rPr>
          <w:sz w:val="23"/>
        </w:rPr>
        <w:t>(2)</w:t>
        <w:tab/>
        <w:t>Such employees must consent to drug testing at any time while on the Site or other premises owned, leased or occupied by Owner.    Failure to do so or failing any such test shall be grounds for immediate removal from the Site or other premises owned, leased, or occupied by Owner.</w:t>
      </w:r>
    </w:p>
    <w:p>
      <w:pPr>
        <w:pStyle w:val="bodytext1"/>
        <w:bidi w:val="0"/>
        <w:spacing w:lineRule="atLeast" w:line="240"/>
        <w:ind w:hanging="0" w:start="1440"/>
        <w:jc w:val="both"/>
        <w:rPr>
          <w:rFonts w:ascii="Times New Roman" w:hAnsi="Times New Roman"/>
          <w:sz w:val="23"/>
        </w:rPr>
      </w:pPr>
      <w:r>
        <w:rPr>
          <w:sz w:val="23"/>
        </w:rPr>
        <w:t>Failure of a Contractor’s or Subcontractor’s employee to agree and abide by these requirements will be grounds for immediate removal from the Site or other premises owned, leased, or occupied by Owner</w:t>
      </w:r>
      <w:r>
        <w:rPr>
          <w:b/>
          <w:sz w:val="23"/>
          <w:u w:val="double"/>
        </w:rPr>
        <w:t>,</w:t>
      </w:r>
      <w:r>
        <w:rPr>
          <w:sz w:val="23"/>
        </w:rPr>
        <w:t xml:space="preserve"> or from any </w:t>
      </w:r>
      <w:r>
        <w:rPr>
          <w:strike/>
          <w:sz w:val="23"/>
        </w:rPr>
        <w:t>&lt;work site or&gt;</w:t>
      </w:r>
      <w:r>
        <w:rPr>
          <w:sz w:val="23"/>
        </w:rPr>
        <w:t xml:space="preserve"> location under </w:t>
      </w:r>
      <w:r>
        <w:rPr>
          <w:strike/>
          <w:sz w:val="23"/>
        </w:rPr>
        <w:t>&lt;the&gt;</w:t>
      </w:r>
      <w:r>
        <w:rPr>
          <w:sz w:val="23"/>
        </w:rPr>
        <w:t xml:space="preserve"> </w:t>
      </w:r>
      <w:r>
        <w:rPr>
          <w:b/>
          <w:sz w:val="23"/>
          <w:u w:val="double"/>
        </w:rPr>
        <w:t>Owner’s</w:t>
      </w:r>
      <w:r>
        <w:rPr>
          <w:sz w:val="23"/>
        </w:rPr>
        <w:t xml:space="preserve"> control </w:t>
      </w:r>
      <w:r>
        <w:rPr>
          <w:strike/>
          <w:sz w:val="23"/>
        </w:rPr>
        <w:t>&lt;of Owner&gt;</w:t>
      </w:r>
      <w:r>
        <w:rPr>
          <w:sz w:val="23"/>
        </w:rPr>
        <w:t xml:space="preserve"> that is associated with the </w:t>
      </w:r>
      <w:r>
        <w:rPr>
          <w:strike/>
          <w:sz w:val="23"/>
        </w:rPr>
        <w:t>&lt;Scope of Work under this Agreement&gt;</w:t>
      </w:r>
      <w:r>
        <w:rPr>
          <w:sz w:val="23"/>
        </w:rPr>
        <w:t xml:space="preserve"> </w:t>
      </w:r>
      <w:r>
        <w:rPr>
          <w:b/>
          <w:sz w:val="23"/>
          <w:u w:val="double"/>
        </w:rPr>
        <w:t>Work</w:t>
      </w:r>
      <w:r>
        <w:rPr>
          <w:sz w:val="23"/>
        </w:rPr>
        <w:t>.</w:t>
      </w:r>
    </w:p>
    <w:p>
      <w:pPr>
        <w:pStyle w:val="Style2toc"/>
        <w:bidi w:val="0"/>
        <w:spacing w:before="240" w:after="0"/>
        <w:rPr>
          <w:rFonts w:ascii="Times New Roman" w:hAnsi="Times New Roman"/>
        </w:rPr>
      </w:pPr>
      <w:r>
        <w:rPr/>
        <w:t>3.9</w:t>
        <w:tab/>
      </w:r>
      <w:r>
        <w:rPr>
          <w:u w:val="single"/>
        </w:rPr>
        <w:t>Financing Assistance</w:t>
      </w:r>
      <w:r>
        <w:fldChar w:fldCharType="begin"/>
      </w:r>
      <w:r>
        <w:rPr>
          <w:u w:val="single"/>
          <w:vanish/>
        </w:rPr>
        <w:instrText xml:space="preserve"> TC "3.9</w:instrText>
        <w:tab/>
        <w:instrText xml:space="preserve">Financing Assistance672" \l 1 </w:instrText>
      </w:r>
      <w:r>
        <w:rPr>
          <w:u w:val="single"/>
          <w:vanish/>
        </w:rPr>
        <w:fldChar w:fldCharType="separate"/>
      </w:r>
      <w:bookmarkStart w:id="60" w:name="_Toc493577449"/>
      <w:bookmarkStart w:id="61" w:name="_Toc497198900"/>
      <w:bookmarkStart w:id="62" w:name="_Toc496784855"/>
      <w:bookmarkStart w:id="63" w:name="_Toc496784578"/>
      <w:bookmarkEnd w:id="60"/>
      <w:bookmarkEnd w:id="61"/>
      <w:bookmarkEnd w:id="62"/>
      <w:bookmarkEnd w:id="63"/>
      <w:r>
        <w:rPr>
          <w:vanish/>
          <w:u w:val="single"/>
        </w:rPr>
      </w:r>
      <w:r>
        <w:rPr>
          <w:u w:val="single"/>
          <w:vanish/>
        </w:rPr>
        <w:fldChar w:fldCharType="end"/>
      </w:r>
      <w:r>
        <w:rPr>
          <w:strike/>
        </w:rPr>
        <w:t>&lt;&lt;*&gt;&gt;</w:t>
      </w:r>
      <w:r>
        <w:rPr/>
        <w:t xml:space="preserve">.    Contractor </w:t>
      </w:r>
      <w:r>
        <w:rPr>
          <w:strike/>
        </w:rPr>
        <w:t>&lt;agrees that it&gt;</w:t>
      </w:r>
      <w:r>
        <w:rPr/>
        <w:t xml:space="preserve"> will make available to Owner and Lender (and any independent engineer or other consultants retained by Lender) information relating to the status of the Work, including but not limited to information relating to the design, procurement, engineering, construction, start-up, commissioning, and testing of the Facility, and such other matters as Owner </w:t>
      </w:r>
      <w:r>
        <w:rPr>
          <w:strike/>
        </w:rPr>
        <w:t>&lt;may&gt;</w:t>
      </w:r>
      <w:r>
        <w:rPr/>
        <w:t xml:space="preserve"> reasonably </w:t>
      </w:r>
      <w:r>
        <w:rPr>
          <w:b/>
          <w:u w:val="double"/>
        </w:rPr>
        <w:t>may</w:t>
      </w:r>
      <w:r>
        <w:rPr/>
        <w:t xml:space="preserve"> request.    Contractor at its own cost shall furnish such usual and customary consents to assignment, certifications and representations and opinions of counsel, addressed to Owner and Lender, as may be reasonably requested by Owner or Lender.</w:t>
      </w:r>
    </w:p>
    <w:p>
      <w:pPr>
        <w:pStyle w:val="Style2toc"/>
        <w:bidi w:val="0"/>
        <w:rPr>
          <w:rFonts w:ascii="Times New Roman" w:hAnsi="Times New Roman"/>
        </w:rPr>
      </w:pPr>
      <w:r>
        <w:rPr/>
      </w:r>
    </w:p>
    <w:p>
      <w:pPr>
        <w:pStyle w:val="Style2toc"/>
        <w:bidi w:val="0"/>
        <w:rPr>
          <w:rFonts w:ascii="Times New Roman" w:hAnsi="Times New Roman"/>
        </w:rPr>
      </w:pPr>
      <w:r>
        <w:rPr/>
        <w:t>3.10</w:t>
        <w:tab/>
      </w:r>
      <w:r>
        <w:rPr>
          <w:u w:val="single"/>
        </w:rPr>
        <w:t>Foreign Corrupt Practices Act</w:t>
      </w:r>
      <w:r>
        <w:fldChar w:fldCharType="begin"/>
      </w:r>
      <w:r>
        <w:rPr>
          <w:u w:val="single"/>
          <w:vanish/>
        </w:rPr>
        <w:instrText xml:space="preserve"> TC "3.10</w:instrText>
        <w:tab/>
        <w:instrText xml:space="preserve">Foreign Corrupt Practices Act672" \l 1 </w:instrText>
      </w:r>
      <w:r>
        <w:rPr>
          <w:u w:val="single"/>
          <w:vanish/>
        </w:rPr>
        <w:fldChar w:fldCharType="separate"/>
      </w:r>
      <w:bookmarkStart w:id="64" w:name="_Toc493577450"/>
      <w:bookmarkStart w:id="65" w:name="_Toc497198901"/>
      <w:bookmarkStart w:id="66" w:name="_Toc496784856"/>
      <w:bookmarkStart w:id="67" w:name="_Toc496784579"/>
      <w:bookmarkEnd w:id="64"/>
      <w:bookmarkEnd w:id="65"/>
      <w:bookmarkEnd w:id="66"/>
      <w:bookmarkEnd w:id="67"/>
      <w:r>
        <w:rPr>
          <w:vanish/>
          <w:u w:val="single"/>
        </w:rPr>
      </w:r>
      <w:r>
        <w:rPr>
          <w:u w:val="single"/>
          <w:vanish/>
        </w:rPr>
        <w:fldChar w:fldCharType="end"/>
      </w:r>
      <w:r>
        <w:rPr>
          <w:strike/>
        </w:rPr>
        <w:t>&lt;&lt;*&gt;&gt;</w:t>
      </w:r>
      <w:r>
        <w:rPr/>
        <w:t>.    Contractor shall not act in violation of the U.S. Foreign Corrupt Practices Act; in particular, Contractor shall not make any payments, loans, or gifts, directly or indirectly, to or for the use or benefit of any official, employee, agency, or instrumentality of any government, political party, or candidate thereof, public international organization or any other Person, the payment of which would violate the laws of the United States of America, or the country or countries where the Work is performed, in whole or in part.    Contractor shall indemnify, defend, and hold harmless Owner Indemnitees from and against any and all Losses attributable to any failure of Contractor or any Subcontractor to comply with this Section 3.10 in connection with the Work or this Agreement.</w:t>
      </w:r>
    </w:p>
    <w:p>
      <w:pPr>
        <w:pStyle w:val="BodyText"/>
        <w:bidi w:val="0"/>
        <w:rPr>
          <w:rFonts w:ascii="Times New Roman" w:hAnsi="Times New Roman"/>
        </w:rPr>
      </w:pPr>
      <w:r>
        <w:rPr/>
      </w:r>
    </w:p>
    <w:p>
      <w:pPr>
        <w:pStyle w:val="Style2toc"/>
        <w:bidi w:val="0"/>
        <w:rPr>
          <w:rFonts w:ascii="Times New Roman" w:hAnsi="Times New Roman"/>
        </w:rPr>
      </w:pPr>
      <w:r>
        <w:rPr/>
        <w:t>3.11</w:t>
        <w:tab/>
      </w:r>
      <w:r>
        <w:rPr>
          <w:u w:val="single"/>
        </w:rPr>
        <w:t>Compliance with Laws</w:t>
      </w:r>
      <w:r>
        <w:fldChar w:fldCharType="begin"/>
      </w:r>
      <w:r>
        <w:rPr>
          <w:u w:val="single"/>
          <w:vanish/>
        </w:rPr>
        <w:instrText xml:space="preserve"> TC "3.11</w:instrText>
        <w:tab/>
        <w:instrText xml:space="preserve">Compliance with Laws672" \l 1 </w:instrText>
      </w:r>
      <w:r>
        <w:rPr>
          <w:u w:val="single"/>
          <w:vanish/>
        </w:rPr>
        <w:fldChar w:fldCharType="separate"/>
      </w:r>
      <w:bookmarkStart w:id="68" w:name="_Toc496784857"/>
      <w:bookmarkStart w:id="69" w:name="_Toc496784580"/>
      <w:bookmarkStart w:id="70" w:name="_Toc497198902"/>
      <w:bookmarkStart w:id="71" w:name="_Toc493577451"/>
      <w:bookmarkEnd w:id="68"/>
      <w:bookmarkEnd w:id="69"/>
      <w:bookmarkEnd w:id="70"/>
      <w:bookmarkEnd w:id="71"/>
      <w:r>
        <w:rPr>
          <w:vanish/>
          <w:u w:val="single"/>
        </w:rPr>
      </w:r>
      <w:r>
        <w:rPr>
          <w:u w:val="single"/>
          <w:vanish/>
        </w:rPr>
        <w:fldChar w:fldCharType="end"/>
      </w:r>
      <w:r>
        <w:rPr>
          <w:strike/>
        </w:rPr>
        <w:t>&lt;&lt;*&gt;&gt;</w:t>
      </w:r>
      <w:r>
        <w:rPr/>
        <w:t>.</w:t>
      </w:r>
    </w:p>
    <w:p>
      <w:pPr>
        <w:pStyle w:val="Style2toc"/>
        <w:bidi w:val="0"/>
        <w:rPr>
          <w:rFonts w:ascii="Times New Roman" w:hAnsi="Times New Roman"/>
        </w:rPr>
      </w:pPr>
      <w:r>
        <w:rPr/>
      </w:r>
    </w:p>
    <w:p>
      <w:pPr>
        <w:pStyle w:val="BodyText2"/>
        <w:bidi w:val="0"/>
        <w:rPr>
          <w:rFonts w:ascii="Times New Roman" w:hAnsi="Times New Roman"/>
        </w:rPr>
      </w:pPr>
      <w:r>
        <w:rPr/>
        <w:t>3.11.1</w:t>
        <w:tab/>
      </w:r>
      <w:r>
        <w:rPr>
          <w:u w:val="single"/>
        </w:rPr>
        <w:t>Compliance and Indemnity</w:t>
      </w:r>
      <w:r>
        <w:rPr/>
        <w:t xml:space="preserve">.    In performing its obligations under this Agreement, Contractor shall, and shall cause its Subcontractors to, ascertain and comply with all applicable Laws.    Contractor shall indemnify, defend and hold harmless Owner Indemnitees from and against any and </w:t>
      </w:r>
      <w:r>
        <w:rPr>
          <w:b/>
          <w:u w:val="double"/>
        </w:rPr>
        <w:t>all</w:t>
      </w:r>
      <w:r>
        <w:rPr/>
        <w:t xml:space="preserve"> Losses attributable to any failure of Contractor or any Subcontractor to comply with such Laws in connection with the Work or this Agreement.</w:t>
      </w:r>
    </w:p>
    <w:p>
      <w:pPr>
        <w:pStyle w:val="BodyText"/>
        <w:bidi w:val="0"/>
        <w:rPr>
          <w:rFonts w:ascii="Times New Roman" w:hAnsi="Times New Roman"/>
        </w:rPr>
      </w:pPr>
      <w:r>
        <w:rPr/>
      </w:r>
    </w:p>
    <w:p>
      <w:pPr>
        <w:pStyle w:val="BodyText"/>
        <w:bidi w:val="0"/>
        <w:rPr>
          <w:rFonts w:ascii="Times New Roman" w:hAnsi="Times New Roman"/>
        </w:rPr>
      </w:pPr>
      <w:r>
        <w:rPr/>
        <w:tab/>
        <w:t>3.11.2</w:t>
        <w:tab/>
      </w:r>
      <w:r>
        <w:rPr>
          <w:u w:val="single"/>
        </w:rPr>
        <w:t>Divergences from Law</w:t>
      </w:r>
      <w:r>
        <w:rPr/>
        <w:t>.    If Contractor becomes aware of any divergence between any applicable Law or Governmental Authorization and the Specifications, Scope of Work or any other provision of this Agreement, it shall immediately give Owner written notice specifying the divergence and its proposed Change for remedying such divergence.    Following execution of an appropriate Change Order, which shall provide for any increase in Contract Price or Project Schedule only if such increase is due to a Change in Law, Contractor shall complete the Work in accordance with such Change Order.</w:t>
      </w:r>
    </w:p>
    <w:p>
      <w:pPr>
        <w:pStyle w:val="BodyText"/>
        <w:bidi w:val="0"/>
        <w:rPr>
          <w:rFonts w:ascii="Times New Roman" w:hAnsi="Times New Roman"/>
        </w:rPr>
      </w:pPr>
      <w:r>
        <w:rPr/>
      </w:r>
    </w:p>
    <w:p>
      <w:pPr>
        <w:pStyle w:val="BodyText"/>
        <w:bidi w:val="0"/>
        <w:rPr>
          <w:rFonts w:ascii="Times New Roman" w:hAnsi="Times New Roman"/>
        </w:rPr>
      </w:pPr>
      <w:r>
        <w:rPr/>
        <w:tab/>
        <w:t>3.11.3</w:t>
        <w:tab/>
      </w:r>
      <w:r>
        <w:rPr>
          <w:u w:val="single"/>
        </w:rPr>
        <w:t>Changes in Law</w:t>
      </w:r>
      <w:r>
        <w:rPr/>
        <w:t xml:space="preserve">.    If and to the extent that any Change in Law </w:t>
      </w:r>
      <w:r>
        <w:rPr>
          <w:strike/>
        </w:rPr>
        <w:t>&lt;gives rise to the requirement to make a&gt;</w:t>
      </w:r>
      <w:r>
        <w:rPr/>
        <w:t xml:space="preserve"> </w:t>
      </w:r>
      <w:r>
        <w:rPr>
          <w:b/>
          <w:u w:val="double"/>
        </w:rPr>
        <w:t>requires</w:t>
      </w:r>
      <w:r>
        <w:rPr/>
        <w:t xml:space="preserve"> modification </w:t>
      </w:r>
      <w:r>
        <w:rPr>
          <w:strike/>
        </w:rPr>
        <w:t>&lt;to&gt;</w:t>
      </w:r>
      <w:r>
        <w:rPr/>
        <w:t xml:space="preserve"> </w:t>
      </w:r>
      <w:r>
        <w:rPr>
          <w:b/>
          <w:u w:val="double"/>
        </w:rPr>
        <w:t>of</w:t>
      </w:r>
      <w:r>
        <w:rPr/>
        <w:t xml:space="preserve"> the Facility or </w:t>
      </w:r>
      <w:r>
        <w:rPr>
          <w:strike/>
        </w:rPr>
        <w:t>&lt;to a&gt;</w:t>
      </w:r>
      <w:r>
        <w:rPr/>
        <w:t xml:space="preserve"> change in the Work or the schedule, manner or sequence of execution of the </w:t>
      </w:r>
      <w:r>
        <w:rPr>
          <w:strike/>
        </w:rPr>
        <w:t>&lt;Scope of&gt;</w:t>
      </w:r>
      <w:r>
        <w:rPr/>
        <w:t xml:space="preserve"> Work as described in the Specifications, such Change in Law shall be deemed to be a Change caused by Force Majeure to which the provisions of Article 6 shall apply.    Each party shall notify the other as soon as it becomes aware </w:t>
      </w:r>
      <w:r>
        <w:rPr>
          <w:strike/>
        </w:rPr>
        <w:t>&lt;that&gt;</w:t>
      </w:r>
      <w:r>
        <w:rPr/>
        <w:t xml:space="preserve"> </w:t>
      </w:r>
      <w:r>
        <w:rPr>
          <w:b/>
          <w:u w:val="double"/>
        </w:rPr>
        <w:t>of</w:t>
      </w:r>
      <w:r>
        <w:rPr/>
        <w:t xml:space="preserve"> any Change in Law </w:t>
      </w:r>
      <w:r>
        <w:rPr>
          <w:strike/>
        </w:rPr>
        <w:t>&lt;may require a modification to&gt;</w:t>
      </w:r>
      <w:r>
        <w:rPr/>
        <w:t xml:space="preserve"> </w:t>
      </w:r>
      <w:r>
        <w:rPr>
          <w:b/>
          <w:u w:val="double"/>
        </w:rPr>
        <w:t>which may affect</w:t>
      </w:r>
      <w:r>
        <w:rPr/>
        <w:t xml:space="preserve"> the Facility </w:t>
      </w:r>
      <w:r>
        <w:rPr>
          <w:b/>
          <w:u w:val="double"/>
        </w:rPr>
        <w:t>or the Work,</w:t>
      </w:r>
      <w:r>
        <w:rPr/>
        <w:t xml:space="preserve"> and shall provide the other party with </w:t>
      </w:r>
      <w:r>
        <w:rPr>
          <w:strike/>
        </w:rPr>
        <w:t>&lt;such further&gt;</w:t>
      </w:r>
      <w:r>
        <w:rPr/>
        <w:t xml:space="preserve"> information </w:t>
      </w:r>
      <w:r>
        <w:rPr>
          <w:strike/>
        </w:rPr>
        <w:t>&lt;and assistance as such party may reasonably request in order&gt;</w:t>
      </w:r>
      <w:r>
        <w:rPr/>
        <w:t xml:space="preserve"> </w:t>
      </w:r>
      <w:r>
        <w:rPr>
          <w:b/>
          <w:u w:val="double"/>
        </w:rPr>
        <w:t>as required</w:t>
      </w:r>
      <w:r>
        <w:rPr/>
        <w:t xml:space="preserve"> to enable the parties to comply with their obligations under this Agreement.</w:t>
      </w:r>
    </w:p>
    <w:p>
      <w:pPr>
        <w:pStyle w:val="BodyText"/>
        <w:bidi w:val="0"/>
        <w:rPr>
          <w:rFonts w:ascii="Times New Roman" w:hAnsi="Times New Roman"/>
        </w:rPr>
      </w:pPr>
      <w:r>
        <w:rPr/>
      </w:r>
    </w:p>
    <w:p>
      <w:pPr>
        <w:pStyle w:val="Style2toc"/>
        <w:bidi w:val="0"/>
        <w:rPr>
          <w:rFonts w:ascii="Times New Roman" w:hAnsi="Times New Roman"/>
        </w:rPr>
      </w:pPr>
      <w:r>
        <w:rPr/>
        <w:t>3.12</w:t>
        <w:tab/>
      </w:r>
      <w:r>
        <w:rPr>
          <w:u w:val="single"/>
        </w:rPr>
        <w:t>Books and Records</w:t>
      </w:r>
      <w:r>
        <w:fldChar w:fldCharType="begin"/>
      </w:r>
      <w:r>
        <w:rPr>
          <w:u w:val="single"/>
          <w:vanish/>
        </w:rPr>
        <w:instrText xml:space="preserve"> TC "3.12</w:instrText>
        <w:tab/>
        <w:instrText xml:space="preserve">Books and Records672" \l 1 </w:instrText>
      </w:r>
      <w:r>
        <w:rPr>
          <w:u w:val="single"/>
          <w:vanish/>
        </w:rPr>
        <w:fldChar w:fldCharType="separate"/>
      </w:r>
      <w:bookmarkStart w:id="72" w:name="_Toc497198903"/>
      <w:bookmarkStart w:id="73" w:name="_Toc493577452"/>
      <w:bookmarkStart w:id="74" w:name="_Toc496784581"/>
      <w:bookmarkStart w:id="75" w:name="_Toc496784858"/>
      <w:bookmarkEnd w:id="72"/>
      <w:bookmarkEnd w:id="73"/>
      <w:bookmarkEnd w:id="74"/>
      <w:bookmarkEnd w:id="75"/>
      <w:r>
        <w:rPr>
          <w:vanish/>
          <w:u w:val="single"/>
        </w:rPr>
      </w:r>
      <w:r>
        <w:rPr>
          <w:u w:val="single"/>
          <w:vanish/>
        </w:rPr>
        <w:fldChar w:fldCharType="end"/>
      </w:r>
      <w:r>
        <w:rPr>
          <w:strike/>
        </w:rPr>
        <w:t>&lt;&lt;*&gt;&gt;</w:t>
      </w:r>
      <w:r>
        <w:rPr/>
        <w:t xml:space="preserve">.    Contractor shall keep </w:t>
      </w:r>
      <w:r>
        <w:rPr>
          <w:strike/>
        </w:rPr>
        <w:t>&lt;and shall cause its Subcontractors to keep such full and detailed books, records, and accounts as may be necessary for compliance with its obligations&gt;</w:t>
      </w:r>
      <w:r>
        <w:rPr/>
        <w:t xml:space="preserve"> </w:t>
      </w:r>
      <w:r>
        <w:rPr>
          <w:b/>
          <w:u w:val="double"/>
        </w:rPr>
        <w:t>one complete set of books of accounts and records on a recognized cost accounting basis satisfactory to Owner showing all expenditures made</w:t>
      </w:r>
      <w:r>
        <w:rPr/>
        <w:t xml:space="preserve"> under this Agreement.    </w:t>
      </w:r>
      <w:r>
        <w:rPr>
          <w:strike/>
        </w:rPr>
        <w:t>&lt;Owner shall have the right, using an internationally recognized accounting firm, to audit Contractor’s records in the event of termination or cancellation under Article 16 or to verify costs in connection with a Change Order priced on a cost plus basis, excluding the multiplier or the components of the fixed rate.&gt;</w:t>
      </w:r>
      <w:r>
        <w:rPr/>
        <w:t xml:space="preserve"> </w:t>
      </w:r>
      <w:r>
        <w:rPr>
          <w:b/>
          <w:u w:val="double"/>
        </w:rPr>
        <w:t>Contractor shall furnish Owner with such books of account, records, information and data as Owner reasonably may require.    Such records shall include, without limitation, all time sheets, invoices, work logs, accounting records, written policies and procedures, original estimates, estimating worksheets, correspondence, change order files (including documentation covering negotiated settlements) and any other supporting evidence necessary to substantiate charges related to the Work.    Such books and records shall be maintained at Contractor’s main office in __________ for at least five (5) years after final payment to Contractor.    At any reasonable time within five (5) years after final payment to Contractor, Owner and its representatives may inspect, copy and audit Contractor’s books and records.    If the audit determines that there has been an under or over payment, then the party owning money will promptly pay the amount due.    Owner shall pay the costs of the audit unless the audit discloses a discrepancy from Applications for Payment or the requirements of this Agreement in excess of five percent (5%), in which case Contractor shall pay the costs of the audit.</w:t>
      </w:r>
    </w:p>
    <w:p>
      <w:pPr>
        <w:pStyle w:val="BodyText"/>
        <w:bidi w:val="0"/>
        <w:rPr>
          <w:rFonts w:ascii="Times New Roman" w:hAnsi="Times New Roman"/>
        </w:rPr>
      </w:pPr>
      <w:r>
        <w:rPr/>
      </w:r>
    </w:p>
    <w:p>
      <w:pPr>
        <w:pStyle w:val="Style2toc"/>
        <w:bidi w:val="0"/>
        <w:rPr>
          <w:rFonts w:ascii="Times New Roman" w:hAnsi="Times New Roman"/>
        </w:rPr>
      </w:pPr>
      <w:r>
        <w:rPr/>
        <w:t>3.13</w:t>
        <w:tab/>
      </w:r>
      <w:r>
        <w:rPr>
          <w:u w:val="single"/>
        </w:rPr>
        <w:t>Taxes and Fees</w:t>
      </w:r>
      <w:r>
        <w:fldChar w:fldCharType="begin"/>
      </w:r>
      <w:r>
        <w:rPr>
          <w:u w:val="single"/>
          <w:vanish/>
        </w:rPr>
        <w:instrText xml:space="preserve"> TC "3.13</w:instrText>
        <w:tab/>
        <w:instrText xml:space="preserve">Taxes and Fees672" \l 1 </w:instrText>
      </w:r>
      <w:r>
        <w:rPr>
          <w:u w:val="single"/>
          <w:vanish/>
        </w:rPr>
        <w:fldChar w:fldCharType="separate"/>
      </w:r>
      <w:bookmarkStart w:id="76" w:name="_Toc493577453"/>
      <w:bookmarkStart w:id="77" w:name="_Toc497198904"/>
      <w:bookmarkStart w:id="78" w:name="_Toc496784859"/>
      <w:bookmarkStart w:id="79" w:name="_Toc496784582"/>
      <w:bookmarkEnd w:id="76"/>
      <w:bookmarkEnd w:id="77"/>
      <w:bookmarkEnd w:id="78"/>
      <w:bookmarkEnd w:id="79"/>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b/>
        </w:rPr>
        <w:tab/>
      </w:r>
      <w:r>
        <w:rPr>
          <w:b/>
          <w:u w:val="double"/>
        </w:rPr>
        <w:t>[</w:t>
      </w:r>
      <w:r>
        <w:rPr>
          <w:b/>
        </w:rPr>
        <w:t>3.13.1</w:t>
        <w:tab/>
        <w:t xml:space="preserve">The </w:t>
      </w:r>
      <w:r>
        <w:rPr>
          <w:b/>
          <w:strike/>
        </w:rPr>
        <w:t>&lt;Contract Price&gt;</w:t>
      </w:r>
      <w:r>
        <w:rPr>
          <w:b/>
        </w:rPr>
        <w:t xml:space="preserve"> </w:t>
      </w:r>
      <w:r>
        <w:rPr>
          <w:b/>
          <w:u w:val="double"/>
        </w:rPr>
        <w:t>Cost of the Work</w:t>
      </w:r>
      <w:r>
        <w:rPr>
          <w:b/>
        </w:rPr>
        <w:t xml:space="preserve"> includes all </w:t>
      </w:r>
      <w:r>
        <w:rPr>
          <w:b/>
          <w:strike/>
        </w:rPr>
        <w:t>&lt;corporate income tax, state and local sales tax, fees for Governmental Authorizations for which Contractor is responsible under this Agreement and taxes imposed upon the Work or wages of Contractor’s of Subcontractors’ employees, agents and representatives&gt;</w:t>
      </w:r>
      <w:r>
        <w:rPr>
          <w:b/>
        </w:rPr>
        <w:t xml:space="preserve"> </w:t>
      </w:r>
      <w:r>
        <w:rPr>
          <w:b/>
          <w:u w:val="double"/>
        </w:rPr>
        <w:t>present and future taxes, duties, tariffs, and other charges, including without limitation income, excise, export, import, purchase, sales, use, turnover, added value, consular gross receipts, gross wages, fees and similar assessments imposed by any Governmental Authority with respect to this Agreement or the Work</w:t>
      </w:r>
      <w:r>
        <w:rPr>
          <w:b/>
        </w:rPr>
        <w:t xml:space="preserve">.    Without limiting the preceding sentence, </w:t>
      </w:r>
      <w:r>
        <w:rPr>
          <w:b/>
          <w:u w:val="double"/>
        </w:rPr>
        <w:t>the Cost of the Work includes and</w:t>
      </w:r>
      <w:r>
        <w:rPr>
          <w:b/>
        </w:rPr>
        <w:t xml:space="preserve"> Contractor shall be responsible for those taxes, fees, levies</w:t>
      </w:r>
      <w:r>
        <w:rPr>
          <w:b/>
          <w:strike/>
        </w:rPr>
        <w:t>&lt;,&gt;</w:t>
      </w:r>
      <w:r>
        <w:rPr>
          <w:b/>
        </w:rPr>
        <w:t xml:space="preserve"> or other governmental charges identified in Part I of </w:t>
      </w:r>
      <w:r>
        <w:rPr>
          <w:b/>
          <w:u w:val="single"/>
        </w:rPr>
        <w:t>Exhibit C-7</w:t>
      </w:r>
      <w:r>
        <w:rPr>
          <w:b/>
        </w:rPr>
        <w:t xml:space="preserve">. – </w:t>
      </w:r>
      <w:r>
        <w:rPr>
          <w:b/>
          <w:u w:val="double"/>
        </w:rPr>
        <w:t>Discuss allocation of taxes as between Owner and Contractor.]</w:t>
      </w:r>
    </w:p>
    <w:p>
      <w:pPr>
        <w:pStyle w:val="BodyText"/>
        <w:bidi w:val="0"/>
        <w:rPr>
          <w:rFonts w:ascii="Times New Roman" w:hAnsi="Times New Roman"/>
        </w:rPr>
      </w:pPr>
      <w:r>
        <w:rPr/>
      </w:r>
    </w:p>
    <w:p>
      <w:pPr>
        <w:pStyle w:val="BodyText"/>
        <w:bidi w:val="0"/>
        <w:rPr>
          <w:rFonts w:ascii="Times New Roman" w:hAnsi="Times New Roman"/>
        </w:rPr>
      </w:pPr>
      <w:r>
        <w:rPr/>
        <w:tab/>
        <w:t>3.13.2</w:t>
        <w:tab/>
        <w:t xml:space="preserve">If Contractor’s failure to promptly pay any tax or fee for which Contractor is liable pursuant to this Section 3.13 imposes a burden on Owner, then Owner may pay such tax or fee and shall be entitled to immediately recover from Contractor the amount paid together with all expenses incurred in connection </w:t>
      </w:r>
      <w:r>
        <w:rPr>
          <w:strike/>
        </w:rPr>
        <w:t>&lt;therewith&gt;</w:t>
      </w:r>
      <w:r>
        <w:rPr/>
        <w:t xml:space="preserve"> </w:t>
      </w:r>
      <w:r>
        <w:rPr>
          <w:b/>
          <w:u w:val="double"/>
        </w:rPr>
        <w:t>with the same</w:t>
      </w:r>
      <w:r>
        <w:rPr/>
        <w:t xml:space="preserve"> or set off all such amounts against any sums owed by Owner to Contractor.</w:t>
      </w:r>
    </w:p>
    <w:p>
      <w:pPr>
        <w:pStyle w:val="BodyText"/>
        <w:bidi w:val="0"/>
        <w:rPr>
          <w:rFonts w:ascii="Times New Roman" w:hAnsi="Times New Roman"/>
        </w:rPr>
      </w:pPr>
      <w:r>
        <w:rPr/>
      </w:r>
    </w:p>
    <w:p>
      <w:pPr>
        <w:pStyle w:val="BodyText"/>
        <w:bidi w:val="0"/>
        <w:rPr>
          <w:rFonts w:ascii="Times New Roman" w:hAnsi="Times New Roman"/>
        </w:rPr>
      </w:pPr>
      <w:r>
        <w:rPr/>
        <w:tab/>
        <w:t>3.13.3</w:t>
        <w:tab/>
        <w:t>Within a reasonable period after a request therefor, Contractor shall provide Owner with any information regarding quantities, descriptions, and costs of Equipment installed at the Facility, which Owner shall deem necessary in connection with tax matters, in sufficient detail and in such a format as Owner reasonably may request.</w:t>
      </w:r>
    </w:p>
    <w:p>
      <w:pPr>
        <w:pStyle w:val="BodyText"/>
        <w:bidi w:val="0"/>
        <w:rPr>
          <w:rFonts w:ascii="Times New Roman" w:hAnsi="Times New Roman"/>
        </w:rPr>
      </w:pPr>
      <w:r>
        <w:rPr/>
      </w:r>
    </w:p>
    <w:p>
      <w:pPr>
        <w:pStyle w:val="BodyText"/>
        <w:bidi w:val="0"/>
        <w:rPr>
          <w:rFonts w:ascii="Times New Roman" w:hAnsi="Times New Roman"/>
        </w:rPr>
      </w:pPr>
      <w:r>
        <w:rPr>
          <w:strike/>
        </w:rPr>
        <w:t>&lt;3.13.4 All present and future taxes, duties, tariffs, and other charges, including but not limited to, income, excise, import or export, import, purchase, sales, use, turnover, added value, consular gross receipts, gross wages, and similar assessments imposed by any Governmental Authority or any subdivision, taxing authority or agency therein with respect to this Agreement or the subject matter hereof shall be Contractor’s obligations. In the event Owner remits such taxes or charges directly to such taxing authority for any reason whatsoever, such remittances shall be for Contractor’s account and shall be paid upon Owner’s submission of invoices therefor.&gt;</w:t>
      </w:r>
    </w:p>
    <w:p>
      <w:pPr>
        <w:pStyle w:val="BodyText"/>
        <w:bidi w:val="0"/>
        <w:rPr>
          <w:rFonts w:ascii="Times New Roman" w:hAnsi="Times New Roman"/>
        </w:rPr>
      </w:pPr>
      <w:r>
        <w:rPr/>
      </w:r>
    </w:p>
    <w:p>
      <w:pPr>
        <w:pStyle w:val="Style2toc"/>
        <w:bidi w:val="0"/>
        <w:rPr>
          <w:rFonts w:ascii="Times New Roman" w:hAnsi="Times New Roman"/>
        </w:rPr>
      </w:pPr>
      <w:r>
        <w:rPr/>
        <w:t>3.14</w:t>
        <w:tab/>
      </w:r>
      <w:r>
        <w:rPr>
          <w:u w:val="single"/>
        </w:rPr>
        <w:t>Access and Inspections, Correction of Defects</w:t>
      </w:r>
      <w:r>
        <w:fldChar w:fldCharType="begin"/>
      </w:r>
      <w:r>
        <w:rPr>
          <w:u w:val="single"/>
          <w:vanish/>
        </w:rPr>
        <w:instrText xml:space="preserve"> TC "3.14</w:instrText>
        <w:tab/>
        <w:instrText xml:space="preserve">Access and Inspections, Correction of Defects352" \l 1 </w:instrText>
      </w:r>
      <w:r>
        <w:rPr>
          <w:u w:val="single"/>
          <w:vanish/>
        </w:rPr>
        <w:fldChar w:fldCharType="separate"/>
      </w:r>
      <w:bookmarkStart w:id="80" w:name="_Toc493577454"/>
      <w:bookmarkStart w:id="81" w:name="_Toc497198905"/>
      <w:bookmarkStart w:id="82" w:name="_Toc496784860"/>
      <w:bookmarkStart w:id="83" w:name="_Toc496784583"/>
      <w:bookmarkEnd w:id="80"/>
      <w:bookmarkEnd w:id="81"/>
      <w:bookmarkEnd w:id="82"/>
      <w:bookmarkEnd w:id="83"/>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3.14.1</w:t>
        <w:tab/>
      </w:r>
      <w:r>
        <w:rPr>
          <w:u w:val="single"/>
        </w:rPr>
        <w:t>Right to Inspect</w:t>
      </w:r>
      <w:r>
        <w:rPr/>
        <w:t xml:space="preserve">.    Contractor shall provide (or cause its Subcontractors to provide) at the Site office space and facilities for </w:t>
      </w:r>
      <w:r>
        <w:rPr>
          <w:strike/>
        </w:rPr>
        <w:t>&lt;six (6)&gt;</w:t>
      </w:r>
      <w:r>
        <w:rPr>
          <w:b/>
          <w:u w:val="double"/>
        </w:rPr>
        <w:t>_______ (__)</w:t>
      </w:r>
      <w:r>
        <w:rPr/>
        <w:t xml:space="preserve"> Owner’s representatives, and an office in the </w:t>
      </w:r>
      <w:r>
        <w:rPr>
          <w:strike/>
        </w:rPr>
        <w:t>&lt;detailed&gt;</w:t>
      </w:r>
      <w:r>
        <w:rPr>
          <w:b/>
          <w:u w:val="double"/>
        </w:rPr>
        <w:t>__________</w:t>
      </w:r>
      <w:r>
        <w:rPr/>
        <w:t xml:space="preserve"> engineer facility, suitable for Owner’s needs during design, construction and testing.    </w:t>
      </w:r>
      <w:r>
        <w:rPr>
          <w:strike/>
        </w:rPr>
        <w:t>&lt;Such offices&gt;</w:t>
      </w:r>
      <w:r>
        <w:rPr/>
        <w:t xml:space="preserve"> </w:t>
      </w:r>
      <w:r>
        <w:rPr>
          <w:b/>
          <w:u w:val="double"/>
        </w:rPr>
        <w:t>Offices at the Site</w:t>
      </w:r>
      <w:r>
        <w:rPr/>
        <w:t xml:space="preserve"> shall be of the same quality and standards as those used by Contractor’s on-Site staff.    Owner and its authorized representatives</w:t>
      </w:r>
      <w:r>
        <w:rPr>
          <w:strike/>
        </w:rPr>
        <w:t>&lt;,&gt;</w:t>
      </w:r>
      <w:r>
        <w:rPr/>
        <w:t xml:space="preserve"> </w:t>
      </w:r>
      <w:r>
        <w:rPr>
          <w:b/>
          <w:u w:val="double"/>
        </w:rPr>
        <w:t>(</w:t>
      </w:r>
      <w:r>
        <w:rPr/>
        <w:t>including any Lender or a representative of any Lender</w:t>
      </w:r>
      <w:r>
        <w:rPr>
          <w:strike/>
        </w:rPr>
        <w:t>&lt;, shall,&gt;</w:t>
      </w:r>
      <w:r>
        <w:rPr>
          <w:b/>
          <w:u w:val="double"/>
        </w:rPr>
        <w:t>)</w:t>
      </w:r>
      <w:r>
        <w:rPr/>
        <w:t xml:space="preserve"> at Owner’s </w:t>
      </w:r>
      <w:r>
        <w:rPr>
          <w:b/>
          <w:u w:val="double"/>
        </w:rPr>
        <w:t>sole</w:t>
      </w:r>
      <w:r>
        <w:rPr/>
        <w:t xml:space="preserve"> cost, </w:t>
      </w:r>
      <w:r>
        <w:rPr>
          <w:strike/>
        </w:rPr>
        <w:t>&lt;at&gt;</w:t>
      </w:r>
      <w:r>
        <w:rPr/>
        <w:t xml:space="preserve"> </w:t>
      </w:r>
      <w:r>
        <w:rPr>
          <w:b/>
          <w:u w:val="double"/>
        </w:rPr>
        <w:t>shall (a) at</w:t>
      </w:r>
      <w:r>
        <w:rPr/>
        <w:t xml:space="preserve"> all times have access to any place where Work is being performed </w:t>
      </w:r>
      <w:r>
        <w:rPr>
          <w:strike/>
        </w:rPr>
        <w:t>&lt;by Contractor or any Subcontractor&gt;</w:t>
      </w:r>
      <w:r>
        <w:rPr/>
        <w:t xml:space="preserve"> to observe the Work</w:t>
      </w:r>
      <w:r>
        <w:rPr>
          <w:strike/>
        </w:rPr>
        <w:t>&lt;,&gt;</w:t>
      </w:r>
      <w:r>
        <w:rPr/>
        <w:t xml:space="preserve"> and </w:t>
      </w:r>
      <w:r>
        <w:rPr>
          <w:strike/>
        </w:rPr>
        <w:t>&lt;upon&gt;</w:t>
      </w:r>
      <w:r>
        <w:rPr>
          <w:b/>
          <w:u w:val="double"/>
        </w:rPr>
        <w:t>(b) upon</w:t>
      </w:r>
      <w:r>
        <w:rPr/>
        <w:t xml:space="preserve"> reasonable advance notice to Contractor</w:t>
      </w:r>
      <w:r>
        <w:rPr>
          <w:b/>
          <w:u w:val="double"/>
        </w:rPr>
        <w:t>,</w:t>
      </w:r>
      <w:r>
        <w:rPr/>
        <w:t xml:space="preserve"> and subject to compliance with reasonable safety precautions, have the right to maintain a reasonable presence at the Site.    Contractor shall make arrangements and provide for such access.    All such Persons shall have the right to be present during the designing, engineering, procuring, </w:t>
      </w:r>
      <w:r>
        <w:rPr>
          <w:strike/>
        </w:rPr>
        <w:t>&lt;construction, start-&gt;</w:t>
      </w:r>
      <w:r>
        <w:rPr>
          <w:b/>
          <w:u w:val="double"/>
        </w:rPr>
        <w:t>constructing, starting</w:t>
      </w:r>
      <w:r>
        <w:rPr/>
        <w:t xml:space="preserve"> up, commissioning</w:t>
      </w:r>
      <w:r>
        <w:rPr>
          <w:strike/>
        </w:rPr>
        <w:t>&lt;,&gt;</w:t>
      </w:r>
      <w:r>
        <w:rPr/>
        <w:t xml:space="preserve"> and testing </w:t>
      </w:r>
      <w:r>
        <w:rPr>
          <w:b/>
          <w:u w:val="double"/>
        </w:rPr>
        <w:t>of the Facility and the Equipment</w:t>
      </w:r>
      <w:r>
        <w:rPr/>
        <w:t>, whether on or off the Site, and shall, by way of example and not limitation, have access to all test procedures, quality control reports</w:t>
      </w:r>
      <w:r>
        <w:rPr>
          <w:strike/>
        </w:rPr>
        <w:t>&lt;,&gt;</w:t>
      </w:r>
      <w:r>
        <w:rPr/>
        <w:t xml:space="preserve"> and test reports and data, including all adjustment, installation, and alignment data for the Equipment.    Contractor shall give notice of the tests and coordinate with Owner the tests provided for in this Agreement.    In addition to Owner’s other rights in this Agreement, in order to allow Owner and its authorized representatives to be present, Contractor shall give Owner at least five (5) Business Days advance notice of any system or equipment check-out or testing under Article 11 or with respect to which Owner specifically requests advance notice.    Contractor also shall provide any other information in its possession relating to the Facility or this Agreement reasonably requested by Owner or any of its authorized representatives including information necessary for Owner’s performance of risk analysis, environmental </w:t>
      </w:r>
      <w:r>
        <w:rPr>
          <w:strike/>
        </w:rPr>
        <w:t>&lt;studies,&gt;</w:t>
      </w:r>
      <w:r>
        <w:rPr/>
        <w:t xml:space="preserve"> and other studies.    </w:t>
      </w:r>
      <w:r>
        <w:rPr>
          <w:b/>
          <w:u w:val="double"/>
        </w:rPr>
        <w:t>[</w:t>
      </w:r>
      <w:r>
        <w:rPr>
          <w:b/>
        </w:rPr>
        <w:t xml:space="preserve">Owner’s access rights in connection with the </w:t>
      </w:r>
      <w:r>
        <w:rPr>
          <w:b/>
          <w:strike/>
        </w:rPr>
        <w:t>&lt;Power Island&gt;</w:t>
      </w:r>
      <w:r>
        <w:rPr>
          <w:b/>
        </w:rPr>
        <w:t xml:space="preserve"> </w:t>
      </w:r>
      <w:r>
        <w:rPr>
          <w:b/>
          <w:u w:val="double"/>
        </w:rPr>
        <w:t>Owner Supplied</w:t>
      </w:r>
      <w:r>
        <w:rPr>
          <w:b/>
        </w:rPr>
        <w:t xml:space="preserve"> Equipment are subject to the restrictions </w:t>
      </w:r>
      <w:r>
        <w:rPr>
          <w:b/>
          <w:strike/>
        </w:rPr>
        <w:t>&lt;set forth in Sections 8.1 and 8.2 of the GE Contract.&gt;</w:t>
      </w:r>
      <w:r>
        <w:rPr>
          <w:b/>
        </w:rPr>
        <w:t xml:space="preserve"> </w:t>
      </w:r>
      <w:r>
        <w:rPr>
          <w:b/>
          <w:u w:val="double"/>
        </w:rPr>
        <w:t>noted in Schedule U.]</w:t>
      </w:r>
    </w:p>
    <w:p>
      <w:pPr>
        <w:pStyle w:val="BodyText"/>
        <w:bidi w:val="0"/>
        <w:rPr>
          <w:rFonts w:ascii="Times New Roman" w:hAnsi="Times New Roman"/>
        </w:rPr>
      </w:pPr>
      <w:r>
        <w:rPr/>
      </w:r>
    </w:p>
    <w:p>
      <w:pPr>
        <w:pStyle w:val="BodyText"/>
        <w:bidi w:val="0"/>
        <w:rPr>
          <w:rFonts w:ascii="Times New Roman" w:hAnsi="Times New Roman"/>
        </w:rPr>
      </w:pPr>
      <w:r>
        <w:rPr/>
        <w:tab/>
        <w:t>3.14.2</w:t>
        <w:tab/>
      </w:r>
      <w:r>
        <w:rPr>
          <w:u w:val="single"/>
        </w:rPr>
        <w:t>Correction of Defects</w:t>
      </w:r>
      <w:r>
        <w:rPr/>
        <w:t xml:space="preserve">.    Contractor </w:t>
      </w:r>
      <w:r>
        <w:rPr>
          <w:strike/>
        </w:rPr>
        <w:t>&lt;shall&gt;</w:t>
      </w:r>
      <w:r>
        <w:rPr/>
        <w:t xml:space="preserve">, at its sole cost </w:t>
      </w:r>
      <w:r>
        <w:rPr>
          <w:strike/>
        </w:rPr>
        <w:t>&lt;and expense, &gt;</w:t>
      </w:r>
      <w:r>
        <w:rPr>
          <w:b/>
          <w:u w:val="double"/>
        </w:rPr>
        <w:t>, shall</w:t>
      </w:r>
      <w:r>
        <w:rPr/>
        <w:t xml:space="preserve"> promptly correct any part of the Work which is defective or not in accordance with this Agreement, regardless of the stage of its completion or the time or place of discovery of such errors and regardless of whether Owner has previously accepted it through oversight or otherwise.    </w:t>
      </w:r>
      <w:r>
        <w:rPr>
          <w:strike/>
        </w:rPr>
        <w:t>&lt;In the event that&gt;</w:t>
      </w:r>
      <w:r>
        <w:rPr/>
        <w:t xml:space="preserve"> </w:t>
      </w:r>
      <w:r>
        <w:rPr>
          <w:b/>
          <w:u w:val="double"/>
        </w:rPr>
        <w:t>However, if</w:t>
      </w:r>
      <w:r>
        <w:rPr/>
        <w:t xml:space="preserve"> any part of the Work is discovered to be </w:t>
      </w:r>
      <w:r>
        <w:rPr>
          <w:strike/>
        </w:rPr>
        <w:t>&lt;in a&gt;</w:t>
      </w:r>
      <w:r>
        <w:rPr/>
        <w:t xml:space="preserve"> defective </w:t>
      </w:r>
      <w:r>
        <w:rPr>
          <w:strike/>
        </w:rPr>
        <w:t>&lt;condition&gt;</w:t>
      </w:r>
      <w:r>
        <w:rPr/>
        <w:t xml:space="preserve"> or not </w:t>
      </w:r>
      <w:r>
        <w:rPr>
          <w:strike/>
        </w:rPr>
        <w:t>&lt;conforming to&gt;</w:t>
      </w:r>
      <w:r>
        <w:rPr/>
        <w:t xml:space="preserve"> </w:t>
      </w:r>
      <w:r>
        <w:rPr>
          <w:b/>
          <w:u w:val="double"/>
        </w:rPr>
        <w:t>in accordance with</w:t>
      </w:r>
      <w:r>
        <w:rPr/>
        <w:t xml:space="preserve"> this Agreement after Substantial Completion, correction </w:t>
      </w:r>
      <w:r>
        <w:rPr>
          <w:strike/>
        </w:rPr>
        <w:t>&lt;of such defective condition&gt;</w:t>
      </w:r>
      <w:r>
        <w:rPr/>
        <w:t xml:space="preserve"> shall be governed by Article 12 </w:t>
      </w:r>
      <w:r>
        <w:rPr>
          <w:strike/>
        </w:rPr>
        <w:t>&lt;of this Agreement&gt;</w:t>
      </w:r>
      <w:r>
        <w:rPr/>
        <w:t>.</w:t>
      </w:r>
    </w:p>
    <w:p>
      <w:pPr>
        <w:pStyle w:val="BodyText"/>
        <w:bidi w:val="0"/>
        <w:rPr>
          <w:rFonts w:ascii="Times New Roman" w:hAnsi="Times New Roman"/>
        </w:rPr>
      </w:pPr>
      <w:r>
        <w:rPr/>
      </w:r>
    </w:p>
    <w:p>
      <w:pPr>
        <w:pStyle w:val="BodyText"/>
        <w:bidi w:val="0"/>
        <w:rPr>
          <w:rFonts w:ascii="Times New Roman" w:hAnsi="Times New Roman"/>
        </w:rPr>
      </w:pPr>
      <w:r>
        <w:rPr/>
        <w:tab/>
        <w:t>3.14.3</w:t>
        <w:tab/>
      </w:r>
      <w:r>
        <w:rPr>
          <w:u w:val="single"/>
        </w:rPr>
        <w:t>Disclaimer</w:t>
      </w:r>
      <w:r>
        <w:rPr/>
        <w:t>.    No inspection or review by Owner or its representatives shall constitute an approval, endorsement, or confirmation of any drawing, plan, specification, proposed Subcontractor</w:t>
      </w:r>
      <w:r>
        <w:rPr>
          <w:strike/>
        </w:rPr>
        <w:t>&lt;,&gt;</w:t>
      </w:r>
      <w:r>
        <w:rPr/>
        <w:t xml:space="preserve"> or Work or an acknowledgment by Owner or such other Person that drawing, plan, specification, proposed Subcontractor</w:t>
      </w:r>
      <w:r>
        <w:rPr>
          <w:strike/>
        </w:rPr>
        <w:t>&lt;,&gt;</w:t>
      </w:r>
      <w:r>
        <w:rPr/>
        <w:t xml:space="preserve"> or Work satisfies the requirements of this Agreement; nor shall any such inspection or review relieve Contractor of any of its obligations to perform the Work and furnish the Equipment so that the Facility, when complete, satisfies all the requirements of this Agreement.</w:t>
      </w:r>
    </w:p>
    <w:p>
      <w:pPr>
        <w:pStyle w:val="BodyText"/>
        <w:bidi w:val="0"/>
        <w:rPr>
          <w:rFonts w:ascii="Times New Roman" w:hAnsi="Times New Roman"/>
        </w:rPr>
      </w:pPr>
      <w:r>
        <w:rPr/>
      </w:r>
    </w:p>
    <w:p>
      <w:pPr>
        <w:pStyle w:val="BodyText"/>
        <w:bidi w:val="0"/>
        <w:rPr>
          <w:rFonts w:ascii="Times New Roman" w:hAnsi="Times New Roman"/>
        </w:rPr>
      </w:pPr>
      <w:r>
        <w:rPr/>
        <w:tab/>
        <w:t>3.14.4</w:t>
        <w:tab/>
      </w:r>
      <w:r>
        <w:rPr>
          <w:u w:val="single"/>
        </w:rPr>
        <w:t>Tear-Out</w:t>
      </w:r>
      <w:r>
        <w:rPr/>
        <w:t xml:space="preserve">.    Prior to Substantial Completion, </w:t>
      </w:r>
      <w:r>
        <w:rPr>
          <w:strike/>
        </w:rPr>
        <w:t>&lt;in the event&gt;</w:t>
      </w:r>
      <w:r>
        <w:rPr/>
        <w:t xml:space="preserve"> </w:t>
      </w:r>
      <w:r>
        <w:rPr>
          <w:b/>
          <w:u w:val="double"/>
        </w:rPr>
        <w:t>if</w:t>
      </w:r>
      <w:r>
        <w:rPr/>
        <w:t xml:space="preserve"> Owner requests Contractor to tear out Work to inspect previously covered Work or Equipment and (a) such tear-out is required as a result of Contractor’s failure to hold a witness or hold point as specified in Sections 3.14.5 and 3.14.6 or (b) the Work inspected is defective or not in accordance with </w:t>
      </w:r>
      <w:r>
        <w:rPr>
          <w:strike/>
        </w:rPr>
        <w:t>&lt;the requirements of&gt;</w:t>
      </w:r>
      <w:r>
        <w:rPr/>
        <w:t xml:space="preserve"> this Agreement, then (and only then) Contractor shall bear the cost and time of such tear-out, repair and replacement.</w:t>
      </w:r>
    </w:p>
    <w:p>
      <w:pPr>
        <w:pStyle w:val="BodyText"/>
        <w:bidi w:val="0"/>
        <w:rPr>
          <w:rFonts w:ascii="Times New Roman" w:hAnsi="Times New Roman"/>
        </w:rPr>
      </w:pPr>
      <w:r>
        <w:rPr/>
      </w:r>
    </w:p>
    <w:p>
      <w:pPr>
        <w:pStyle w:val="BodyText"/>
        <w:bidi w:val="0"/>
        <w:rPr>
          <w:rFonts w:ascii="Times New Roman" w:hAnsi="Times New Roman"/>
        </w:rPr>
      </w:pPr>
      <w:r>
        <w:rPr/>
        <w:tab/>
        <w:t>3.14.5</w:t>
        <w:tab/>
      </w:r>
      <w:r>
        <w:rPr>
          <w:u w:val="single"/>
        </w:rPr>
        <w:t>Witness &amp; Hold Points Proposal</w:t>
      </w:r>
      <w:r>
        <w:rPr/>
        <w:t xml:space="preserve">.    Contractor shall provide a complete </w:t>
      </w:r>
      <w:r>
        <w:rPr>
          <w:strike/>
        </w:rPr>
        <w:t>&lt;listing&gt;</w:t>
      </w:r>
      <w:r>
        <w:rPr/>
        <w:t xml:space="preserve"> </w:t>
      </w:r>
      <w:r>
        <w:rPr>
          <w:b/>
          <w:u w:val="double"/>
        </w:rPr>
        <w:t>list</w:t>
      </w:r>
      <w:r>
        <w:rPr/>
        <w:t xml:space="preserve"> of proposed witness and hold points for </w:t>
      </w:r>
      <w:r>
        <w:rPr>
          <w:strike/>
        </w:rPr>
        <w:t>&lt;Owner&gt;</w:t>
      </w:r>
      <w:r>
        <w:rPr/>
        <w:t xml:space="preserve"> </w:t>
      </w:r>
      <w:r>
        <w:rPr>
          <w:b/>
          <w:u w:val="double"/>
        </w:rPr>
        <w:t>Owner’s</w:t>
      </w:r>
      <w:r>
        <w:rPr/>
        <w:t xml:space="preserve"> review and approval </w:t>
      </w:r>
      <w:r>
        <w:rPr>
          <w:strike/>
        </w:rPr>
        <w:t>&lt;which&gt;</w:t>
      </w:r>
      <w:r>
        <w:rPr>
          <w:b/>
          <w:u w:val="double"/>
        </w:rPr>
        <w:t>.    This list</w:t>
      </w:r>
      <w:r>
        <w:rPr/>
        <w:t xml:space="preserve"> shall be included in its manufacturing and construction schedules for </w:t>
      </w:r>
      <w:r>
        <w:rPr>
          <w:strike/>
        </w:rPr>
        <w:t>&lt;all&gt;</w:t>
      </w:r>
      <w:r>
        <w:rPr/>
        <w:t xml:space="preserve"> </w:t>
      </w:r>
      <w:r>
        <w:rPr>
          <w:b/>
          <w:u w:val="double"/>
        </w:rPr>
        <w:t>the</w:t>
      </w:r>
      <w:r>
        <w:rPr/>
        <w:t xml:space="preserve"> Equipment</w:t>
      </w:r>
      <w:r>
        <w:rPr>
          <w:strike/>
        </w:rPr>
        <w:t>&lt;. Such listings&gt;</w:t>
      </w:r>
      <w:r>
        <w:rPr>
          <w:b/>
          <w:u w:val="double"/>
        </w:rPr>
        <w:t>, and</w:t>
      </w:r>
      <w:r>
        <w:rPr/>
        <w:t xml:space="preserve"> shall be provided </w:t>
      </w:r>
      <w:r>
        <w:rPr>
          <w:b/>
          <w:u w:val="double"/>
        </w:rPr>
        <w:t>at least</w:t>
      </w:r>
      <w:r>
        <w:rPr/>
        <w:t xml:space="preserve"> twenty (20) days prior to </w:t>
      </w:r>
      <w:r>
        <w:rPr>
          <w:strike/>
        </w:rPr>
        <w:t>&lt;the&gt;</w:t>
      </w:r>
      <w:r>
        <w:rPr/>
        <w:t xml:space="preserve"> release for manufacturing of the applicable Equipment.    Owner shall review and respond to such submittal within ten (10) days of receipt</w:t>
      </w:r>
      <w:r>
        <w:rPr>
          <w:b/>
          <w:u w:val="double"/>
        </w:rPr>
        <w:t>,</w:t>
      </w:r>
      <w:r>
        <w:rPr/>
        <w:t xml:space="preserve"> either accepting </w:t>
      </w:r>
      <w:r>
        <w:rPr>
          <w:strike/>
        </w:rPr>
        <w:t>&lt;such&gt;</w:t>
      </w:r>
      <w:r>
        <w:rPr/>
        <w:t xml:space="preserve"> </w:t>
      </w:r>
      <w:r>
        <w:rPr>
          <w:b/>
          <w:u w:val="double"/>
        </w:rPr>
        <w:t>the</w:t>
      </w:r>
      <w:r>
        <w:rPr/>
        <w:t xml:space="preserve"> witness and hold points or requiring reasonable additional witness and hold points.    The parties </w:t>
      </w:r>
      <w:r>
        <w:rPr>
          <w:strike/>
        </w:rPr>
        <w:t>&lt;agree to&gt;</w:t>
      </w:r>
      <w:r>
        <w:rPr/>
        <w:t xml:space="preserve"> </w:t>
      </w:r>
      <w:r>
        <w:rPr>
          <w:b/>
          <w:u w:val="double"/>
        </w:rPr>
        <w:t>will</w:t>
      </w:r>
      <w:r>
        <w:rPr/>
        <w:t xml:space="preserve"> develop a mutually agreed final list of witness and hold points, and Contractor shall submit such mutually agreed list to Owner prior to releasing such Equipment for manufacturing.</w:t>
      </w:r>
    </w:p>
    <w:p>
      <w:pPr>
        <w:pStyle w:val="BodyText"/>
        <w:bidi w:val="0"/>
        <w:rPr>
          <w:rFonts w:ascii="Times New Roman" w:hAnsi="Times New Roman"/>
        </w:rPr>
      </w:pPr>
      <w:r>
        <w:rPr/>
      </w:r>
    </w:p>
    <w:p>
      <w:pPr>
        <w:pStyle w:val="BodyText"/>
        <w:bidi w:val="0"/>
        <w:rPr>
          <w:rFonts w:ascii="Times New Roman" w:hAnsi="Times New Roman"/>
        </w:rPr>
      </w:pPr>
      <w:r>
        <w:rPr/>
        <w:tab/>
        <w:t>3.14.6</w:t>
        <w:tab/>
      </w:r>
      <w:r>
        <w:rPr>
          <w:u w:val="single"/>
        </w:rPr>
        <w:t>Witness &amp; Hold Points</w:t>
      </w:r>
      <w:r>
        <w:rPr/>
        <w:t xml:space="preserve">.    Contractor shall provide a preliminary and final notification to Owner prior to reaching any of the witness or hold points established </w:t>
      </w:r>
      <w:r>
        <w:rPr>
          <w:strike/>
        </w:rPr>
        <w:t>&lt;pursuant to&gt;</w:t>
      </w:r>
      <w:r>
        <w:rPr/>
        <w:t xml:space="preserve"> </w:t>
      </w:r>
      <w:r>
        <w:rPr>
          <w:b/>
          <w:u w:val="double"/>
        </w:rPr>
        <w:t>under</w:t>
      </w:r>
      <w:r>
        <w:rPr/>
        <w:t xml:space="preserve"> Section </w:t>
      </w:r>
      <w:r>
        <w:rPr>
          <w:strike/>
        </w:rPr>
        <w:t>&lt;3.13.5&gt;</w:t>
      </w:r>
      <w:r>
        <w:rPr/>
        <w:t xml:space="preserve"> </w:t>
      </w:r>
      <w:r>
        <w:rPr>
          <w:b/>
          <w:u w:val="double"/>
        </w:rPr>
        <w:t>3.14.5</w:t>
      </w:r>
      <w:r>
        <w:rPr/>
        <w:t xml:space="preserve">.    A preliminary notice shall be </w:t>
      </w:r>
      <w:r>
        <w:rPr>
          <w:strike/>
        </w:rPr>
        <w:t>&lt;provided&gt;</w:t>
      </w:r>
      <w:r>
        <w:rPr/>
        <w:t xml:space="preserve"> </w:t>
      </w:r>
      <w:r>
        <w:rPr>
          <w:b/>
          <w:u w:val="double"/>
        </w:rPr>
        <w:t>delivered</w:t>
      </w:r>
      <w:r>
        <w:rPr/>
        <w:t xml:space="preserve"> at least fourteen (14) days </w:t>
      </w:r>
      <w:r>
        <w:rPr>
          <w:strike/>
        </w:rPr>
        <w:t>&lt;in advance of such&gt;</w:t>
      </w:r>
      <w:r>
        <w:rPr/>
        <w:t xml:space="preserve"> </w:t>
      </w:r>
      <w:r>
        <w:rPr>
          <w:b/>
          <w:u w:val="double"/>
        </w:rPr>
        <w:t>prior to the</w:t>
      </w:r>
      <w:r>
        <w:rPr/>
        <w:t xml:space="preserve"> witness or hold point.    A </w:t>
      </w:r>
      <w:r>
        <w:rPr>
          <w:strike/>
        </w:rPr>
        <w:t>&lt;second or&gt;</w:t>
      </w:r>
      <w:r>
        <w:rPr/>
        <w:t xml:space="preserve"> final notice shall be </w:t>
      </w:r>
      <w:r>
        <w:rPr>
          <w:strike/>
        </w:rPr>
        <w:t>&lt;sent no later than&gt;</w:t>
      </w:r>
      <w:r>
        <w:rPr/>
        <w:t xml:space="preserve"> </w:t>
      </w:r>
      <w:r>
        <w:rPr>
          <w:b/>
          <w:u w:val="double"/>
        </w:rPr>
        <w:t>delivered at least</w:t>
      </w:r>
      <w:r>
        <w:rPr/>
        <w:t xml:space="preserve"> five (5) days prior to the witness or hold point.    Owner at its election may witness the activity </w:t>
      </w:r>
      <w:r>
        <w:rPr>
          <w:strike/>
        </w:rPr>
        <w:t>&lt;reference&gt;</w:t>
      </w:r>
      <w:r>
        <w:rPr/>
        <w:t xml:space="preserve"> </w:t>
      </w:r>
      <w:r>
        <w:rPr>
          <w:b/>
          <w:u w:val="double"/>
        </w:rPr>
        <w:t>referenced</w:t>
      </w:r>
      <w:r>
        <w:rPr/>
        <w:t xml:space="preserve"> in the witness or hold point, but Contractor is not required to wait for written approval to proceed past a witness or hold point.    </w:t>
      </w:r>
    </w:p>
    <w:p>
      <w:pPr>
        <w:pStyle w:val="BodyText"/>
        <w:bidi w:val="0"/>
        <w:rPr>
          <w:rFonts w:ascii="Times New Roman" w:hAnsi="Times New Roman"/>
        </w:rPr>
      </w:pPr>
      <w:r>
        <w:rPr/>
      </w:r>
    </w:p>
    <w:p>
      <w:pPr>
        <w:pStyle w:val="Style2toc"/>
        <w:bidi w:val="0"/>
        <w:rPr>
          <w:rFonts w:ascii="Times New Roman" w:hAnsi="Times New Roman"/>
        </w:rPr>
      </w:pPr>
      <w:r>
        <w:rPr/>
        <w:t>3.15</w:t>
        <w:tab/>
      </w:r>
      <w:r>
        <w:rPr>
          <w:u w:val="single"/>
        </w:rPr>
        <w:t>Security of    the Site; Storage and Related Matters</w:t>
      </w:r>
      <w:r>
        <w:fldChar w:fldCharType="begin"/>
      </w:r>
      <w:r>
        <w:rPr>
          <w:u w:val="single"/>
          <w:vanish/>
        </w:rPr>
        <w:instrText xml:space="preserve"> TC "3.15</w:instrText>
        <w:tab/>
        <w:instrText xml:space="preserve">Security of  the Site; Storage and Related Matters672" \l 1 </w:instrText>
      </w:r>
      <w:r>
        <w:rPr>
          <w:u w:val="single"/>
          <w:vanish/>
        </w:rPr>
        <w:fldChar w:fldCharType="separate"/>
      </w:r>
      <w:bookmarkStart w:id="84" w:name="_Toc493577455"/>
      <w:bookmarkStart w:id="85" w:name="_Toc497198906"/>
      <w:bookmarkStart w:id="86" w:name="_Toc496784861"/>
      <w:bookmarkStart w:id="87" w:name="_Toc496784584"/>
      <w:bookmarkEnd w:id="84"/>
      <w:bookmarkEnd w:id="85"/>
      <w:bookmarkEnd w:id="86"/>
      <w:bookmarkEnd w:id="87"/>
      <w:r>
        <w:rPr>
          <w:vanish/>
          <w:u w:val="single"/>
        </w:rPr>
      </w:r>
      <w:r>
        <w:rPr>
          <w:u w:val="single"/>
          <w:vanish/>
        </w:rPr>
        <w:fldChar w:fldCharType="end"/>
      </w:r>
      <w:r>
        <w:rPr>
          <w:strike/>
        </w:rPr>
        <w:t>&lt;&lt;*&gt;&gt;</w:t>
      </w:r>
      <w:r>
        <w:rPr/>
        <w:t xml:space="preserve">.    Contractor shall warehouse or otherwise provide appropriate storage for all Equipment </w:t>
      </w:r>
      <w:r>
        <w:rPr>
          <w:strike/>
        </w:rPr>
        <w:t>&lt;(including, to the extent so specified in Exhibit N, spare parts and special tools)&gt;</w:t>
      </w:r>
      <w:r>
        <w:rPr/>
        <w:t xml:space="preserve"> at or in the vicinity of the Site.    Contractor shall be responsible for the proper fencing, guarding, lighting, and security of all of the Work and Equipment on the Site and for the proper provision of temporary roadways and footways on the Site as </w:t>
      </w:r>
      <w:r>
        <w:rPr>
          <w:strike/>
        </w:rPr>
        <w:t>&lt;far as may be&gt;</w:t>
      </w:r>
      <w:r>
        <w:rPr/>
        <w:t xml:space="preserve"> necessary to secure the Work.    All Equipment that is stored at a location other than the Site shall be segregated from other goods and Contractor shall be responsible for the security and protection of all Equipment stored or warehoused off the Site.</w:t>
      </w:r>
    </w:p>
    <w:p>
      <w:pPr>
        <w:pStyle w:val="BodyText"/>
        <w:bidi w:val="0"/>
        <w:rPr>
          <w:rFonts w:ascii="Times New Roman" w:hAnsi="Times New Roman"/>
        </w:rPr>
      </w:pPr>
      <w:r>
        <w:rPr/>
      </w:r>
    </w:p>
    <w:p>
      <w:pPr>
        <w:pStyle w:val="Style2toc"/>
        <w:bidi w:val="0"/>
        <w:rPr>
          <w:rFonts w:ascii="Times New Roman" w:hAnsi="Times New Roman"/>
        </w:rPr>
      </w:pPr>
      <w:r>
        <w:rPr/>
        <w:t>3.16</w:t>
        <w:tab/>
      </w:r>
      <w:r>
        <w:rPr>
          <w:u w:val="single"/>
        </w:rPr>
        <w:t>Cooperation and Non-interference</w:t>
      </w:r>
      <w:r>
        <w:fldChar w:fldCharType="begin"/>
      </w:r>
      <w:r>
        <w:rPr>
          <w:u w:val="single"/>
          <w:vanish/>
        </w:rPr>
        <w:instrText xml:space="preserve"> TC "3.16</w:instrText>
        <w:tab/>
        <w:instrText xml:space="preserve">Cooperation and Non-interference672" \l 1 </w:instrText>
      </w:r>
      <w:r>
        <w:rPr>
          <w:u w:val="single"/>
          <w:vanish/>
        </w:rPr>
        <w:fldChar w:fldCharType="separate"/>
      </w:r>
      <w:bookmarkStart w:id="88" w:name="_Toc496784585"/>
      <w:bookmarkStart w:id="89" w:name="_Toc496784862"/>
      <w:bookmarkStart w:id="90" w:name="_Toc493577456"/>
      <w:bookmarkStart w:id="91" w:name="_Toc497198907"/>
      <w:bookmarkEnd w:id="88"/>
      <w:bookmarkEnd w:id="89"/>
      <w:bookmarkEnd w:id="90"/>
      <w:bookmarkEnd w:id="91"/>
      <w:r>
        <w:rPr>
          <w:vanish/>
          <w:u w:val="single"/>
        </w:rPr>
      </w:r>
      <w:r>
        <w:rPr>
          <w:u w:val="single"/>
          <w:vanish/>
        </w:rPr>
        <w:fldChar w:fldCharType="end"/>
      </w:r>
      <w:r>
        <w:rPr>
          <w:strike/>
        </w:rPr>
        <w:t>&lt;&lt;*&gt;&gt;</w:t>
      </w:r>
      <w:r>
        <w:rPr/>
        <w:t xml:space="preserve">.    Contractor acknowledges and accepts that Owner may engage other Persons to perform work or provide services in connection with the completion of the Facility which are not part of the Work and which may or may not be performed at or adjacent to the Site (the “Out of Scope Construction”). Contractor </w:t>
      </w:r>
      <w:r>
        <w:rPr>
          <w:strike/>
        </w:rPr>
        <w:t>&lt;agrees to&gt;</w:t>
      </w:r>
      <w:r>
        <w:rPr/>
        <w:t xml:space="preserve"> </w:t>
      </w:r>
      <w:r>
        <w:rPr>
          <w:b/>
          <w:u w:val="double"/>
        </w:rPr>
        <w:t>will</w:t>
      </w:r>
      <w:r>
        <w:rPr/>
        <w:t xml:space="preserve"> cooperate in good faith and use its reasonable efforts to coordinate performance of the Work so as to enable any Person performing the Out of Scope Construction to complete its work in a timely and efficient manner.    </w:t>
      </w:r>
      <w:r>
        <w:rPr>
          <w:b/>
          <w:u w:val="double"/>
        </w:rPr>
        <w:t>[</w:t>
      </w:r>
      <w:r>
        <w:rPr>
          <w:b/>
        </w:rPr>
        <w:t>To the extent required in the Project Labor Agreement, Owner shall require Persons performing Out of Scope Construction to comply with the Project Labor Agreement.</w:t>
      </w:r>
      <w:r>
        <w:rPr>
          <w:b/>
          <w:u w:val="double"/>
        </w:rPr>
        <w:t>]    If Owner requires, Contractor shall attend coordination conferences with the Owner and Persons performing Out of Scope Construction and shall prepare coordination drawings to satisfactorily coordinate and interface the Work with the work of Owner and all Persons performing Out of Scope Construction.    If Contractor notifies Owner in writing that Owner or any Persons performing Out of Scope Construction are failing to coordinate work with Contractor’s Work, the Owner shall promptly investigate the assertion, and commence such corrective measures as Owner deems necessary or appropriate.    Any difference or conflict which may arise over the Work between Contractor and Owner or any Persons performing Out of Scope Construction shall be adjusted by Owner, subject to the dispute resolution procedure in Article 19.</w:t>
      </w:r>
    </w:p>
    <w:p>
      <w:pPr>
        <w:pStyle w:val="BodyText"/>
        <w:bidi w:val="0"/>
        <w:rPr>
          <w:rFonts w:ascii="Times New Roman" w:hAnsi="Times New Roman"/>
        </w:rPr>
      </w:pPr>
      <w:r>
        <w:rPr/>
      </w:r>
    </w:p>
    <w:p>
      <w:pPr>
        <w:pStyle w:val="Style2toc"/>
        <w:bidi w:val="0"/>
        <w:rPr>
          <w:rFonts w:ascii="Times New Roman" w:hAnsi="Times New Roman"/>
        </w:rPr>
      </w:pPr>
      <w:r>
        <w:rPr/>
        <w:t>3.17</w:t>
        <w:tab/>
      </w:r>
      <w:r>
        <w:rPr>
          <w:u w:val="single"/>
        </w:rPr>
        <w:t>No Liens</w:t>
      </w:r>
      <w:r>
        <w:fldChar w:fldCharType="begin"/>
      </w:r>
      <w:r>
        <w:rPr>
          <w:u w:val="single"/>
          <w:vanish/>
        </w:rPr>
        <w:instrText xml:space="preserve"> TC "3.17</w:instrText>
        <w:tab/>
        <w:instrText xml:space="preserve">No Liens672" \l 1 </w:instrText>
      </w:r>
      <w:r>
        <w:rPr>
          <w:u w:val="single"/>
          <w:vanish/>
        </w:rPr>
        <w:fldChar w:fldCharType="separate"/>
      </w:r>
      <w:bookmarkStart w:id="92" w:name="_Toc493577457"/>
      <w:bookmarkStart w:id="93" w:name="_Toc497198908"/>
      <w:bookmarkStart w:id="94" w:name="_Toc496784863"/>
      <w:bookmarkStart w:id="95" w:name="_Toc496784586"/>
      <w:bookmarkEnd w:id="92"/>
      <w:bookmarkEnd w:id="93"/>
      <w:bookmarkEnd w:id="94"/>
      <w:bookmarkEnd w:id="95"/>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3.17.1</w:t>
        <w:tab/>
      </w:r>
      <w:r>
        <w:rPr>
          <w:u w:val="single"/>
        </w:rPr>
        <w:t>Creation of Liens</w:t>
      </w:r>
      <w:r>
        <w:rPr/>
        <w:t>.    Contractor shall not directly or indirectly create, incur, assume or suffer to be created by it or any Subcontractor, employee, laborer, materialman or other supplier of goods or services, any right of retention, claim, lien, charge or encumbrance on the Site, the Facility or any part thereof or interest therein (each a “Contractor Lien”). Contractor shall promptly pay or discharge, and discharge of record, or provide security reasonably acceptable to Owner with respect to, any such Contractor Lien or other charge which, if unpaid, might be or become a Contractor Lien.    Contractor shall immediately notify Owner of the assertion of any Contractor Lien.</w:t>
      </w:r>
    </w:p>
    <w:p>
      <w:pPr>
        <w:pStyle w:val="BodyText"/>
        <w:bidi w:val="0"/>
        <w:rPr>
          <w:rFonts w:ascii="Times New Roman" w:hAnsi="Times New Roman"/>
        </w:rPr>
      </w:pPr>
      <w:r>
        <w:rPr/>
      </w:r>
    </w:p>
    <w:p>
      <w:pPr>
        <w:pStyle w:val="BodyText"/>
        <w:bidi w:val="0"/>
        <w:rPr>
          <w:rFonts w:ascii="Times New Roman" w:hAnsi="Times New Roman"/>
        </w:rPr>
      </w:pPr>
      <w:r>
        <w:rPr/>
        <w:tab/>
        <w:t>3.17.2</w:t>
        <w:tab/>
      </w:r>
      <w:r>
        <w:rPr>
          <w:u w:val="single"/>
        </w:rPr>
        <w:t>Indemnity from Liens</w:t>
      </w:r>
      <w:r>
        <w:rPr/>
        <w:t xml:space="preserve">.    Contractor shall indemnify, defend and </w:t>
      </w:r>
      <w:r>
        <w:rPr>
          <w:strike/>
        </w:rPr>
        <w:t>&lt;protect&gt;</w:t>
      </w:r>
      <w:r>
        <w:rPr/>
        <w:t xml:space="preserve"> </w:t>
      </w:r>
      <w:r>
        <w:rPr>
          <w:b/>
          <w:u w:val="double"/>
        </w:rPr>
        <w:t>hold harmless</w:t>
      </w:r>
      <w:r>
        <w:rPr/>
        <w:t xml:space="preserve"> Owner Indemnitees from and against all Contractor Liens</w:t>
      </w:r>
      <w:r>
        <w:rPr>
          <w:strike/>
        </w:rPr>
        <w:t>&lt;, which&gt;</w:t>
      </w:r>
      <w:r>
        <w:rPr>
          <w:b/>
          <w:u w:val="double"/>
        </w:rPr>
        <w:t>.    This</w:t>
      </w:r>
      <w:r>
        <w:rPr/>
        <w:t xml:space="preserve"> indemnity shall survive </w:t>
      </w:r>
      <w:r>
        <w:rPr>
          <w:strike/>
        </w:rPr>
        <w:t>&lt;the&gt;</w:t>
      </w:r>
      <w:r>
        <w:rPr/>
        <w:t xml:space="preserve"> termination of this Agreement.</w:t>
      </w:r>
    </w:p>
    <w:p>
      <w:pPr>
        <w:pStyle w:val="BodyText"/>
        <w:bidi w:val="0"/>
        <w:rPr>
          <w:rFonts w:ascii="Times New Roman" w:hAnsi="Times New Roman"/>
        </w:rPr>
      </w:pPr>
      <w:r>
        <w:rPr/>
      </w:r>
    </w:p>
    <w:p>
      <w:pPr>
        <w:pStyle w:val="BodyText"/>
        <w:bidi w:val="0"/>
        <w:rPr>
          <w:rFonts w:ascii="Times New Roman" w:hAnsi="Times New Roman"/>
        </w:rPr>
      </w:pPr>
      <w:r>
        <w:rPr/>
        <w:tab/>
        <w:t>3.17.3</w:t>
        <w:tab/>
      </w:r>
      <w:r>
        <w:rPr>
          <w:u w:val="single"/>
        </w:rPr>
        <w:t>Discharge of Liens</w:t>
      </w:r>
      <w:r>
        <w:rPr/>
        <w:t xml:space="preserve">.    Upon Contractor’s failure to promptly pay, discharge or provide security reasonably acceptable to Owner for any Contractor Lien within thirty (30) days of notice of the existence thereof from any source, Owner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w:t>
      </w:r>
      <w:r>
        <w:rPr>
          <w:strike/>
        </w:rPr>
        <w:t>&lt;such&gt;</w:t>
      </w:r>
      <w:r>
        <w:rPr/>
        <w:t xml:space="preserve"> sums owed by Owner to Contractor.</w:t>
      </w:r>
    </w:p>
    <w:p>
      <w:pPr>
        <w:pStyle w:val="BodyText"/>
        <w:bidi w:val="0"/>
        <w:rPr>
          <w:rFonts w:ascii="Times New Roman" w:hAnsi="Times New Roman"/>
        </w:rPr>
      </w:pPr>
      <w:r>
        <w:rPr/>
      </w:r>
    </w:p>
    <w:p>
      <w:pPr>
        <w:pStyle w:val="BodyText"/>
        <w:bidi w:val="0"/>
        <w:rPr>
          <w:rFonts w:ascii="Times New Roman" w:hAnsi="Times New Roman"/>
        </w:rPr>
      </w:pPr>
      <w:r>
        <w:rPr/>
        <w:tab/>
        <w:t>3.17.4</w:t>
        <w:tab/>
      </w:r>
      <w:r>
        <w:rPr>
          <w:u w:val="single"/>
        </w:rPr>
        <w:t>No Waiver of Contractor Rights</w:t>
      </w:r>
      <w:r>
        <w:rPr/>
        <w:t xml:space="preserve">.    Nothing in this Section 3.17 shall be construed as a limitation on or waiver by Contractor of any of its rights to encumber the Facility or the Site as security for any undisputed payments owed to it by Owner hereunder; provided that Contractor may exercise such right only after providing Owner with thirty (30) days prior written notice of its intent to do so and provided further that Owner (or Lender on behalf of Owner) shall not have made such payment or provided a bond or other reasonably acceptable provision to secure such payment within </w:t>
      </w:r>
      <w:r>
        <w:rPr>
          <w:strike/>
        </w:rPr>
        <w:t>&lt;such&gt;</w:t>
      </w:r>
      <w:r>
        <w:rPr/>
        <w:t xml:space="preserve"> </w:t>
      </w:r>
      <w:r>
        <w:rPr>
          <w:b/>
          <w:u w:val="double"/>
        </w:rPr>
        <w:t>the</w:t>
      </w:r>
      <w:r>
        <w:rPr/>
        <w:t xml:space="preserve"> thirty (30) day period.</w:t>
      </w:r>
    </w:p>
    <w:p>
      <w:pPr>
        <w:pStyle w:val="Style2toc"/>
        <w:bidi w:val="0"/>
        <w:rPr>
          <w:rFonts w:ascii="Times New Roman" w:hAnsi="Times New Roman"/>
        </w:rPr>
      </w:pPr>
      <w:r>
        <w:rPr/>
      </w:r>
    </w:p>
    <w:p>
      <w:pPr>
        <w:pStyle w:val="Style2toc"/>
        <w:bidi w:val="0"/>
        <w:rPr>
          <w:rFonts w:ascii="Times New Roman" w:hAnsi="Times New Roman"/>
        </w:rPr>
      </w:pPr>
      <w:r>
        <w:rPr/>
        <w:t>3.18</w:t>
        <w:tab/>
      </w:r>
      <w:r>
        <w:rPr>
          <w:u w:val="single"/>
        </w:rPr>
        <w:t>Hazardous Substances, Endangered Species, Archaeological Discoveries and Ground Risk</w:t>
      </w:r>
      <w:r>
        <w:fldChar w:fldCharType="begin"/>
      </w:r>
      <w:r>
        <w:rPr>
          <w:u w:val="single"/>
          <w:vanish/>
        </w:rPr>
        <w:instrText xml:space="preserve"> TC "3.18</w:instrText>
        <w:tab/>
        <w:instrText xml:space="preserve">Hazardous Substances, Endangered Species, Archaeological Discoveries and Ground Risk672" \l 1 </w:instrText>
      </w:r>
      <w:r>
        <w:rPr>
          <w:u w:val="single"/>
          <w:vanish/>
        </w:rPr>
        <w:fldChar w:fldCharType="separate"/>
      </w:r>
      <w:bookmarkStart w:id="96" w:name="_Toc496784864"/>
      <w:bookmarkStart w:id="97" w:name="_Toc496784587"/>
      <w:bookmarkStart w:id="98" w:name="_Toc497198909"/>
      <w:bookmarkStart w:id="99" w:name="_Toc493577458"/>
      <w:bookmarkEnd w:id="96"/>
      <w:bookmarkEnd w:id="97"/>
      <w:bookmarkEnd w:id="98"/>
      <w:bookmarkEnd w:id="99"/>
      <w:r>
        <w:rPr>
          <w:vanish/>
          <w:u w:val="single"/>
        </w:rPr>
      </w:r>
      <w:r>
        <w:rPr>
          <w:u w:val="single"/>
          <w:vanish/>
        </w:rPr>
        <w:fldChar w:fldCharType="end"/>
      </w:r>
      <w:r>
        <w:rPr>
          <w:strike/>
        </w:rPr>
        <w:t>&lt;&lt;*&gt;&gt;</w:t>
      </w:r>
      <w:r>
        <w:rPr/>
        <w:t>.</w:t>
      </w:r>
    </w:p>
    <w:p>
      <w:pPr>
        <w:pStyle w:val="BodyText"/>
        <w:keepNext w:val="true"/>
        <w:bidi w:val="0"/>
        <w:rPr>
          <w:rFonts w:ascii="Times New Roman" w:hAnsi="Times New Roman"/>
        </w:rPr>
      </w:pPr>
      <w:r>
        <w:rPr/>
      </w:r>
    </w:p>
    <w:p>
      <w:pPr>
        <w:pStyle w:val="BodyText"/>
        <w:bidi w:val="0"/>
        <w:rPr>
          <w:rFonts w:ascii="Times New Roman" w:hAnsi="Times New Roman"/>
        </w:rPr>
      </w:pPr>
      <w:r>
        <w:rPr/>
        <w:tab/>
        <w:t>3.18.1</w:t>
        <w:tab/>
      </w:r>
      <w:r>
        <w:rPr>
          <w:u w:val="single"/>
        </w:rPr>
        <w:t>Existing</w:t>
      </w:r>
      <w:r>
        <w:rPr/>
        <w:t xml:space="preserve">.    Upon the discovery of any Hazardous Substances existing on the Site </w:t>
      </w:r>
      <w:r>
        <w:rPr>
          <w:strike/>
        </w:rPr>
        <w:t>&lt;at the date of the Mobilization of the Site&gt;</w:t>
      </w:r>
      <w:r>
        <w:rPr/>
        <w:t xml:space="preserve">(which were not brought to the Site by Contractor or a Subcontractor), or of any article of value or antiquity or of archaeological or geotechnical interest, Contractor shall (a) promptly cease work in the affected area and direct its workers and Subcontractors not to remove or further disturb the material or item; (b) promptly notify Owner of such discovery; (c) use all reasonable efforts to mitigate the effects of any such discovery on the Site, any property or Person, and the performance of the Work; and (d) follow any and all directions of Owner or its representatives with respect to such discoveries.    Contractor shall not under any circumstances be required to remediate </w:t>
      </w:r>
      <w:r>
        <w:rPr>
          <w:strike/>
        </w:rPr>
        <w:t>&lt;any existing Hazardous Substances and shall not be responsible for the removal&gt;</w:t>
      </w:r>
      <w:r>
        <w:rPr>
          <w:b/>
          <w:u w:val="double"/>
        </w:rPr>
        <w:t>, remove,</w:t>
      </w:r>
      <w:r>
        <w:rPr/>
        <w:t xml:space="preserve"> from the Site</w:t>
      </w:r>
      <w:r>
        <w:rPr>
          <w:b/>
          <w:u w:val="double"/>
        </w:rPr>
        <w:t>,</w:t>
      </w:r>
      <w:r>
        <w:rPr/>
        <w:t xml:space="preserve"> or for otherwise making safe in accordance with applicable Law</w:t>
      </w:r>
      <w:r>
        <w:rPr>
          <w:b/>
          <w:u w:val="double"/>
        </w:rPr>
        <w:t>,</w:t>
      </w:r>
      <w:r>
        <w:rPr/>
        <w:t xml:space="preserve"> any Hazardous Substances existing at the Site as of the Effective Date of this Agreement.    Except to the extent resulting from Contractor’s breach of its obligations under Section 3.18, Contractor shall be entitled to a Change Order under Article 6 equitably adjusting the Contract Price and Project Schedule to the extent materially and adversely impacted by discovery of Hazardous Substances or items of value or archaeological or geotechnical interest.    Any item of value or archaeological or geotechnical interest shall, as between Owner and Contractor, be deemed the property of Owner.</w:t>
      </w:r>
    </w:p>
    <w:p>
      <w:pPr>
        <w:pStyle w:val="bodytext1"/>
        <w:bidi w:val="0"/>
        <w:spacing w:lineRule="atLeast" w:line="240"/>
        <w:ind w:hanging="0" w:start="720"/>
        <w:jc w:val="both"/>
        <w:rPr>
          <w:rFonts w:ascii="Times New Roman" w:hAnsi="Times New Roman"/>
          <w:sz w:val="23"/>
        </w:rPr>
      </w:pPr>
      <w:r>
        <w:rPr>
          <w:sz w:val="23"/>
        </w:rPr>
        <w:tab/>
        <w:t>3.18.2</w:t>
        <w:tab/>
      </w:r>
      <w:r>
        <w:rPr>
          <w:color w:val="00007F"/>
          <w:sz w:val="23"/>
          <w:u w:val="single"/>
        </w:rPr>
        <w:t>Hazardous Substances Control</w:t>
      </w:r>
      <w:r>
        <w:rPr>
          <w:color w:val="00007F"/>
          <w:sz w:val="23"/>
        </w:rPr>
        <w:t xml:space="preserve">.    </w:t>
      </w:r>
      <w:r>
        <w:rPr>
          <w:sz w:val="23"/>
        </w:rPr>
        <w:t>Contractor shall provide Owner a list of any Hazardous Substances to be installed or otherwise incorporated into the Facility or used in performing the Work.    Contractor shall not, nor shall it permit any Subcontractor, directly or indirectly, to bring any other Hazardous Substances on the Site or to permit the manufacture, storage, transmission or presence of any Hazardous Substance over or upon the Site</w:t>
      </w:r>
      <w:r>
        <w:rPr>
          <w:b/>
          <w:sz w:val="23"/>
          <w:u w:val="double"/>
        </w:rPr>
        <w:t>,</w:t>
      </w:r>
      <w:r>
        <w:rPr>
          <w:sz w:val="23"/>
        </w:rPr>
        <w:t xml:space="preserve"> except in accordance with applicable Law</w:t>
      </w:r>
      <w:r>
        <w:rPr>
          <w:b/>
          <w:sz w:val="23"/>
          <w:u w:val="double"/>
        </w:rPr>
        <w:t>,</w:t>
      </w:r>
      <w:r>
        <w:rPr>
          <w:sz w:val="23"/>
        </w:rPr>
        <w:t xml:space="preserve"> or to release, discharge or otherwise dispose of any Hazardous Substances on or from the Site. Contractor shall be liable for and shall perform all necessary clean-up, removal, disposal and remediation in accordance with Law of any Hazardous Substances for which it is responsible under this Section 3.18.2.</w:t>
      </w:r>
    </w:p>
    <w:p>
      <w:pPr>
        <w:pStyle w:val="bodytext1"/>
        <w:bidi w:val="0"/>
        <w:spacing w:lineRule="atLeast" w:line="240"/>
        <w:ind w:hanging="0" w:start="720"/>
        <w:jc w:val="both"/>
        <w:rPr>
          <w:rFonts w:ascii="Times New Roman" w:hAnsi="Times New Roman"/>
          <w:sz w:val="23"/>
        </w:rPr>
      </w:pPr>
      <w:r>
        <w:rPr>
          <w:color w:val="00007F"/>
          <w:sz w:val="23"/>
        </w:rPr>
        <w:tab/>
        <w:t>3.18.3</w:t>
        <w:tab/>
      </w:r>
      <w:r>
        <w:rPr>
          <w:color w:val="00007F"/>
          <w:sz w:val="23"/>
          <w:u w:val="single"/>
        </w:rPr>
        <w:t>Site Conditions</w:t>
      </w:r>
      <w:r>
        <w:rPr>
          <w:color w:val="00007F"/>
          <w:sz w:val="23"/>
        </w:rPr>
        <w:t xml:space="preserve">. </w:t>
      </w:r>
      <w:r>
        <w:rPr>
          <w:sz w:val="23"/>
        </w:rPr>
        <w:t xml:space="preserve"> The Facility design will be consistent with prudent geotechnical engineering practices and the surface and subsurface conditions of the Site (both natural and man made).    Contractor established the Contract Price, Guaranteed Completion Date and Project Schedule Summary based on the assumptions listed in </w:t>
      </w:r>
      <w:r>
        <w:rPr>
          <w:sz w:val="23"/>
          <w:u w:val="single"/>
        </w:rPr>
        <w:t>Exhibit B-1</w:t>
      </w:r>
      <w:r>
        <w:rPr>
          <w:sz w:val="23"/>
        </w:rPr>
        <w:t xml:space="preserve"> as to geotechnical and subsurface conditions and endangered or protected animal and plant species.    If during the performance of the Work, Contractor encounters materially unusual or abnormal geotechnical or subsurface conditions (or the existence at or around the Site of endangered or protected animal or plant species) not contemplated in </w:t>
      </w:r>
      <w:r>
        <w:rPr>
          <w:sz w:val="23"/>
          <w:u w:val="single"/>
        </w:rPr>
        <w:t>Exhibit B-1</w:t>
      </w:r>
      <w:r>
        <w:rPr>
          <w:sz w:val="23"/>
        </w:rPr>
        <w:t>, Contractor shall be entitled to a Change Order under Article 6 equitably adjusting the Contract Price and Project Schedule to the extent materially and adversely impacted by such conditions.</w:t>
      </w:r>
    </w:p>
    <w:p>
      <w:pPr>
        <w:pStyle w:val="bodytext1"/>
        <w:bidi w:val="0"/>
        <w:spacing w:lineRule="atLeast" w:line="240"/>
        <w:ind w:hanging="0" w:start="720"/>
        <w:jc w:val="both"/>
        <w:rPr>
          <w:rFonts w:ascii="Times New Roman" w:hAnsi="Times New Roman"/>
          <w:sz w:val="23"/>
        </w:rPr>
      </w:pPr>
      <w:r>
        <w:rPr>
          <w:color w:val="00007F"/>
          <w:sz w:val="23"/>
        </w:rPr>
        <w:tab/>
        <w:t>3.18.4</w:t>
        <w:tab/>
      </w:r>
      <w:r>
        <w:rPr>
          <w:color w:val="00007F"/>
          <w:sz w:val="23"/>
          <w:u w:val="single"/>
        </w:rPr>
        <w:t>Hazcomm Procedure</w:t>
      </w:r>
      <w:r>
        <w:rPr>
          <w:color w:val="00007F"/>
          <w:sz w:val="23"/>
        </w:rPr>
        <w:t xml:space="preserve">.    </w:t>
      </w:r>
      <w:r>
        <w:rPr>
          <w:sz w:val="23"/>
        </w:rPr>
        <w:t xml:space="preserve">Contractor is solely responsible for the health and safety of its employees. Contractor shall comply with all applicable occupational health and safety requirements.    Without limiting the foregoing, Contractor shall develop and implement a written hazard communication program including labels and other forms of warning, material safety data sheets (MSDS), and employee information and training as required under </w:t>
      </w:r>
      <w:r>
        <w:rPr>
          <w:b/>
          <w:strike/>
          <w:sz w:val="23"/>
        </w:rPr>
        <w:t>&lt;8 Cal. Code Reg. section 5194, and/or to the extent appropriate, prepare and implement a site&gt;</w:t>
      </w:r>
      <w:r>
        <w:rPr>
          <w:b/>
          <w:sz w:val="23"/>
          <w:u w:val="double"/>
        </w:rPr>
        <w:t>[insert reference to any required state-</w:t>
      </w:r>
      <w:r>
        <w:rPr>
          <w:b/>
          <w:sz w:val="23"/>
        </w:rPr>
        <w:t xml:space="preserve">specific health </w:t>
      </w:r>
      <w:r>
        <w:rPr>
          <w:b/>
          <w:strike/>
          <w:sz w:val="23"/>
        </w:rPr>
        <w:t>&lt;and&gt;</w:t>
      </w:r>
      <w:r>
        <w:rPr>
          <w:b/>
          <w:sz w:val="23"/>
        </w:rPr>
        <w:t xml:space="preserve"> </w:t>
      </w:r>
      <w:r>
        <w:rPr>
          <w:b/>
          <w:sz w:val="23"/>
          <w:u w:val="double"/>
        </w:rPr>
        <w:t>or</w:t>
      </w:r>
      <w:r>
        <w:rPr>
          <w:b/>
          <w:sz w:val="23"/>
        </w:rPr>
        <w:t xml:space="preserve"> safety plan </w:t>
      </w:r>
      <w:r>
        <w:rPr>
          <w:b/>
          <w:strike/>
          <w:sz w:val="23"/>
        </w:rPr>
        <w:t>&lt;pursuant to 8 Cal. Code Reg. section 5192.&gt;</w:t>
      </w:r>
      <w:r>
        <w:rPr>
          <w:b/>
          <w:sz w:val="23"/>
          <w:u w:val="double"/>
        </w:rPr>
        <w:t>.]</w:t>
      </w:r>
    </w:p>
    <w:p>
      <w:pPr>
        <w:pStyle w:val="bodytext1"/>
        <w:bidi w:val="0"/>
        <w:spacing w:lineRule="atLeast" w:line="240"/>
        <w:ind w:hanging="0" w:start="720"/>
        <w:jc w:val="both"/>
        <w:rPr>
          <w:rFonts w:ascii="Times New Roman" w:hAnsi="Times New Roman"/>
          <w:sz w:val="23"/>
        </w:rPr>
      </w:pPr>
      <w:r>
        <w:rPr>
          <w:color w:val="00007F"/>
          <w:sz w:val="23"/>
        </w:rPr>
        <w:tab/>
        <w:t>3.18.5</w:t>
        <w:tab/>
      </w:r>
      <w:r>
        <w:rPr>
          <w:color w:val="00007F"/>
          <w:sz w:val="23"/>
          <w:u w:val="single"/>
        </w:rPr>
        <w:t>No Disclosure</w:t>
      </w:r>
      <w:r>
        <w:rPr>
          <w:color w:val="00007F"/>
          <w:sz w:val="23"/>
        </w:rPr>
        <w:t xml:space="preserve">.    </w:t>
      </w:r>
      <w:r>
        <w:rPr>
          <w:sz w:val="23"/>
        </w:rPr>
        <w:t xml:space="preserve">Contractor will not make any public statement nor communicate with any third party (other than a Subcontractor or consultant to the extent such disclosure is reasonably required for Contractor to perform its obligations under this Agreement) regarding any Hazardous Substances on the Site </w:t>
      </w:r>
      <w:r>
        <w:rPr>
          <w:strike/>
          <w:sz w:val="23"/>
        </w:rPr>
        <w:t>&lt;or the laydown yard&gt;</w:t>
      </w:r>
      <w:r>
        <w:rPr>
          <w:sz w:val="23"/>
        </w:rPr>
        <w:t xml:space="preserve">, including any governmental agency or the owner of the Site </w:t>
      </w:r>
      <w:r>
        <w:rPr>
          <w:strike/>
          <w:sz w:val="23"/>
        </w:rPr>
        <w:t>&lt;or the laydown yard&gt;</w:t>
      </w:r>
      <w:r>
        <w:rPr>
          <w:sz w:val="23"/>
        </w:rPr>
        <w:t xml:space="preserve">, except to the extent required by Law (and in that event Contractor shall notify Owner prior to disclosure so that Owner may make such disclosure itself).    </w:t>
      </w:r>
    </w:p>
    <w:p>
      <w:pPr>
        <w:pStyle w:val="Style2toc"/>
        <w:bidi w:val="0"/>
        <w:spacing w:before="240" w:after="0"/>
        <w:rPr>
          <w:rFonts w:ascii="Times New Roman" w:hAnsi="Times New Roman"/>
          <w:color w:val="00007F"/>
        </w:rPr>
      </w:pPr>
      <w:r>
        <w:rPr>
          <w:color w:val="00007F"/>
        </w:rPr>
        <w:t>3.19</w:t>
        <w:tab/>
      </w:r>
      <w:r>
        <w:rPr>
          <w:color w:val="00007F"/>
          <w:u w:val="single"/>
        </w:rPr>
        <w:t>Traffic and Special Loads</w:t>
      </w:r>
      <w:r>
        <w:rPr>
          <w:color w:val="00007F"/>
        </w:rPr>
        <w:t>.</w:t>
      </w:r>
      <w:r>
        <w:fldChar w:fldCharType="begin"/>
      </w:r>
      <w:r>
        <w:rPr>
          <w:vanish/>
          <w:color w:val="00007F"/>
        </w:rPr>
        <w:instrText xml:space="preserve"> TC "3.19</w:instrText>
        <w:tab/>
        <w:instrText xml:space="preserve">Traffic and Special Loads672" \l 1 </w:instrText>
      </w:r>
      <w:r>
        <w:rPr>
          <w:vanish/>
          <w:color w:val="00007F"/>
        </w:rPr>
        <w:fldChar w:fldCharType="separate"/>
      </w:r>
      <w:bookmarkStart w:id="100" w:name="_Toc496784588"/>
      <w:bookmarkStart w:id="101" w:name="_Toc497198910"/>
      <w:bookmarkStart w:id="102" w:name="_Toc496784865"/>
      <w:bookmarkEnd w:id="100"/>
      <w:bookmarkEnd w:id="101"/>
      <w:bookmarkEnd w:id="102"/>
      <w:r>
        <w:rPr>
          <w:vanish/>
          <w:color w:val="00007F"/>
        </w:rPr>
      </w:r>
      <w:r>
        <w:rPr>
          <w:vanish/>
          <w:color w:val="00007F"/>
        </w:rPr>
        <w:fldChar w:fldCharType="end"/>
      </w:r>
      <w:r>
        <w:rPr>
          <w:color w:val="00007F"/>
        </w:rPr>
        <w:t xml:space="preserve">    </w:t>
      </w:r>
    </w:p>
    <w:p>
      <w:pPr>
        <w:pStyle w:val="Style2toc"/>
        <w:bidi w:val="0"/>
        <w:spacing w:before="240" w:after="0"/>
        <w:rPr>
          <w:rFonts w:ascii="Times New Roman" w:hAnsi="Times New Roman"/>
        </w:rPr>
      </w:pPr>
      <w:r>
        <w:rPr>
          <w:color w:val="00007F"/>
        </w:rPr>
        <w:tab/>
      </w:r>
      <w:r>
        <w:rPr/>
        <w:t xml:space="preserve">Contractor shall carry out the Work so as not to interfere unnecessarily or improperly with access to or use of public or private roads, footpaths or of properties whether in the possession of Owner or of any other Person.    Contractor shall liaise with, and ascertain the requirements of, all Governmental Authorities </w:t>
      </w:r>
      <w:r>
        <w:rPr>
          <w:b/>
          <w:u w:val="double"/>
        </w:rPr>
        <w:t>[</w:t>
      </w:r>
      <w:r>
        <w:rPr>
          <w:b/>
        </w:rPr>
        <w:t xml:space="preserve">and </w:t>
      </w:r>
      <w:r>
        <w:rPr>
          <w:b/>
          <w:u w:val="double"/>
        </w:rPr>
        <w:t>Ground</w:t>
      </w:r>
      <w:r>
        <w:rPr>
          <w:b/>
        </w:rPr>
        <w:t xml:space="preserve"> Lessor</w:t>
      </w:r>
      <w:r>
        <w:rPr>
          <w:b/>
          <w:u w:val="double"/>
        </w:rPr>
        <w:t>]</w:t>
      </w:r>
      <w:r>
        <w:rPr/>
        <w:t xml:space="preserve"> in relation to vehicular access to and egress from the Site and shall comply with those requirements. Contractor shall use every reasonable means to prevent damage to any highway or bridge by any traffic of Contractor or any Subcontractor </w:t>
      </w:r>
      <w:r>
        <w:rPr>
          <w:strike/>
        </w:rPr>
        <w:t>&lt;and in&gt;</w:t>
      </w:r>
      <w:r>
        <w:rPr>
          <w:b/>
          <w:u w:val="double"/>
        </w:rPr>
        <w:t>.    In</w:t>
      </w:r>
      <w:r>
        <w:rPr/>
        <w:t xml:space="preserve"> particular, but without limitation, </w:t>
      </w:r>
      <w:r>
        <w:rPr>
          <w:b/>
          <w:u w:val="double"/>
        </w:rPr>
        <w:t>Contractor</w:t>
      </w:r>
      <w:r>
        <w:rPr/>
        <w:t xml:space="preserve"> shall select routes, choose and use vehicles, and restrict and distribute loads so that any such traffic as will inevitably arise from </w:t>
      </w:r>
      <w:r>
        <w:rPr>
          <w:strike/>
        </w:rPr>
        <w:t>&lt;the&gt;</w:t>
      </w:r>
      <w:r>
        <w:rPr/>
        <w:t xml:space="preserve"> moving </w:t>
      </w:r>
      <w:r>
        <w:rPr>
          <w:strike/>
        </w:rPr>
        <w:t>&lt;of&gt;</w:t>
      </w:r>
      <w:r>
        <w:rPr/>
        <w:t xml:space="preserve"> Equipment to and from the Site shall be limited as far as reasonably possible</w:t>
      </w:r>
      <w:r>
        <w:rPr>
          <w:b/>
          <w:u w:val="double"/>
        </w:rPr>
        <w:t>,</w:t>
      </w:r>
      <w:r>
        <w:rPr/>
        <w:t xml:space="preserve"> and so that no damage (beyond reasonable wear and tear) will be caused to highways and bridges.    Contractor shall be responsible for </w:t>
      </w:r>
      <w:r>
        <w:rPr>
          <w:strike/>
        </w:rPr>
        <w:t>&lt;the&gt;</w:t>
      </w:r>
      <w:r>
        <w:rPr/>
        <w:t xml:space="preserve"> routing for delivery of heavy or large loads to the Site.    Contractor shall repair any damage, and shall indemnify, defend and hold harmless Owner Indemnitees from and against any and all Losses suffered by or asserted against any Owner Indemnitee by reason of, arising out of or relating to any damage to any highway or bridge to the extent that such damage was caused by any traffic of    Contractor or any Subcontractor during performance of the </w:t>
      </w:r>
      <w:r>
        <w:rPr>
          <w:strike/>
        </w:rPr>
        <w:t>&lt;obligations of Contractor under this Agreement&gt;</w:t>
      </w:r>
      <w:r>
        <w:rPr/>
        <w:t xml:space="preserve"> </w:t>
      </w:r>
      <w:r>
        <w:rPr>
          <w:b/>
          <w:u w:val="double"/>
        </w:rPr>
        <w:t>Work</w:t>
      </w:r>
      <w:r>
        <w:rPr/>
        <w:t>.</w:t>
      </w:r>
    </w:p>
    <w:p>
      <w:pPr>
        <w:pStyle w:val="Style2toc"/>
        <w:bidi w:val="0"/>
        <w:spacing w:before="240" w:after="0"/>
        <w:rPr>
          <w:rFonts w:ascii="Times New Roman" w:hAnsi="Times New Roman"/>
          <w:color w:val="00007F"/>
        </w:rPr>
      </w:pPr>
      <w:r>
        <w:rPr>
          <w:color w:val="00007F"/>
        </w:rPr>
        <w:t>3.20</w:t>
        <w:tab/>
      </w:r>
      <w:r>
        <w:rPr>
          <w:color w:val="00007F"/>
          <w:u w:val="single"/>
        </w:rPr>
        <w:t>Waterborne Traffic</w:t>
      </w:r>
      <w:r>
        <w:fldChar w:fldCharType="begin"/>
      </w:r>
      <w:r>
        <w:rPr>
          <w:u w:val="single"/>
          <w:vanish/>
          <w:color w:val="00007F"/>
        </w:rPr>
        <w:instrText xml:space="preserve"> TC "3.20</w:instrText>
        <w:tab/>
        <w:instrText xml:space="preserve">Waterborne Traffic672" \l 1 </w:instrText>
      </w:r>
      <w:r>
        <w:rPr>
          <w:u w:val="single"/>
          <w:vanish/>
          <w:color w:val="00007F"/>
        </w:rPr>
        <w:fldChar w:fldCharType="separate"/>
      </w:r>
      <w:bookmarkStart w:id="103" w:name="_Toc496784589"/>
      <w:bookmarkStart w:id="104" w:name="_Toc497198911"/>
      <w:bookmarkStart w:id="105" w:name="_Toc496784866"/>
      <w:bookmarkEnd w:id="103"/>
      <w:bookmarkEnd w:id="104"/>
      <w:bookmarkEnd w:id="105"/>
      <w:r>
        <w:rPr>
          <w:vanish/>
          <w:color w:val="00007F"/>
          <w:u w:val="single"/>
        </w:rPr>
      </w:r>
      <w:r>
        <w:rPr>
          <w:u w:val="single"/>
          <w:vanish/>
          <w:color w:val="00007F"/>
        </w:rPr>
        <w:fldChar w:fldCharType="end"/>
      </w:r>
      <w:r>
        <w:rPr>
          <w:color w:val="00007F"/>
        </w:rPr>
        <w:t xml:space="preserve">.    </w:t>
      </w:r>
    </w:p>
    <w:p>
      <w:pPr>
        <w:pStyle w:val="Style2toc"/>
        <w:bidi w:val="0"/>
        <w:spacing w:before="240" w:after="0"/>
        <w:rPr>
          <w:rFonts w:ascii="Times New Roman" w:hAnsi="Times New Roman"/>
        </w:rPr>
      </w:pPr>
      <w:r>
        <w:rPr>
          <w:color w:val="00007F"/>
        </w:rPr>
        <w:tab/>
      </w:r>
      <w:r>
        <w:rPr/>
        <w:t xml:space="preserve">Where the nature of the Work is such as to require the use by    Contractor of waterborne transport, the provisions of Section 3.19 shall apply and be construed as though the terms “road”, “bridge” and “highway” include each lock, dock, terminal, sea wall or other structure related to a waterway and the term “vehicle” includes watercraft </w:t>
      </w:r>
      <w:r>
        <w:rPr>
          <w:strike/>
        </w:rPr>
        <w:t>&lt;and shall have effect accordingly&gt;</w:t>
      </w:r>
      <w:r>
        <w:rPr/>
        <w:t>.</w:t>
      </w:r>
    </w:p>
    <w:p>
      <w:pPr>
        <w:pStyle w:val="Style2toc"/>
        <w:bidi w:val="0"/>
        <w:spacing w:before="240" w:after="0"/>
        <w:rPr>
          <w:rFonts w:ascii="Times New Roman" w:hAnsi="Times New Roman"/>
          <w:color w:val="00007F"/>
        </w:rPr>
      </w:pPr>
      <w:r>
        <w:rPr>
          <w:color w:val="00007F"/>
        </w:rPr>
        <w:t>3.21</w:t>
        <w:tab/>
      </w:r>
      <w:r>
        <w:rPr>
          <w:color w:val="00007F"/>
          <w:u w:val="single"/>
        </w:rPr>
        <w:t xml:space="preserve">Quality </w:t>
      </w:r>
      <w:r>
        <w:rPr>
          <w:u w:val="single"/>
        </w:rPr>
        <w:t>Assurance</w:t>
      </w:r>
      <w:r>
        <w:fldChar w:fldCharType="begin"/>
      </w:r>
      <w:r>
        <w:rPr>
          <w:u w:val="single"/>
          <w:vanish/>
        </w:rPr>
        <w:instrText xml:space="preserve"> TC "3.21</w:instrText>
        <w:tab/>
        <w:instrText xml:space="preserve">Quality Assurance672" \l 1 </w:instrText>
      </w:r>
      <w:r>
        <w:rPr>
          <w:u w:val="single"/>
          <w:vanish/>
        </w:rPr>
        <w:fldChar w:fldCharType="separate"/>
      </w:r>
      <w:bookmarkStart w:id="106" w:name="_Toc496784867"/>
      <w:bookmarkStart w:id="107" w:name="_Toc496784590"/>
      <w:bookmarkStart w:id="108" w:name="_Toc497198912"/>
      <w:bookmarkEnd w:id="106"/>
      <w:bookmarkEnd w:id="107"/>
      <w:bookmarkEnd w:id="108"/>
      <w:r>
        <w:rPr>
          <w:vanish/>
          <w:u w:val="single"/>
        </w:rPr>
      </w:r>
      <w:r>
        <w:rPr>
          <w:u w:val="single"/>
          <w:vanish/>
        </w:rPr>
        <w:fldChar w:fldCharType="end"/>
      </w:r>
      <w:r>
        <w:rPr>
          <w:color w:val="00007F"/>
        </w:rPr>
        <w:t xml:space="preserve">.    </w:t>
      </w:r>
    </w:p>
    <w:p>
      <w:pPr>
        <w:pStyle w:val="Style2toc"/>
        <w:bidi w:val="0"/>
        <w:spacing w:before="240" w:after="0"/>
        <w:rPr>
          <w:rFonts w:ascii="Times New Roman" w:hAnsi="Times New Roman"/>
        </w:rPr>
      </w:pPr>
      <w:r>
        <w:rPr>
          <w:color w:val="00007F"/>
        </w:rPr>
        <w:tab/>
      </w:r>
      <w:r>
        <w:rPr/>
        <w:t xml:space="preserve">Contractor shall establish and maintain a quality assurance and quality control program in accordance with ISO 9001 or its equivalent and </w:t>
      </w:r>
      <w:r>
        <w:rPr>
          <w:u w:val="single"/>
        </w:rPr>
        <w:t>Exhibit Q</w:t>
      </w:r>
      <w:r>
        <w:rPr/>
        <w:t xml:space="preserve"> and shall submit such program to Owner for review and comment five days prior to the Notice to Proceed Effective Date.    Owner may engage third party services to monitor </w:t>
      </w:r>
      <w:r>
        <w:rPr>
          <w:b/>
          <w:u w:val="double"/>
        </w:rPr>
        <w:t>and audit</w:t>
      </w:r>
      <w:r>
        <w:rPr/>
        <w:t xml:space="preserve"> Contractor’s quality assurance and quality control program.    Owner’s engagement of third party services shall be in addition to the inspection services procured by Contractor to comply with Law. Such monitoring shall be conducted </w:t>
      </w:r>
      <w:r>
        <w:rPr>
          <w:strike/>
        </w:rPr>
        <w:t>&lt;in such a manner&gt;</w:t>
      </w:r>
      <w:r>
        <w:rPr/>
        <w:t xml:space="preserve"> </w:t>
      </w:r>
      <w:r>
        <w:rPr>
          <w:b/>
          <w:u w:val="double"/>
        </w:rPr>
        <w:t>so</w:t>
      </w:r>
      <w:r>
        <w:rPr/>
        <w:t xml:space="preserve"> as to not unreasonably interfere with </w:t>
      </w:r>
      <w:r>
        <w:rPr>
          <w:strike/>
        </w:rPr>
        <w:t>&lt;the&gt;</w:t>
      </w:r>
      <w:r>
        <w:rPr/>
        <w:t xml:space="preserve"> performance of the Work.    </w:t>
      </w:r>
      <w:r>
        <w:rPr>
          <w:strike/>
        </w:rPr>
        <w:t>&lt;Contractor shall also prepare and implement procedures for the development&gt;</w:t>
      </w:r>
      <w:r>
        <w:rPr/>
        <w:t xml:space="preserve"> </w:t>
      </w:r>
      <w:r>
        <w:rPr>
          <w:b/>
          <w:u w:val="double"/>
        </w:rPr>
        <w:t>If Owner conducts an audit</w:t>
      </w:r>
      <w:r>
        <w:rPr/>
        <w:t xml:space="preserve"> of the quality assurance and </w:t>
      </w:r>
      <w:r>
        <w:rPr>
          <w:strike/>
        </w:rPr>
        <w:t>&lt;quality control program, defining the working process to be followed, including procurement, manufacture, construction, testing, and maintenance. Each procedure shall be identified separately by title and document number, the date of issuance, the revision number and the approval signatures at the managerial level of Contractor and Owner. Owner may conduct audits of the quality assurance and quality control program. In the event that Owner conducts an audit of the quality assurance and control&gt;</w:t>
      </w:r>
      <w:r>
        <w:rPr/>
        <w:t xml:space="preserve"> </w:t>
      </w:r>
      <w:r>
        <w:rPr>
          <w:b/>
          <w:u w:val="double"/>
        </w:rPr>
        <w:t xml:space="preserve">control </w:t>
      </w:r>
      <w:r>
        <w:rPr/>
        <w:t xml:space="preserve">procedures </w:t>
      </w:r>
      <w:r>
        <w:rPr>
          <w:strike/>
        </w:rPr>
        <w:t>&lt;at the Site&gt;</w:t>
      </w:r>
      <w:r>
        <w:rPr/>
        <w:t xml:space="preserve"> and determines that </w:t>
      </w:r>
      <w:r>
        <w:rPr>
          <w:strike/>
        </w:rPr>
        <w:t>&lt;the quality assurance and control procedures, as set forth above&gt;</w:t>
      </w:r>
      <w:r>
        <w:rPr/>
        <w:t xml:space="preserve"> </w:t>
      </w:r>
      <w:r>
        <w:rPr>
          <w:b/>
          <w:u w:val="double"/>
        </w:rPr>
        <w:t>they</w:t>
      </w:r>
      <w:r>
        <w:rPr/>
        <w:t xml:space="preserve"> are not being complied with, Owner may notify Contractor of </w:t>
      </w:r>
      <w:r>
        <w:rPr>
          <w:strike/>
        </w:rPr>
        <w:t>&lt;such&gt;</w:t>
      </w:r>
      <w:r>
        <w:rPr/>
        <w:t xml:space="preserve"> </w:t>
      </w:r>
      <w:r>
        <w:rPr>
          <w:b/>
          <w:u w:val="double"/>
        </w:rPr>
        <w:t>the</w:t>
      </w:r>
      <w:r>
        <w:rPr/>
        <w:t xml:space="preserve"> discrepancies and Contractor shall </w:t>
      </w:r>
      <w:r>
        <w:rPr>
          <w:strike/>
        </w:rPr>
        <w:t>&lt;immediately take such actions as are necessary to&gt;</w:t>
      </w:r>
      <w:r>
        <w:rPr/>
        <w:t xml:space="preserve"> </w:t>
      </w:r>
      <w:r>
        <w:rPr>
          <w:b/>
          <w:u w:val="double"/>
        </w:rPr>
        <w:t>promptly</w:t>
      </w:r>
      <w:r>
        <w:rPr/>
        <w:t xml:space="preserve"> correct </w:t>
      </w:r>
      <w:r>
        <w:rPr>
          <w:strike/>
        </w:rPr>
        <w:t>&lt;such&gt;</w:t>
      </w:r>
      <w:r>
        <w:rPr/>
        <w:t xml:space="preserve"> </w:t>
      </w:r>
      <w:r>
        <w:rPr>
          <w:b/>
          <w:u w:val="double"/>
        </w:rPr>
        <w:t>the</w:t>
      </w:r>
      <w:r>
        <w:rPr/>
        <w:t xml:space="preserve"> discrepancies.</w:t>
      </w:r>
    </w:p>
    <w:p>
      <w:pPr>
        <w:pStyle w:val="Style2toc"/>
        <w:bidi w:val="0"/>
        <w:spacing w:before="240" w:after="0"/>
        <w:rPr>
          <w:rFonts w:ascii="Times New Roman" w:hAnsi="Times New Roman"/>
        </w:rPr>
      </w:pPr>
      <w:r>
        <w:rPr>
          <w:color w:val="00007F"/>
        </w:rPr>
        <w:t>3.</w:t>
      </w:r>
      <w:r>
        <w:rPr/>
        <w:t>22</w:t>
      </w:r>
      <w:r>
        <w:rPr>
          <w:color w:val="00007F"/>
        </w:rPr>
        <w:tab/>
      </w:r>
      <w:r>
        <w:rPr>
          <w:color w:val="00007F"/>
          <w:u w:val="single"/>
        </w:rPr>
        <w:t>Equipment Packing and Insurance Surveyor</w:t>
      </w:r>
      <w:r>
        <w:fldChar w:fldCharType="begin"/>
      </w:r>
      <w:r>
        <w:rPr>
          <w:u w:val="single"/>
          <w:vanish/>
          <w:color w:val="00007F"/>
        </w:rPr>
        <w:instrText xml:space="preserve"> TC "3.22</w:instrText>
        <w:tab/>
        <w:instrText xml:space="preserve">Equipment Packing and Insurance Surveyor672" \l 1 </w:instrText>
      </w:r>
      <w:r>
        <w:rPr>
          <w:u w:val="single"/>
          <w:vanish/>
          <w:color w:val="00007F"/>
        </w:rPr>
        <w:fldChar w:fldCharType="separate"/>
      </w:r>
      <w:bookmarkStart w:id="109" w:name="_Toc496784591"/>
      <w:bookmarkStart w:id="110" w:name="_Toc497198913"/>
      <w:bookmarkStart w:id="111" w:name="_Toc496784868"/>
      <w:bookmarkEnd w:id="109"/>
      <w:bookmarkEnd w:id="110"/>
      <w:bookmarkEnd w:id="111"/>
      <w:r>
        <w:rPr>
          <w:vanish/>
          <w:color w:val="00007F"/>
          <w:u w:val="single"/>
        </w:rPr>
      </w:r>
      <w:r>
        <w:rPr>
          <w:u w:val="single"/>
          <w:vanish/>
          <w:color w:val="00007F"/>
        </w:rPr>
        <w:fldChar w:fldCharType="end"/>
      </w:r>
      <w:r>
        <w:rPr>
          <w:color w:val="00007F"/>
        </w:rPr>
        <w:t>.</w:t>
      </w:r>
      <w:r>
        <w:rPr/>
        <w:t xml:space="preserve">    </w:t>
      </w:r>
    </w:p>
    <w:p>
      <w:pPr>
        <w:pStyle w:val="bodytext1"/>
        <w:bidi w:val="0"/>
        <w:spacing w:lineRule="atLeast" w:line="240"/>
        <w:ind w:hanging="0" w:start="720"/>
        <w:jc w:val="both"/>
        <w:rPr>
          <w:rFonts w:ascii="Times New Roman" w:hAnsi="Times New Roman"/>
          <w:sz w:val="23"/>
        </w:rPr>
      </w:pPr>
      <w:r>
        <w:rPr>
          <w:color w:val="00007F"/>
          <w:sz w:val="23"/>
        </w:rPr>
        <w:tab/>
        <w:t>3.22.1</w:t>
        <w:tab/>
      </w:r>
      <w:r>
        <w:rPr>
          <w:color w:val="00007F"/>
          <w:sz w:val="23"/>
          <w:u w:val="single"/>
        </w:rPr>
        <w:t>Equipment Packing Recommendation</w:t>
      </w:r>
      <w:r>
        <w:rPr>
          <w:color w:val="00007F"/>
          <w:sz w:val="23"/>
        </w:rPr>
        <w:t xml:space="preserve">.    </w:t>
      </w:r>
      <w:r>
        <w:rPr>
          <w:sz w:val="23"/>
        </w:rPr>
        <w:t xml:space="preserve">For Equipment listed in </w:t>
      </w:r>
      <w:r>
        <w:rPr>
          <w:sz w:val="23"/>
          <w:u w:val="single"/>
        </w:rPr>
        <w:t>Exhibit P</w:t>
      </w:r>
      <w:r>
        <w:rPr>
          <w:sz w:val="23"/>
        </w:rPr>
        <w:t>, Contractor shall perform, or cause to be performed, all packing of the Equipment to the highest commercial standard practices of the industry to prevent damage during handling and transportation to the Site.    Contractor shall respond to Owner’s insurance representative’s (Salvage Association or similar insurance surveyor, as appointed by    Owner) (the “Insurance Representative”) recommendations concerning:</w:t>
      </w:r>
    </w:p>
    <w:p>
      <w:pPr>
        <w:pStyle w:val="bodytext4level"/>
        <w:bidi w:val="0"/>
        <w:ind w:firstLine="720" w:start="720"/>
        <w:rPr>
          <w:rFonts w:ascii="Times New Roman" w:hAnsi="Times New Roman"/>
          <w:sz w:val="23"/>
        </w:rPr>
      </w:pPr>
      <w:r>
        <w:rPr>
          <w:rFonts w:ascii="Times New Roman" w:hAnsi="Times New Roman"/>
          <w:sz w:val="23"/>
        </w:rPr>
        <w:t>(a)</w:t>
        <w:tab/>
        <w:t xml:space="preserve">packing of Equipment; </w:t>
      </w:r>
    </w:p>
    <w:p>
      <w:pPr>
        <w:pStyle w:val="bodytext4level"/>
        <w:bidi w:val="0"/>
        <w:ind w:firstLine="720" w:start="720"/>
        <w:rPr>
          <w:rFonts w:ascii="Times New Roman" w:hAnsi="Times New Roman"/>
          <w:sz w:val="23"/>
        </w:rPr>
      </w:pPr>
      <w:r>
        <w:rPr>
          <w:rFonts w:ascii="Times New Roman" w:hAnsi="Times New Roman"/>
          <w:sz w:val="23"/>
        </w:rPr>
        <w:t>(b)</w:t>
        <w:tab/>
        <w:t>Contractor’s execution of the load plan on its transport to preclude damage during transit;</w:t>
      </w:r>
    </w:p>
    <w:p>
      <w:pPr>
        <w:pStyle w:val="bodytext4level"/>
        <w:bidi w:val="0"/>
        <w:ind w:firstLine="720" w:start="720"/>
        <w:rPr>
          <w:rFonts w:ascii="Times New Roman" w:hAnsi="Times New Roman"/>
          <w:sz w:val="23"/>
        </w:rPr>
      </w:pPr>
      <w:r>
        <w:rPr>
          <w:rFonts w:ascii="Times New Roman" w:hAnsi="Times New Roman"/>
          <w:sz w:val="23"/>
        </w:rPr>
        <w:t>(c)</w:t>
        <w:tab/>
        <w:t>transshipment;</w:t>
      </w:r>
    </w:p>
    <w:p>
      <w:pPr>
        <w:pStyle w:val="bodytext4level"/>
        <w:bidi w:val="0"/>
        <w:ind w:firstLine="720" w:start="720"/>
        <w:rPr>
          <w:rFonts w:ascii="Times New Roman" w:hAnsi="Times New Roman"/>
          <w:sz w:val="23"/>
        </w:rPr>
      </w:pPr>
      <w:r>
        <w:rPr>
          <w:rFonts w:ascii="Times New Roman" w:hAnsi="Times New Roman"/>
          <w:sz w:val="23"/>
        </w:rPr>
        <w:t>(d)</w:t>
        <w:tab/>
        <w:t>off loading of Equipment at any port and the Site; and</w:t>
      </w:r>
    </w:p>
    <w:p>
      <w:pPr>
        <w:pStyle w:val="bodytext4level"/>
        <w:bidi w:val="0"/>
        <w:ind w:firstLine="720" w:start="720"/>
        <w:rPr>
          <w:rFonts w:ascii="Times New Roman" w:hAnsi="Times New Roman"/>
          <w:sz w:val="23"/>
        </w:rPr>
      </w:pPr>
      <w:r>
        <w:rPr>
          <w:rFonts w:ascii="Times New Roman" w:hAnsi="Times New Roman"/>
          <w:sz w:val="23"/>
        </w:rPr>
        <w:t>(e)</w:t>
        <w:tab/>
        <w:t>movement of Equipment to Site, including dock and route surveys.</w:t>
      </w:r>
    </w:p>
    <w:p>
      <w:pPr>
        <w:pStyle w:val="bodytext4level"/>
        <w:bidi w:val="0"/>
        <w:ind w:hanging="0" w:start="720"/>
        <w:rPr>
          <w:rFonts w:ascii="Times New Roman" w:hAnsi="Times New Roman"/>
          <w:sz w:val="23"/>
        </w:rPr>
      </w:pPr>
      <w:r>
        <w:rPr>
          <w:rFonts w:ascii="Times New Roman" w:hAnsi="Times New Roman"/>
          <w:sz w:val="23"/>
        </w:rPr>
        <w:tab/>
        <w:t>3.22.2</w:t>
        <w:tab/>
      </w:r>
      <w:r>
        <w:rPr>
          <w:rFonts w:ascii="Times New Roman" w:hAnsi="Times New Roman"/>
          <w:sz w:val="23"/>
          <w:u w:val="single"/>
        </w:rPr>
        <w:t>Impact Indicators</w:t>
      </w:r>
      <w:r>
        <w:rPr>
          <w:rFonts w:ascii="Times New Roman" w:hAnsi="Times New Roman"/>
          <w:sz w:val="23"/>
        </w:rPr>
        <w:t xml:space="preserve">.    Contractor shall provide Owner with details of procedures pertaining to securing the Equipment during transportation.    If as a result of such review, Owner reasonably determines that impact indicators are required, Contractor shall provide them </w:t>
      </w:r>
      <w:r>
        <w:rPr>
          <w:rFonts w:ascii="Times New Roman" w:hAnsi="Times New Roman"/>
          <w:strike/>
          <w:sz w:val="23"/>
        </w:rPr>
        <w:t>&lt;within the Contract Price&gt;</w:t>
      </w:r>
      <w:r>
        <w:rPr>
          <w:rFonts w:ascii="Times New Roman" w:hAnsi="Times New Roman"/>
          <w:sz w:val="23"/>
        </w:rPr>
        <w:t>.</w:t>
      </w:r>
    </w:p>
    <w:p>
      <w:pPr>
        <w:pStyle w:val="bodytext1"/>
        <w:bidi w:val="0"/>
        <w:spacing w:lineRule="atLeast" w:line="240"/>
        <w:ind w:hanging="0" w:start="720"/>
        <w:jc w:val="both"/>
        <w:rPr>
          <w:rFonts w:ascii="Times New Roman" w:hAnsi="Times New Roman"/>
          <w:sz w:val="23"/>
        </w:rPr>
      </w:pPr>
      <w:r>
        <w:rPr>
          <w:color w:val="00007F"/>
          <w:sz w:val="23"/>
        </w:rPr>
        <w:tab/>
        <w:t>3.22.3</w:t>
        <w:tab/>
      </w:r>
      <w:r>
        <w:rPr>
          <w:color w:val="00007F"/>
          <w:sz w:val="23"/>
          <w:u w:val="single"/>
        </w:rPr>
        <w:t>Insurability Certificate</w:t>
      </w:r>
      <w:r>
        <w:rPr>
          <w:color w:val="00007F"/>
          <w:sz w:val="23"/>
        </w:rPr>
        <w:t xml:space="preserve">.    </w:t>
      </w:r>
      <w:r>
        <w:rPr>
          <w:sz w:val="23"/>
        </w:rPr>
        <w:t xml:space="preserve">Contractor expressly acknowledges and agrees that it will not commence transport of the </w:t>
      </w:r>
      <w:r>
        <w:rPr>
          <w:strike/>
          <w:sz w:val="23"/>
        </w:rPr>
        <w:t>&lt;items of&gt;</w:t>
      </w:r>
      <w:r>
        <w:rPr>
          <w:sz w:val="23"/>
        </w:rPr>
        <w:t xml:space="preserve"> Equipment </w:t>
      </w:r>
      <w:r>
        <w:rPr>
          <w:b/>
          <w:sz w:val="23"/>
          <w:u w:val="double"/>
        </w:rPr>
        <w:t>listed in Exhibit P</w:t>
      </w:r>
      <w:r>
        <w:rPr>
          <w:sz w:val="23"/>
        </w:rPr>
        <w:t xml:space="preserve"> unless:</w:t>
      </w:r>
    </w:p>
    <w:p>
      <w:pPr>
        <w:pStyle w:val="bodytext4level"/>
        <w:bidi w:val="0"/>
        <w:ind w:hanging="720" w:start="2160"/>
        <w:rPr>
          <w:rFonts w:ascii="Times New Roman" w:hAnsi="Times New Roman"/>
          <w:sz w:val="23"/>
        </w:rPr>
      </w:pPr>
      <w:r>
        <w:rPr>
          <w:rFonts w:ascii="Times New Roman" w:hAnsi="Times New Roman"/>
          <w:sz w:val="23"/>
        </w:rPr>
        <w:t>(a)</w:t>
        <w:tab/>
        <w:t>the Insurance Representative conducts a load plan and load survey and issues an insurance certificate (the “Insurability Certificate”), attesting that its recommendations were carried out for such shipment; or</w:t>
      </w:r>
    </w:p>
    <w:p>
      <w:pPr>
        <w:pStyle w:val="bodytext4level"/>
        <w:bidi w:val="0"/>
        <w:ind w:hanging="720" w:start="2160"/>
        <w:rPr>
          <w:rFonts w:ascii="Times New Roman" w:hAnsi="Times New Roman"/>
          <w:sz w:val="23"/>
        </w:rPr>
      </w:pPr>
      <w:r>
        <w:rPr>
          <w:rFonts w:ascii="Times New Roman" w:hAnsi="Times New Roman"/>
          <w:sz w:val="23"/>
        </w:rPr>
        <w:t>(b)</w:t>
        <w:tab/>
      </w:r>
      <w:r>
        <w:rPr>
          <w:rFonts w:ascii="Times New Roman" w:hAnsi="Times New Roman"/>
          <w:strike/>
          <w:sz w:val="23"/>
        </w:rPr>
        <w:t>&lt;Owner’s&gt;</w:t>
      </w:r>
      <w:r>
        <w:rPr>
          <w:rFonts w:ascii="Times New Roman" w:hAnsi="Times New Roman"/>
          <w:sz w:val="23"/>
        </w:rPr>
        <w:t xml:space="preserve"> </w:t>
      </w:r>
      <w:r>
        <w:rPr>
          <w:rFonts w:ascii="Times New Roman" w:hAnsi="Times New Roman"/>
          <w:b/>
          <w:sz w:val="23"/>
          <w:u w:val="double"/>
        </w:rPr>
        <w:t>Construction Manager’s</w:t>
      </w:r>
      <w:r>
        <w:rPr>
          <w:rFonts w:ascii="Times New Roman" w:hAnsi="Times New Roman"/>
          <w:sz w:val="23"/>
        </w:rPr>
        <w:t xml:space="preserve"> Representative expressly waives such requirement for that shipment.</w:t>
      </w:r>
    </w:p>
    <w:p>
      <w:pPr>
        <w:pStyle w:val="bodytext1"/>
        <w:bidi w:val="0"/>
        <w:spacing w:lineRule="atLeast" w:line="240"/>
        <w:ind w:hanging="0" w:start="720"/>
        <w:jc w:val="both"/>
        <w:rPr>
          <w:rFonts w:ascii="Times New Roman" w:hAnsi="Times New Roman"/>
          <w:sz w:val="23"/>
        </w:rPr>
      </w:pPr>
      <w:r>
        <w:rPr>
          <w:color w:val="00007F"/>
          <w:sz w:val="23"/>
        </w:rPr>
        <w:tab/>
        <w:t>3.22.4</w:t>
        <w:tab/>
      </w:r>
      <w:r>
        <w:rPr>
          <w:color w:val="00007F"/>
          <w:sz w:val="23"/>
          <w:u w:val="single"/>
        </w:rPr>
        <w:t>Notice of Shipment</w:t>
      </w:r>
      <w:r>
        <w:rPr>
          <w:color w:val="00007F"/>
          <w:sz w:val="23"/>
        </w:rPr>
        <w:t xml:space="preserve">.    </w:t>
      </w:r>
      <w:r>
        <w:rPr>
          <w:sz w:val="23"/>
        </w:rPr>
        <w:t xml:space="preserve">Contractor recognizes that failing to comply with this Section 3.22 may jeopardize Owner’s insurance program.    Contractor shall provide the Insurance Representative with a load and transportation plan forty five (45) days prior to loading.    Contractor shall provide Owner with reasonable advance notice of the expected packing date and the expected loading date of any such shipment, and shall provide a minimum of two (2) Business Days advance notice of the actual packing date and the actual loading date of such shipment.    Owner may designate its Insurance Representatives as recipient of </w:t>
      </w:r>
      <w:r>
        <w:rPr>
          <w:strike/>
          <w:sz w:val="23"/>
        </w:rPr>
        <w:t>&lt;such&gt;</w:t>
      </w:r>
      <w:r>
        <w:rPr>
          <w:sz w:val="23"/>
        </w:rPr>
        <w:t xml:space="preserve"> </w:t>
      </w:r>
      <w:r>
        <w:rPr>
          <w:b/>
          <w:sz w:val="23"/>
          <w:u w:val="double"/>
        </w:rPr>
        <w:t>the</w:t>
      </w:r>
      <w:r>
        <w:rPr>
          <w:sz w:val="23"/>
        </w:rPr>
        <w:t xml:space="preserve"> notice.    Provided Contractor has provided Owner with </w:t>
      </w:r>
      <w:r>
        <w:rPr>
          <w:strike/>
          <w:sz w:val="23"/>
        </w:rPr>
        <w:t>&lt;such&gt;</w:t>
      </w:r>
      <w:r>
        <w:rPr>
          <w:sz w:val="23"/>
        </w:rPr>
        <w:t xml:space="preserve"> </w:t>
      </w:r>
      <w:r>
        <w:rPr>
          <w:b/>
          <w:sz w:val="23"/>
          <w:u w:val="double"/>
        </w:rPr>
        <w:t>the</w:t>
      </w:r>
      <w:r>
        <w:rPr>
          <w:sz w:val="23"/>
        </w:rPr>
        <w:t xml:space="preserve"> notice by </w:t>
      </w:r>
      <w:r>
        <w:rPr>
          <w:strike/>
          <w:sz w:val="23"/>
        </w:rPr>
        <w:t>&lt;such&gt;</w:t>
      </w:r>
      <w:r>
        <w:rPr>
          <w:sz w:val="23"/>
        </w:rPr>
        <w:t xml:space="preserve"> </w:t>
      </w:r>
      <w:r>
        <w:rPr>
          <w:b/>
          <w:sz w:val="23"/>
          <w:u w:val="double"/>
        </w:rPr>
        <w:t>the</w:t>
      </w:r>
      <w:r>
        <w:rPr>
          <w:sz w:val="23"/>
        </w:rPr>
        <w:t xml:space="preserve"> notice dates, if the Insurance Representative is not available to perform the necessary inspections on the dates of loading indicated in Contractor’s notice, or the recommendations of the Insurance Representative are mutually agreed by Owner and Contractor to be unreasonable, Owner shall extend the applicable Guaranteed Completion Date to the extent completion of the Work is delayed by such unavailability or unreasonable recommendations, and shall compensate Contractor for any applicable costs including demurrage attributable thereto.    Contractor acknowledges that all efforts and delays (other than as set forth in this Section 3.22 or as a result of Force Majeure or Owner Delay) associated with receiving the Insurability Certificate shall not be grounds for extension to the Guaranteed Completion Date. </w:t>
      </w:r>
    </w:p>
    <w:p>
      <w:pPr>
        <w:pStyle w:val="Style2toc"/>
        <w:bidi w:val="0"/>
        <w:spacing w:before="240" w:after="0"/>
        <w:rPr>
          <w:rFonts w:ascii="Times New Roman" w:hAnsi="Times New Roman"/>
          <w:color w:val="00007F"/>
        </w:rPr>
      </w:pPr>
      <w:r>
        <w:rPr>
          <w:color w:val="00007F"/>
        </w:rPr>
        <w:t>3.23</w:t>
        <w:tab/>
      </w:r>
      <w:r>
        <w:rPr>
          <w:color w:val="00007F"/>
          <w:u w:val="single"/>
        </w:rPr>
        <w:t>Compliance with Recommendation</w:t>
      </w:r>
      <w:r>
        <w:fldChar w:fldCharType="begin"/>
      </w:r>
      <w:r>
        <w:rPr>
          <w:u w:val="single"/>
          <w:vanish/>
          <w:color w:val="00007F"/>
        </w:rPr>
        <w:instrText xml:space="preserve"> TC "3.23</w:instrText>
        <w:tab/>
        <w:instrText xml:space="preserve">Compliance with Recommendation672" \l 1 </w:instrText>
      </w:r>
      <w:r>
        <w:rPr>
          <w:u w:val="single"/>
          <w:vanish/>
          <w:color w:val="00007F"/>
        </w:rPr>
        <w:fldChar w:fldCharType="separate"/>
      </w:r>
      <w:bookmarkStart w:id="112" w:name="_Toc496784592"/>
      <w:bookmarkStart w:id="113" w:name="_Toc497198914"/>
      <w:bookmarkStart w:id="114" w:name="_Toc496784869"/>
      <w:bookmarkEnd w:id="112"/>
      <w:bookmarkEnd w:id="113"/>
      <w:bookmarkEnd w:id="114"/>
      <w:r>
        <w:rPr>
          <w:vanish/>
          <w:color w:val="00007F"/>
          <w:u w:val="single"/>
        </w:rPr>
      </w:r>
      <w:r>
        <w:rPr>
          <w:u w:val="single"/>
          <w:vanish/>
          <w:color w:val="00007F"/>
        </w:rPr>
        <w:fldChar w:fldCharType="end"/>
      </w:r>
      <w:r>
        <w:rPr>
          <w:color w:val="00007F"/>
        </w:rPr>
        <w:t xml:space="preserve">.    </w:t>
      </w:r>
    </w:p>
    <w:p>
      <w:pPr>
        <w:pStyle w:val="Style2toc"/>
        <w:bidi w:val="0"/>
        <w:spacing w:before="240" w:after="0"/>
        <w:rPr>
          <w:rFonts w:ascii="Times New Roman" w:hAnsi="Times New Roman"/>
          <w:color w:val="00007F"/>
        </w:rPr>
      </w:pPr>
      <w:r>
        <w:rPr>
          <w:color w:val="00007F"/>
        </w:rPr>
        <w:tab/>
      </w:r>
      <w:r>
        <w:rPr/>
        <w:t>Contractor’s compliance with the Insurance Representative’s recommendations shall not relieve Contractor of its responsibility for risk of loss and damage of the Equipment in accordance with this Agreement through delivery to the Site.</w:t>
      </w:r>
    </w:p>
    <w:p>
      <w:pPr>
        <w:pStyle w:val="BodyText"/>
        <w:bidi w:val="0"/>
        <w:rPr>
          <w:rFonts w:ascii="Times New Roman" w:hAnsi="Times New Roman"/>
        </w:rPr>
      </w:pPr>
      <w:r>
        <w:rPr/>
      </w:r>
    </w:p>
    <w:p>
      <w:pPr>
        <w:pStyle w:val="Style1toc"/>
        <w:keepNext w:val="true"/>
        <w:bidi w:val="0"/>
        <w:rPr>
          <w:rFonts w:ascii="Times New Roman" w:hAnsi="Times New Roman"/>
        </w:rPr>
      </w:pPr>
      <w:r>
        <w:rPr/>
        <w:t>ARTICLE 4</w:t>
      </w:r>
      <w:r>
        <w:fldChar w:fldCharType="begin"/>
      </w:r>
      <w:r>
        <w:rPr>
          <w:vanish/>
        </w:rPr>
        <w:instrText xml:space="preserve"> TC "ARTICLE 4  OWNER’S RESPONSIBILITIES671" \l 1 </w:instrText>
      </w:r>
      <w:r>
        <w:rPr>
          <w:vanish/>
        </w:rPr>
        <w:fldChar w:fldCharType="separate"/>
      </w:r>
      <w:bookmarkStart w:id="115" w:name="_Toc493577459"/>
      <w:bookmarkStart w:id="116" w:name="_Toc497198915"/>
      <w:bookmarkStart w:id="117" w:name="_Toc496784870"/>
      <w:bookmarkStart w:id="118" w:name="_Toc496784593"/>
      <w:bookmarkEnd w:id="115"/>
      <w:bookmarkEnd w:id="116"/>
      <w:bookmarkEnd w:id="117"/>
      <w:bookmarkEnd w:id="118"/>
      <w:r>
        <w:rPr>
          <w:vanish/>
        </w:rPr>
      </w:r>
      <w:r>
        <w:rPr>
          <w:vanish/>
        </w:rPr>
        <w:fldChar w:fldCharType="end"/>
      </w:r>
      <w:r>
        <w:rPr>
          <w:strike/>
        </w:rPr>
        <w:t>&lt;&lt;*&gt;&gt;</w:t>
      </w:r>
    </w:p>
    <w:p>
      <w:pPr>
        <w:pStyle w:val="Style1toc"/>
        <w:keepNext w:val="true"/>
        <w:bidi w:val="0"/>
        <w:rPr>
          <w:rFonts w:ascii="Times New Roman" w:hAnsi="Times New Roman"/>
        </w:rPr>
      </w:pPr>
      <w:r>
        <w:rPr/>
        <w:t>OWNER’S RESPONSIBILITIES</w:t>
      </w:r>
    </w:p>
    <w:p>
      <w:pPr>
        <w:pStyle w:val="bodytext1"/>
        <w:bidi w:val="0"/>
        <w:spacing w:lineRule="atLeast" w:line="240"/>
        <w:ind w:hanging="0" w:start="720"/>
        <w:jc w:val="both"/>
        <w:rPr>
          <w:rFonts w:ascii="Times New Roman" w:hAnsi="Times New Roman"/>
          <w:sz w:val="23"/>
        </w:rPr>
      </w:pPr>
      <w:r>
        <w:rPr>
          <w:sz w:val="23"/>
        </w:rPr>
        <w:t>4.1</w:t>
        <w:tab/>
      </w:r>
      <w:r>
        <w:rPr>
          <w:sz w:val="23"/>
          <w:u w:val="single"/>
        </w:rPr>
        <w:t xml:space="preserve">Owner’s Scope of Work </w:t>
      </w:r>
      <w:r>
        <w:rPr>
          <w:strike/>
          <w:sz w:val="23"/>
          <w:u w:val="single"/>
        </w:rPr>
        <w:t>&lt;including&gt;</w:t>
      </w:r>
      <w:r>
        <w:rPr>
          <w:sz w:val="23"/>
          <w:u w:val="single"/>
        </w:rPr>
        <w:t xml:space="preserve"> </w:t>
      </w:r>
      <w:r>
        <w:rPr>
          <w:b/>
          <w:sz w:val="23"/>
          <w:u w:val="double"/>
        </w:rPr>
        <w:t>for</w:t>
      </w:r>
      <w:r>
        <w:rPr>
          <w:sz w:val="23"/>
          <w:u w:val="single"/>
        </w:rPr>
        <w:t xml:space="preserve"> Utilities and Interconnections</w:t>
      </w:r>
      <w:r>
        <w:fldChar w:fldCharType="begin"/>
      </w:r>
      <w:r>
        <w:rPr>
          <w:sz w:val="23"/>
          <w:u w:val="single"/>
          <w:vanish/>
        </w:rPr>
        <w:instrText xml:space="preserve"> TC "4.1</w:instrText>
        <w:tab/>
        <w:instrText xml:space="preserve">Owner’s Scope of Work including Utilities and Interconnections672" \l 1 </w:instrText>
      </w:r>
      <w:r>
        <w:rPr>
          <w:sz w:val="23"/>
          <w:u w:val="single"/>
          <w:vanish/>
        </w:rPr>
        <w:fldChar w:fldCharType="separate"/>
      </w:r>
      <w:bookmarkStart w:id="119" w:name="_Toc493577460"/>
      <w:bookmarkStart w:id="120" w:name="_Toc497198916"/>
      <w:bookmarkStart w:id="121" w:name="_Toc496784871"/>
      <w:bookmarkStart w:id="122" w:name="_Toc496784594"/>
      <w:bookmarkEnd w:id="119"/>
      <w:bookmarkEnd w:id="120"/>
      <w:bookmarkEnd w:id="121"/>
      <w:bookmarkEnd w:id="122"/>
      <w:r>
        <w:rPr>
          <w:vanish/>
          <w:sz w:val="23"/>
          <w:u w:val="single"/>
        </w:rPr>
      </w:r>
      <w:r>
        <w:rPr>
          <w:sz w:val="23"/>
          <w:u w:val="single"/>
          <w:vanish/>
        </w:rPr>
        <w:fldChar w:fldCharType="end"/>
      </w:r>
      <w:r>
        <w:rPr>
          <w:strike/>
          <w:sz w:val="23"/>
        </w:rPr>
        <w:t>&lt;&lt;*&gt;&gt;</w:t>
      </w:r>
      <w:r>
        <w:rPr>
          <w:sz w:val="23"/>
        </w:rPr>
        <w:t xml:space="preserve">.    Owner shall, within the time frame and to the extent specified in </w:t>
      </w:r>
      <w:r>
        <w:rPr>
          <w:sz w:val="23"/>
          <w:u w:val="single"/>
        </w:rPr>
        <w:t>Exhibit M</w:t>
      </w:r>
      <w:r>
        <w:rPr>
          <w:sz w:val="23"/>
        </w:rPr>
        <w:t xml:space="preserve">, provide and pay for the utilities and services as set forth in </w:t>
      </w:r>
      <w:r>
        <w:rPr>
          <w:sz w:val="23"/>
          <w:u w:val="single"/>
        </w:rPr>
        <w:t>Exhibit M</w:t>
      </w:r>
      <w:r>
        <w:rPr>
          <w:sz w:val="23"/>
        </w:rPr>
        <w:t xml:space="preserve">.    Notwithstanding the foregoing, (a) for all Performance Tests other than the EPC Reliability Test, Owner shall be required to pay for the utilities only as needed for the first </w:t>
      </w:r>
      <w:r>
        <w:rPr>
          <w:b/>
          <w:sz w:val="23"/>
          <w:u w:val="double"/>
        </w:rPr>
        <w:t>[</w:t>
      </w:r>
      <w:r>
        <w:rPr>
          <w:b/>
          <w:sz w:val="23"/>
        </w:rPr>
        <w:t>twenty-four (24)</w:t>
      </w:r>
      <w:r>
        <w:rPr>
          <w:b/>
          <w:sz w:val="23"/>
          <w:u w:val="double"/>
        </w:rPr>
        <w:t>]</w:t>
      </w:r>
      <w:r>
        <w:rPr>
          <w:sz w:val="23"/>
        </w:rPr>
        <w:t xml:space="preserve"> hours of such Performance Tests and (b) for the EPC Reliability Test, Owner shall be required to pay for the utilities only as needed for the first </w:t>
      </w:r>
      <w:r>
        <w:rPr>
          <w:b/>
          <w:sz w:val="23"/>
          <w:u w:val="double"/>
        </w:rPr>
        <w:t>[</w:t>
      </w:r>
      <w:r>
        <w:rPr>
          <w:b/>
          <w:sz w:val="23"/>
        </w:rPr>
        <w:t>seven (7)</w:t>
      </w:r>
      <w:r>
        <w:rPr>
          <w:b/>
          <w:sz w:val="23"/>
          <w:u w:val="double"/>
        </w:rPr>
        <w:t>]</w:t>
      </w:r>
      <w:r>
        <w:rPr>
          <w:sz w:val="23"/>
        </w:rPr>
        <w:t xml:space="preserve"> days of such Test.    Contractor shall pay for such items during Performance Tests that occur after the time limits set forth in the preceding sentence (the “Excess Utilities”); provided, however, that Contractor’s obligation to pay for Excess Utilities shall be reduced by the amount of revenue received by Owner for output produced during the Performance Tests using the Excess Utilities.    </w:t>
      </w:r>
    </w:p>
    <w:p>
      <w:pPr>
        <w:pStyle w:val="bodytext1"/>
        <w:bidi w:val="0"/>
        <w:spacing w:lineRule="atLeast" w:line="240"/>
        <w:ind w:hanging="0" w:start="720"/>
        <w:jc w:val="both"/>
        <w:rPr>
          <w:rFonts w:ascii="Times New Roman" w:hAnsi="Times New Roman"/>
          <w:sz w:val="23"/>
        </w:rPr>
      </w:pPr>
      <w:r>
        <w:rPr>
          <w:sz w:val="23"/>
        </w:rPr>
        <w:t>4.2</w:t>
        <w:tab/>
      </w:r>
      <w:r>
        <w:rPr>
          <w:sz w:val="23"/>
          <w:u w:val="single"/>
        </w:rPr>
        <w:t>Payment</w:t>
      </w:r>
      <w:r>
        <w:fldChar w:fldCharType="begin"/>
      </w:r>
      <w:r>
        <w:rPr>
          <w:sz w:val="23"/>
          <w:u w:val="single"/>
          <w:vanish/>
        </w:rPr>
        <w:instrText xml:space="preserve"> TC "4.2</w:instrText>
        <w:tab/>
        <w:instrText xml:space="preserve">Payment672" \l 1 </w:instrText>
      </w:r>
      <w:r>
        <w:rPr>
          <w:sz w:val="23"/>
          <w:u w:val="single"/>
          <w:vanish/>
        </w:rPr>
        <w:fldChar w:fldCharType="separate"/>
      </w:r>
      <w:bookmarkStart w:id="123" w:name="_Toc496784595"/>
      <w:bookmarkStart w:id="124" w:name="_Toc496784872"/>
      <w:bookmarkStart w:id="125" w:name="_Toc493577461"/>
      <w:bookmarkStart w:id="126" w:name="_Toc497198917"/>
      <w:bookmarkEnd w:id="123"/>
      <w:bookmarkEnd w:id="124"/>
      <w:bookmarkEnd w:id="125"/>
      <w:bookmarkEnd w:id="126"/>
      <w:r>
        <w:rPr>
          <w:vanish/>
          <w:sz w:val="23"/>
          <w:u w:val="single"/>
        </w:rPr>
      </w:r>
      <w:r>
        <w:rPr>
          <w:sz w:val="23"/>
          <w:u w:val="single"/>
          <w:vanish/>
        </w:rPr>
        <w:fldChar w:fldCharType="end"/>
      </w:r>
      <w:r>
        <w:rPr>
          <w:strike/>
          <w:sz w:val="23"/>
        </w:rPr>
        <w:t>&lt;&lt;*&gt;&gt;</w:t>
      </w:r>
      <w:r>
        <w:rPr>
          <w:sz w:val="23"/>
        </w:rPr>
        <w:t>.    Owner shall timely pay the Contract Price and all other sums, if any, required to be paid by it to Contractor pursuant to the terms of this Agreement, in each case in accordance with the provisions of Article 7.</w:t>
      </w:r>
    </w:p>
    <w:p>
      <w:pPr>
        <w:pStyle w:val="bodytext1"/>
        <w:bidi w:val="0"/>
        <w:spacing w:lineRule="atLeast" w:line="240"/>
        <w:ind w:hanging="0" w:start="720"/>
        <w:jc w:val="both"/>
        <w:rPr>
          <w:rFonts w:ascii="Times New Roman" w:hAnsi="Times New Roman"/>
          <w:sz w:val="23"/>
        </w:rPr>
      </w:pPr>
      <w:r>
        <w:rPr>
          <w:sz w:val="23"/>
        </w:rPr>
        <w:t>4.3</w:t>
        <w:tab/>
      </w:r>
      <w:r>
        <w:rPr>
          <w:sz w:val="23"/>
          <w:u w:val="single"/>
        </w:rPr>
        <w:t>Access to Site and Rights of Way</w:t>
      </w:r>
      <w:r>
        <w:fldChar w:fldCharType="begin"/>
      </w:r>
      <w:r>
        <w:rPr>
          <w:sz w:val="23"/>
          <w:u w:val="single"/>
          <w:vanish/>
        </w:rPr>
        <w:instrText xml:space="preserve"> TC "4.3</w:instrText>
        <w:tab/>
        <w:instrText xml:space="preserve">Access to Site and Rights of Way672" \l 1 </w:instrText>
      </w:r>
      <w:r>
        <w:rPr>
          <w:sz w:val="23"/>
          <w:u w:val="single"/>
          <w:vanish/>
        </w:rPr>
        <w:fldChar w:fldCharType="separate"/>
      </w:r>
      <w:bookmarkStart w:id="127" w:name="_Toc493577462"/>
      <w:bookmarkStart w:id="128" w:name="_Toc497198918"/>
      <w:bookmarkStart w:id="129" w:name="_Toc496784873"/>
      <w:bookmarkStart w:id="130" w:name="_Toc496784596"/>
      <w:bookmarkEnd w:id="127"/>
      <w:bookmarkEnd w:id="128"/>
      <w:bookmarkEnd w:id="129"/>
      <w:bookmarkEnd w:id="130"/>
      <w:r>
        <w:rPr>
          <w:vanish/>
          <w:sz w:val="23"/>
          <w:u w:val="single"/>
        </w:rPr>
      </w:r>
      <w:r>
        <w:rPr>
          <w:sz w:val="23"/>
          <w:u w:val="single"/>
          <w:vanish/>
        </w:rPr>
        <w:fldChar w:fldCharType="end"/>
      </w:r>
      <w:r>
        <w:rPr>
          <w:strike/>
          <w:sz w:val="23"/>
        </w:rPr>
        <w:t>&lt;&lt;*&gt;&gt;</w:t>
      </w:r>
      <w:r>
        <w:rPr>
          <w:sz w:val="23"/>
        </w:rPr>
        <w:t xml:space="preserve">.    Owner shall provide at Owner’s expense, commencing not later than the date specified in the Project Schedule </w:t>
      </w:r>
      <w:r>
        <w:rPr>
          <w:strike/>
          <w:sz w:val="23"/>
        </w:rPr>
        <w:t>&lt;Summary,&gt;</w:t>
      </w:r>
      <w:r>
        <w:rPr>
          <w:sz w:val="23"/>
        </w:rPr>
        <w:t xml:space="preserve"> </w:t>
      </w:r>
      <w:r>
        <w:rPr>
          <w:b/>
          <w:sz w:val="23"/>
          <w:u w:val="double"/>
        </w:rPr>
        <w:t>and continuing until Final Completion, reasonable</w:t>
      </w:r>
      <w:r>
        <w:rPr>
          <w:sz w:val="23"/>
        </w:rPr>
        <w:t xml:space="preserve"> access to the Site </w:t>
      </w:r>
      <w:r>
        <w:rPr>
          <w:b/>
          <w:sz w:val="23"/>
          <w:u w:val="double"/>
        </w:rPr>
        <w:t>[</w:t>
      </w:r>
      <w:r>
        <w:rPr>
          <w:b/>
          <w:sz w:val="23"/>
        </w:rPr>
        <w:t xml:space="preserve">in accordance with the </w:t>
      </w:r>
      <w:r>
        <w:rPr>
          <w:b/>
          <w:strike/>
          <w:sz w:val="23"/>
        </w:rPr>
        <w:t>&lt;Tejon Agreements and shall continue to provide Contractor and Subcontractors at Owner’s expense with reasonably unrestricted access to the Site in accordance with the Tejon Agreements until Substantial Completion. Owner &gt;</w:t>
      </w:r>
      <w:r>
        <w:rPr>
          <w:b/>
          <w:sz w:val="23"/>
          <w:u w:val="double"/>
        </w:rPr>
        <w:t>Ground Lease].    Owner at its cost</w:t>
      </w:r>
      <w:r>
        <w:rPr>
          <w:sz w:val="23"/>
        </w:rPr>
        <w:t xml:space="preserve"> will arrange for all easements or other rights of way required for </w:t>
      </w:r>
      <w:r>
        <w:rPr>
          <w:b/>
          <w:sz w:val="23"/>
          <w:u w:val="double"/>
        </w:rPr>
        <w:t>such</w:t>
      </w:r>
      <w:r>
        <w:rPr>
          <w:sz w:val="23"/>
        </w:rPr>
        <w:t xml:space="preserve"> access to the Site and performance of the Work until </w:t>
      </w:r>
      <w:r>
        <w:rPr>
          <w:strike/>
          <w:sz w:val="23"/>
        </w:rPr>
        <w:t>&lt;Substantial&gt;</w:t>
      </w:r>
      <w:r>
        <w:rPr>
          <w:sz w:val="23"/>
        </w:rPr>
        <w:t xml:space="preserve"> </w:t>
      </w:r>
      <w:r>
        <w:rPr>
          <w:b/>
          <w:sz w:val="23"/>
          <w:u w:val="double"/>
        </w:rPr>
        <w:t>Final</w:t>
      </w:r>
      <w:r>
        <w:rPr>
          <w:sz w:val="23"/>
        </w:rPr>
        <w:t xml:space="preserve"> Completion.</w:t>
      </w:r>
    </w:p>
    <w:p>
      <w:pPr>
        <w:pStyle w:val="bodytext1"/>
        <w:bidi w:val="0"/>
        <w:spacing w:lineRule="atLeast" w:line="240"/>
        <w:ind w:hanging="0" w:start="720"/>
        <w:jc w:val="both"/>
        <w:rPr>
          <w:rFonts w:ascii="Times New Roman" w:hAnsi="Times New Roman"/>
          <w:sz w:val="23"/>
        </w:rPr>
      </w:pPr>
      <w:r>
        <w:rPr>
          <w:sz w:val="23"/>
        </w:rPr>
        <w:t>4.4</w:t>
        <w:tab/>
      </w:r>
      <w:r>
        <w:rPr>
          <w:sz w:val="23"/>
          <w:u w:val="single"/>
        </w:rPr>
        <w:t>Governmental Authorizations</w:t>
      </w:r>
      <w:r>
        <w:fldChar w:fldCharType="begin"/>
      </w:r>
      <w:r>
        <w:rPr>
          <w:sz w:val="23"/>
          <w:u w:val="single"/>
          <w:vanish/>
        </w:rPr>
        <w:instrText xml:space="preserve"> TC "4.4</w:instrText>
        <w:tab/>
        <w:instrText xml:space="preserve">Governmental Authorizations672" \l 1 </w:instrText>
      </w:r>
      <w:r>
        <w:rPr>
          <w:sz w:val="23"/>
          <w:u w:val="single"/>
          <w:vanish/>
        </w:rPr>
        <w:fldChar w:fldCharType="separate"/>
      </w:r>
      <w:bookmarkStart w:id="131" w:name="_Toc496784597"/>
      <w:bookmarkStart w:id="132" w:name="_Toc496784874"/>
      <w:bookmarkStart w:id="133" w:name="_Toc497198919"/>
      <w:bookmarkStart w:id="134" w:name="_Toc493577463"/>
      <w:bookmarkEnd w:id="131"/>
      <w:bookmarkEnd w:id="132"/>
      <w:bookmarkEnd w:id="133"/>
      <w:bookmarkEnd w:id="134"/>
      <w:r>
        <w:rPr>
          <w:vanish/>
          <w:sz w:val="23"/>
          <w:u w:val="single"/>
        </w:rPr>
      </w:r>
      <w:r>
        <w:rPr>
          <w:sz w:val="23"/>
          <w:u w:val="single"/>
          <w:vanish/>
        </w:rPr>
        <w:fldChar w:fldCharType="end"/>
      </w:r>
      <w:r>
        <w:rPr>
          <w:strike/>
          <w:sz w:val="23"/>
        </w:rPr>
        <w:t>&lt;&lt;*&gt;&gt;</w:t>
      </w:r>
      <w:r>
        <w:rPr>
          <w:sz w:val="23"/>
        </w:rPr>
        <w:t xml:space="preserve">.    Owner shall obtain in a timely manner the Governmental Authorizations listed in </w:t>
      </w:r>
      <w:r>
        <w:rPr>
          <w:sz w:val="23"/>
          <w:u w:val="single"/>
        </w:rPr>
        <w:t>Exhibit K</w:t>
      </w:r>
      <w:r>
        <w:rPr>
          <w:sz w:val="23"/>
        </w:rPr>
        <w:t xml:space="preserve"> for which it is designated as responsible </w:t>
      </w:r>
      <w:r>
        <w:rPr>
          <w:strike/>
          <w:sz w:val="23"/>
        </w:rPr>
        <w:t>&lt;or which applicable Law requires to be issued in Owner’s name&gt;</w:t>
      </w:r>
      <w:r>
        <w:rPr>
          <w:sz w:val="23"/>
        </w:rPr>
        <w:t xml:space="preserve">.    Owner shall promptly deliver to Contractor copies of all such Governmental Authorizations.    Owner shall give all notices and pay all fees required to be given or paid to any Governmental Authority in relation to </w:t>
      </w:r>
      <w:r>
        <w:rPr>
          <w:strike/>
          <w:sz w:val="23"/>
        </w:rPr>
        <w:t>&lt;any such&gt;</w:t>
      </w:r>
      <w:r>
        <w:rPr>
          <w:sz w:val="23"/>
        </w:rPr>
        <w:t xml:space="preserve"> </w:t>
      </w:r>
      <w:r>
        <w:rPr>
          <w:b/>
          <w:sz w:val="23"/>
          <w:u w:val="double"/>
        </w:rPr>
        <w:t>the</w:t>
      </w:r>
      <w:r>
        <w:rPr>
          <w:sz w:val="23"/>
        </w:rPr>
        <w:t xml:space="preserve"> Governmental Authorizations which are Owner’s responsibility.    Owner shall use reasonable efforts (including, but not limited to, providing documents and information requested by Contractor) to assist Contractor in its efforts to obtain the Governmental Authorizations for which Contractor is designated as responsible under this Agreement.</w:t>
      </w:r>
    </w:p>
    <w:p>
      <w:pPr>
        <w:pStyle w:val="bodytext1"/>
        <w:bidi w:val="0"/>
        <w:spacing w:lineRule="atLeast" w:line="240"/>
        <w:ind w:hanging="0" w:start="720"/>
        <w:jc w:val="both"/>
        <w:rPr>
          <w:rFonts w:ascii="Times New Roman" w:hAnsi="Times New Roman"/>
          <w:sz w:val="23"/>
        </w:rPr>
      </w:pPr>
      <w:r>
        <w:rPr>
          <w:sz w:val="23"/>
        </w:rPr>
        <w:t>4.5</w:t>
        <w:tab/>
      </w:r>
      <w:r>
        <w:rPr>
          <w:sz w:val="23"/>
          <w:u w:val="single"/>
        </w:rPr>
        <w:t>Operating Personnel</w:t>
      </w:r>
      <w:r>
        <w:fldChar w:fldCharType="begin"/>
      </w:r>
      <w:r>
        <w:rPr>
          <w:sz w:val="23"/>
          <w:u w:val="single"/>
          <w:vanish/>
        </w:rPr>
        <w:instrText xml:space="preserve"> TC "4.5</w:instrText>
        <w:tab/>
        <w:instrText xml:space="preserve">Operating Personnel672" \l 1 </w:instrText>
      </w:r>
      <w:r>
        <w:rPr>
          <w:sz w:val="23"/>
          <w:u w:val="single"/>
          <w:vanish/>
        </w:rPr>
        <w:fldChar w:fldCharType="separate"/>
      </w:r>
      <w:bookmarkStart w:id="135" w:name="_Toc493577464"/>
      <w:bookmarkStart w:id="136" w:name="_Toc497198920"/>
      <w:bookmarkStart w:id="137" w:name="_Toc496784875"/>
      <w:bookmarkStart w:id="138" w:name="_Toc496784598"/>
      <w:bookmarkEnd w:id="135"/>
      <w:bookmarkEnd w:id="136"/>
      <w:bookmarkEnd w:id="137"/>
      <w:bookmarkEnd w:id="138"/>
      <w:r>
        <w:rPr>
          <w:vanish/>
          <w:sz w:val="23"/>
          <w:u w:val="single"/>
        </w:rPr>
      </w:r>
      <w:r>
        <w:rPr>
          <w:sz w:val="23"/>
          <w:u w:val="single"/>
          <w:vanish/>
        </w:rPr>
        <w:fldChar w:fldCharType="end"/>
      </w:r>
      <w:r>
        <w:rPr>
          <w:strike/>
          <w:sz w:val="23"/>
        </w:rPr>
        <w:t>&lt;&lt;*&gt;&gt;</w:t>
      </w:r>
      <w:r>
        <w:rPr>
          <w:sz w:val="23"/>
        </w:rPr>
        <w:t>.</w:t>
      </w:r>
    </w:p>
    <w:p>
      <w:pPr>
        <w:pStyle w:val="BodyText"/>
        <w:bidi w:val="0"/>
        <w:rPr>
          <w:rFonts w:ascii="Times New Roman" w:hAnsi="Times New Roman"/>
        </w:rPr>
      </w:pPr>
      <w:r>
        <w:rPr/>
      </w:r>
    </w:p>
    <w:p>
      <w:pPr>
        <w:pStyle w:val="BodyText"/>
        <w:bidi w:val="0"/>
        <w:rPr>
          <w:rFonts w:ascii="Times New Roman" w:hAnsi="Times New Roman"/>
        </w:rPr>
      </w:pPr>
      <w:r>
        <w:rPr/>
        <w:tab/>
        <w:t>4.5.1</w:t>
        <w:tab/>
      </w:r>
      <w:r>
        <w:rPr>
          <w:u w:val="single"/>
        </w:rPr>
        <w:t>Qualified Personnel for Training</w:t>
      </w:r>
      <w:r>
        <w:rPr/>
        <w:t xml:space="preserve">.    Owner shall supply, or cause to be supplied, by not later than the date set out in </w:t>
      </w:r>
      <w:r>
        <w:rPr>
          <w:strike/>
        </w:rPr>
        <w:t>&lt;Exhibit A-1&gt;</w:t>
      </w:r>
      <w:r>
        <w:rPr/>
        <w:t xml:space="preserve"> </w:t>
      </w:r>
      <w:r>
        <w:rPr>
          <w:b/>
          <w:u w:val="double"/>
        </w:rPr>
        <w:t>the Project Schedule</w:t>
      </w:r>
      <w:r>
        <w:rPr/>
        <w:t xml:space="preserve">, suitably qualified and, where necessary, licensed operators for training by Contractor as set forth in </w:t>
      </w:r>
      <w:r>
        <w:rPr>
          <w:u w:val="single"/>
        </w:rPr>
        <w:t>Exhibit O</w:t>
      </w:r>
      <w:r>
        <w:rPr/>
        <w:t xml:space="preserve">.    Owner shall supply, or cause to be supplied, such small tools, classrooms, office equipment and other similar equipment that is not provided by Contractor </w:t>
      </w:r>
      <w:r>
        <w:rPr>
          <w:strike/>
        </w:rPr>
        <w:t>&lt;hereunder&gt;</w:t>
      </w:r>
      <w:r>
        <w:rPr/>
        <w:t xml:space="preserve"> </w:t>
      </w:r>
      <w:r>
        <w:rPr>
          <w:b/>
          <w:u w:val="double"/>
        </w:rPr>
        <w:t>under this Agreement</w:t>
      </w:r>
      <w:r>
        <w:rPr/>
        <w:t xml:space="preserve"> to facilitate on the job training of the operations personnel, so long as Contractor has notified Owner in adequate time of the equipment and facilities that will be required. </w:t>
      </w:r>
    </w:p>
    <w:p>
      <w:pPr>
        <w:pStyle w:val="BodyText"/>
        <w:bidi w:val="0"/>
        <w:rPr>
          <w:rFonts w:ascii="Times New Roman" w:hAnsi="Times New Roman"/>
        </w:rPr>
      </w:pPr>
      <w:r>
        <w:rPr/>
      </w:r>
    </w:p>
    <w:p>
      <w:pPr>
        <w:pStyle w:val="BodyText"/>
        <w:bidi w:val="0"/>
        <w:rPr>
          <w:rFonts w:ascii="Times New Roman" w:hAnsi="Times New Roman"/>
        </w:rPr>
      </w:pPr>
      <w:r>
        <w:rPr/>
        <w:tab/>
        <w:t>4.5.2</w:t>
        <w:tab/>
      </w:r>
      <w:r>
        <w:rPr>
          <w:u w:val="single"/>
        </w:rPr>
        <w:t>Operators</w:t>
      </w:r>
      <w:r>
        <w:rPr/>
        <w:t xml:space="preserve">.    Subsequent to such training, Owner shall provide </w:t>
      </w:r>
      <w:r>
        <w:rPr>
          <w:strike/>
        </w:rPr>
        <w:t>&lt;such&gt;</w:t>
      </w:r>
      <w:r>
        <w:rPr/>
        <w:t xml:space="preserve"> </w:t>
      </w:r>
      <w:r>
        <w:rPr>
          <w:b/>
          <w:u w:val="double"/>
        </w:rPr>
        <w:t>the</w:t>
      </w:r>
      <w:r>
        <w:rPr/>
        <w:t xml:space="preserve"> operators to Contractor for the purpose of start-up, commissioning, and performance testing of the Facility until Substantial Completion.    Such operators will work under the control and supervision of Owner at Contractor’s direction until Substantial Completion.    Contractor shall be responsible for the acts and omissions of the operators while they are working at the Facility at Contractor’s direction, except to the extent that such acts or omissions constitute willful misconduct or gross negligence by the operators.    Contractor shall indemnify, defend and hold harmless the Owner Indemnitees from and against any and all Losses suffered by or asserted against any Owner Indemnitee by reason of, arising out of or relative to any act or omission of any operator while working at the Facility at Contractor’s direction (except to the extent such acts or omissions constitute willful misconduct or gross negligence of the operator).</w:t>
      </w:r>
    </w:p>
    <w:p>
      <w:pPr>
        <w:pStyle w:val="bodytext1"/>
        <w:bidi w:val="0"/>
        <w:spacing w:lineRule="atLeast" w:line="240"/>
        <w:ind w:hanging="0" w:start="720"/>
        <w:jc w:val="both"/>
        <w:rPr>
          <w:rFonts w:ascii="Times New Roman" w:hAnsi="Times New Roman"/>
          <w:vanish/>
          <w:sz w:val="23"/>
          <w:u w:val="single"/>
        </w:rPr>
      </w:pPr>
      <w:r>
        <w:rPr>
          <w:sz w:val="23"/>
        </w:rPr>
        <w:t>4.6</w:t>
        <w:tab/>
      </w:r>
      <w:r>
        <w:rPr>
          <w:sz w:val="23"/>
          <w:u w:val="single"/>
        </w:rPr>
        <w:t xml:space="preserve">Owner’s </w:t>
      </w:r>
      <w:r>
        <w:rPr>
          <w:strike/>
          <w:sz w:val="23"/>
          <w:u w:val="single"/>
        </w:rPr>
        <w:t>&lt;Representative&lt;*&gt;&gt;</w:t>
      </w:r>
      <w:r>
        <w:rPr>
          <w:b/>
          <w:sz w:val="23"/>
          <w:u w:val="double"/>
        </w:rPr>
        <w:t>Construction Manager</w:t>
      </w:r>
      <w:bookmarkStart w:id="139" w:name="_Toc493577465"/>
      <w:bookmarkStart w:id="140" w:name="_Toc497198921"/>
      <w:bookmarkStart w:id="141" w:name="_Toc496784876"/>
      <w:bookmarkStart w:id="142" w:name="_Toc496784599"/>
      <w:bookmarkEnd w:id="139"/>
      <w:bookmarkEnd w:id="140"/>
      <w:bookmarkEnd w:id="141"/>
      <w:bookmarkEnd w:id="142"/>
    </w:p>
    <w:p>
      <w:pPr>
        <w:pStyle w:val="bodytext1"/>
        <w:bidi w:val="0"/>
        <w:spacing w:lineRule="atLeast" w:line="240"/>
        <w:ind w:firstLine="720" w:start="720"/>
        <w:jc w:val="both"/>
        <w:rPr>
          <w:rFonts w:ascii="Times New Roman" w:hAnsi="Times New Roman"/>
          <w:b/>
          <w:sz w:val="23"/>
          <w:u w:val="double"/>
        </w:rPr>
      </w:pPr>
      <w:r>
        <w:fldChar w:fldCharType="begin"/>
      </w:r>
      <w:r>
        <w:rPr>
          <w:sz w:val="23"/>
          <w:u w:val="single"/>
          <w:vanish/>
        </w:rPr>
        <w:instrText xml:space="preserve"> TC "4.6</w:instrText>
        <w:tab/>
        <w:instrText xml:space="preserve">4.6.1</w:instrText>
        <w:tab/>
        <w:instrText xml:space="preserve">Authority of Construction Manager.  672" \l 1 </w:instrText>
      </w:r>
      <w:r>
        <w:rPr>
          <w:sz w:val="23"/>
          <w:u w:val="single"/>
          <w:vanish/>
        </w:rPr>
        <w:fldChar w:fldCharType="separate"/>
      </w:r>
      <w:r>
        <w:rPr>
          <w:vanish/>
          <w:sz w:val="23"/>
          <w:u w:val="single"/>
        </w:rPr>
      </w:r>
      <w:r>
        <w:rPr>
          <w:sz w:val="23"/>
          <w:u w:val="single"/>
          <w:vanish/>
        </w:rPr>
        <w:fldChar w:fldCharType="end"/>
      </w:r>
      <w:r>
        <w:rPr>
          <w:b/>
          <w:sz w:val="23"/>
          <w:u w:val="double"/>
        </w:rPr>
        <w:t xml:space="preserve">.    Pursuant to the CDM Agreement, Owner has designated and appointed Construction Manager to act on Owner’s behalf under this Agreement, to the extent provided in the CDM Agreement.    Contractor acknowledges that Construction Manager’s obligations and responsibilities are solely as set forth in the CDM Agreement and that Construction Manager is not personally liable for Owner’s payment and indemnification obligations under this Agreement.    Construction Manager’s authority to act for Owner under this Agreement shall remain in effect until revoked or modified in writing by Owner to Contractor.    </w:t>
      </w:r>
    </w:p>
    <w:p>
      <w:pPr>
        <w:pStyle w:val="bodytext1"/>
        <w:bidi w:val="0"/>
        <w:spacing w:lineRule="atLeast" w:line="240"/>
        <w:ind w:firstLine="720" w:start="720"/>
        <w:jc w:val="both"/>
        <w:rPr>
          <w:rFonts w:ascii="Times New Roman" w:hAnsi="Times New Roman"/>
          <w:sz w:val="23"/>
        </w:rPr>
      </w:pPr>
      <w:r>
        <w:rPr>
          <w:b/>
          <w:sz w:val="23"/>
          <w:u w:val="double"/>
        </w:rPr>
        <w:t>4.6.2</w:t>
      </w:r>
      <w:r>
        <w:rPr>
          <w:sz w:val="23"/>
        </w:rPr>
        <w:tab/>
      </w:r>
      <w:r>
        <w:rPr>
          <w:b/>
          <w:sz w:val="23"/>
          <w:u w:val="double"/>
        </w:rPr>
        <w:t>Construction Manager’s Representative(s)</w:t>
      </w:r>
      <w:r>
        <w:rPr>
          <w:sz w:val="23"/>
        </w:rPr>
        <w:t xml:space="preserve">.    On or before the Notice to Proceed Effective Date, </w:t>
      </w:r>
      <w:r>
        <w:rPr>
          <w:strike/>
          <w:sz w:val="23"/>
        </w:rPr>
        <w:t>&lt;Owner&gt;</w:t>
      </w:r>
      <w:r>
        <w:rPr>
          <w:sz w:val="23"/>
        </w:rPr>
        <w:t xml:space="preserve"> </w:t>
      </w:r>
      <w:r>
        <w:rPr>
          <w:b/>
          <w:sz w:val="23"/>
          <w:u w:val="double"/>
        </w:rPr>
        <w:t>Construction Manager</w:t>
      </w:r>
      <w:r>
        <w:rPr>
          <w:sz w:val="23"/>
        </w:rPr>
        <w:t xml:space="preserve"> shall designate </w:t>
      </w:r>
      <w:r>
        <w:rPr>
          <w:strike/>
          <w:sz w:val="23"/>
        </w:rPr>
        <w:t>&lt;a representative (the “Owner’s&gt;</w:t>
      </w:r>
      <w:r>
        <w:rPr>
          <w:sz w:val="23"/>
        </w:rPr>
        <w:t xml:space="preserve"> </w:t>
      </w:r>
      <w:r>
        <w:rPr>
          <w:b/>
          <w:sz w:val="23"/>
          <w:u w:val="double"/>
        </w:rPr>
        <w:t>one or more representatives (the “Construction Manager’s</w:t>
      </w:r>
      <w:r>
        <w:rPr>
          <w:sz w:val="23"/>
        </w:rPr>
        <w:t xml:space="preserve"> Representative”), who shall be authorized to act on behalf of </w:t>
      </w:r>
      <w:r>
        <w:rPr>
          <w:strike/>
          <w:sz w:val="23"/>
        </w:rPr>
        <w:t>&lt;Owner&gt;</w:t>
      </w:r>
      <w:r>
        <w:rPr>
          <w:sz w:val="23"/>
        </w:rPr>
        <w:t xml:space="preserve"> </w:t>
      </w:r>
      <w:r>
        <w:rPr>
          <w:b/>
          <w:sz w:val="23"/>
          <w:u w:val="double"/>
        </w:rPr>
        <w:t>Construction Manager</w:t>
      </w:r>
      <w:r>
        <w:rPr>
          <w:sz w:val="23"/>
        </w:rPr>
        <w:t xml:space="preserve">, with whom Contractor may consult at all reasonable times, and whose instructions, approvals, requests and decisions shall be binding upon Owner as to all matters pertaining to this Agreement and the performance of </w:t>
      </w:r>
      <w:r>
        <w:rPr>
          <w:strike/>
          <w:sz w:val="23"/>
        </w:rPr>
        <w:t>&lt;Owner hereunder&gt;</w:t>
      </w:r>
      <w:r>
        <w:rPr>
          <w:sz w:val="23"/>
        </w:rPr>
        <w:t xml:space="preserve"> </w:t>
      </w:r>
      <w:r>
        <w:rPr>
          <w:b/>
          <w:sz w:val="23"/>
          <w:u w:val="double"/>
        </w:rPr>
        <w:t>Owner’s obligations under this Agreement</w:t>
      </w:r>
      <w:r>
        <w:rPr>
          <w:sz w:val="23"/>
        </w:rPr>
        <w:t xml:space="preserve">; provided however, that </w:t>
      </w:r>
      <w:r>
        <w:rPr>
          <w:strike/>
          <w:sz w:val="23"/>
        </w:rPr>
        <w:t>&lt;Owner’s&gt;</w:t>
      </w:r>
      <w:r>
        <w:rPr>
          <w:sz w:val="23"/>
        </w:rPr>
        <w:t xml:space="preserve"> </w:t>
      </w:r>
      <w:r>
        <w:rPr>
          <w:b/>
          <w:sz w:val="23"/>
          <w:u w:val="double"/>
        </w:rPr>
        <w:t>Construction Manager’s</w:t>
      </w:r>
      <w:r>
        <w:rPr>
          <w:sz w:val="23"/>
        </w:rPr>
        <w:t xml:space="preserve"> Representative shall not have authority to </w:t>
      </w:r>
      <w:r>
        <w:rPr>
          <w:strike/>
          <w:sz w:val="23"/>
        </w:rPr>
        <w:t>&lt;agree&gt;</w:t>
      </w:r>
      <w:r>
        <w:rPr>
          <w:b/>
          <w:sz w:val="23"/>
          <w:u w:val="double"/>
        </w:rPr>
        <w:t>(1) agree</w:t>
      </w:r>
      <w:r>
        <w:rPr>
          <w:sz w:val="23"/>
        </w:rPr>
        <w:t xml:space="preserve"> to a Change Order or to amend or modify any provision of this Agreement unless Owner has given written notice to Contractor pursuant to this Agreement of express authority with respect to certain Change Orders being delegated to such </w:t>
      </w:r>
      <w:r>
        <w:rPr>
          <w:strike/>
          <w:sz w:val="23"/>
        </w:rPr>
        <w:t>&lt;Owner’s&gt;</w:t>
      </w:r>
      <w:r>
        <w:rPr>
          <w:sz w:val="23"/>
        </w:rPr>
        <w:t xml:space="preserve"> </w:t>
      </w:r>
      <w:r>
        <w:rPr>
          <w:b/>
          <w:sz w:val="23"/>
          <w:u w:val="double"/>
        </w:rPr>
        <w:t>Construction Manager’s</w:t>
      </w:r>
      <w:r>
        <w:rPr>
          <w:sz w:val="23"/>
        </w:rPr>
        <w:t xml:space="preserve"> Representative</w:t>
      </w:r>
      <w:r>
        <w:rPr>
          <w:strike/>
          <w:sz w:val="23"/>
        </w:rPr>
        <w:t>&lt;. Within thirty (30) days after full&gt;</w:t>
      </w:r>
      <w:r>
        <w:rPr>
          <w:b/>
          <w:sz w:val="23"/>
          <w:u w:val="double"/>
        </w:rPr>
        <w:t>, (2) perform any of Owner’s indemnification obligations under this Agreement, or (3) make any payments in respect of Owner’s obligations under this Agreement.    Upon</w:t>
      </w:r>
      <w:r>
        <w:rPr>
          <w:sz w:val="23"/>
        </w:rPr>
        <w:t xml:space="preserve"> execution </w:t>
      </w:r>
      <w:r>
        <w:rPr>
          <w:strike/>
          <w:sz w:val="23"/>
        </w:rPr>
        <w:t>&lt;and delivery&gt;</w:t>
      </w:r>
      <w:r>
        <w:rPr>
          <w:sz w:val="23"/>
        </w:rPr>
        <w:t xml:space="preserve"> of this Agreement, Owner shall inform Contractor in writing of Owner’s personnel who have authority to agree to a Change Order or to amend this Agreement.    Owner may change </w:t>
      </w:r>
      <w:r>
        <w:rPr>
          <w:strike/>
          <w:sz w:val="23"/>
        </w:rPr>
        <w:t>&lt;Owner’s&gt;</w:t>
      </w:r>
      <w:r>
        <w:rPr>
          <w:sz w:val="23"/>
        </w:rPr>
        <w:t xml:space="preserve"> </w:t>
      </w:r>
      <w:r>
        <w:rPr>
          <w:b/>
          <w:sz w:val="23"/>
          <w:u w:val="double"/>
        </w:rPr>
        <w:t>such authorized personnel at any time by written notice to Contractor.    Construction Manager may change Construction Manager’s</w:t>
      </w:r>
      <w:r>
        <w:rPr>
          <w:sz w:val="23"/>
        </w:rPr>
        <w:t xml:space="preserve"> Representative, or authorized personnel, at any time by written notice to </w:t>
      </w:r>
      <w:r>
        <w:rPr>
          <w:b/>
          <w:sz w:val="23"/>
          <w:u w:val="double"/>
        </w:rPr>
        <w:t>Owner and</w:t>
      </w:r>
      <w:r>
        <w:rPr>
          <w:sz w:val="23"/>
        </w:rPr>
        <w:t xml:space="preserve"> Contractor.</w:t>
      </w:r>
    </w:p>
    <w:p>
      <w:pPr>
        <w:pStyle w:val="bodytext1"/>
        <w:bidi w:val="0"/>
        <w:spacing w:lineRule="atLeast" w:line="240"/>
        <w:ind w:hanging="0" w:start="720"/>
        <w:jc w:val="both"/>
        <w:rPr>
          <w:rFonts w:ascii="Times New Roman" w:hAnsi="Times New Roman"/>
          <w:sz w:val="23"/>
        </w:rPr>
      </w:pPr>
      <w:r>
        <w:rPr>
          <w:sz w:val="23"/>
        </w:rPr>
        <w:t>4.7</w:t>
        <w:tab/>
      </w:r>
      <w:r>
        <w:rPr>
          <w:sz w:val="23"/>
          <w:u w:val="single"/>
        </w:rPr>
        <w:t>Divergences from Law</w:t>
      </w:r>
      <w:r>
        <w:fldChar w:fldCharType="begin"/>
      </w:r>
      <w:r>
        <w:rPr>
          <w:sz w:val="23"/>
          <w:u w:val="single"/>
          <w:vanish/>
        </w:rPr>
        <w:instrText xml:space="preserve"> TC "4.7</w:instrText>
        <w:tab/>
        <w:instrText xml:space="preserve">Divergences from Law672" \l 1 </w:instrText>
      </w:r>
      <w:r>
        <w:rPr>
          <w:sz w:val="23"/>
          <w:u w:val="single"/>
          <w:vanish/>
        </w:rPr>
        <w:fldChar w:fldCharType="separate"/>
      </w:r>
      <w:bookmarkStart w:id="143" w:name="_Toc496784600"/>
      <w:bookmarkStart w:id="144" w:name="_Toc497198922"/>
      <w:bookmarkStart w:id="145" w:name="_Toc496784877"/>
      <w:bookmarkStart w:id="146" w:name="_Toc493577466"/>
      <w:bookmarkEnd w:id="143"/>
      <w:bookmarkEnd w:id="144"/>
      <w:bookmarkEnd w:id="145"/>
      <w:bookmarkEnd w:id="146"/>
      <w:r>
        <w:rPr>
          <w:vanish/>
          <w:sz w:val="23"/>
          <w:u w:val="single"/>
        </w:rPr>
      </w:r>
      <w:r>
        <w:rPr>
          <w:sz w:val="23"/>
          <w:u w:val="single"/>
          <w:vanish/>
        </w:rPr>
        <w:fldChar w:fldCharType="end"/>
      </w:r>
      <w:r>
        <w:rPr>
          <w:strike/>
          <w:sz w:val="23"/>
        </w:rPr>
        <w:t>&lt;&lt;*&gt;&gt;</w:t>
      </w:r>
      <w:r>
        <w:rPr>
          <w:sz w:val="23"/>
        </w:rPr>
        <w:t>.    If Owner becomes aware of any divergence between any applicable Law or Governmental Authorization and the Specifications, Scope of Work, or any other provision of this Agreement, it shall give Contractor written notice specifying the divergence.</w:t>
      </w:r>
    </w:p>
    <w:p>
      <w:pPr>
        <w:pStyle w:val="bodytext1"/>
        <w:bidi w:val="0"/>
        <w:spacing w:lineRule="atLeast" w:line="240"/>
        <w:ind w:hanging="0" w:start="720"/>
        <w:jc w:val="both"/>
        <w:rPr>
          <w:rFonts w:ascii="Times New Roman" w:hAnsi="Times New Roman"/>
          <w:sz w:val="23"/>
        </w:rPr>
      </w:pPr>
      <w:r>
        <w:rPr>
          <w:sz w:val="23"/>
        </w:rPr>
        <w:t>4.8</w:t>
        <w:tab/>
      </w:r>
      <w:r>
        <w:rPr>
          <w:sz w:val="23"/>
          <w:u w:val="single"/>
        </w:rPr>
        <w:t>Foreign Corrupt Practices Act</w:t>
      </w:r>
      <w:r>
        <w:fldChar w:fldCharType="begin"/>
      </w:r>
      <w:r>
        <w:rPr>
          <w:sz w:val="23"/>
          <w:u w:val="single"/>
          <w:vanish/>
        </w:rPr>
        <w:instrText xml:space="preserve"> TC "4.8</w:instrText>
        <w:tab/>
        <w:instrText xml:space="preserve">Foreign Corrupt Practices Act672" \l 1 </w:instrText>
      </w:r>
      <w:r>
        <w:rPr>
          <w:sz w:val="23"/>
          <w:u w:val="single"/>
          <w:vanish/>
        </w:rPr>
        <w:fldChar w:fldCharType="separate"/>
      </w:r>
      <w:bookmarkStart w:id="147" w:name="_Toc497198923"/>
      <w:bookmarkStart w:id="148" w:name="_Toc496784878"/>
      <w:bookmarkStart w:id="149" w:name="_Toc496784601"/>
      <w:bookmarkStart w:id="150" w:name="_Toc493577467"/>
      <w:bookmarkEnd w:id="147"/>
      <w:bookmarkEnd w:id="148"/>
      <w:bookmarkEnd w:id="149"/>
      <w:bookmarkEnd w:id="150"/>
      <w:r>
        <w:rPr>
          <w:vanish/>
          <w:sz w:val="23"/>
          <w:u w:val="single"/>
        </w:rPr>
      </w:r>
      <w:r>
        <w:rPr>
          <w:sz w:val="23"/>
          <w:u w:val="single"/>
          <w:vanish/>
        </w:rPr>
        <w:fldChar w:fldCharType="end"/>
      </w:r>
      <w:r>
        <w:rPr>
          <w:strike/>
          <w:sz w:val="23"/>
        </w:rPr>
        <w:t>&lt;&lt;*&gt;&gt;</w:t>
      </w:r>
      <w:r>
        <w:rPr>
          <w:sz w:val="23"/>
        </w:rPr>
        <w:t>.    Owner shall not act in violation of the U.S. Foreign Corrupt Practices Act; in particular, Owner shall not make any payments, loans, or gifts, directly or indirectly, to or for the use or benefit of any official, employee, agency, or instrumentality of any government, political party, or candidate thereof, any international public organization or any other Person, the payment of which would violate the laws of the United States of America, or the country or countries where the Work is performed, in whole or in part.    Owner shall indemnify, defend and hold harmless Contractor and its Subcontractors from and against any and all Losses attributable to Owner’s failure to comply with this Section 4.8 in connection with the Work or this Agreement.</w:t>
      </w:r>
    </w:p>
    <w:p>
      <w:pPr>
        <w:pStyle w:val="bodytext1"/>
        <w:bidi w:val="0"/>
        <w:spacing w:lineRule="atLeast" w:line="240"/>
        <w:ind w:hanging="0" w:start="720"/>
        <w:jc w:val="both"/>
        <w:rPr>
          <w:rFonts w:ascii="Times New Roman" w:hAnsi="Times New Roman"/>
          <w:sz w:val="23"/>
        </w:rPr>
      </w:pPr>
      <w:r>
        <w:rPr>
          <w:sz w:val="23"/>
        </w:rPr>
        <w:t>4.9</w:t>
        <w:tab/>
      </w:r>
      <w:r>
        <w:rPr>
          <w:sz w:val="23"/>
          <w:u w:val="single"/>
        </w:rPr>
        <w:t>Compliance with Law</w:t>
      </w:r>
      <w:r>
        <w:fldChar w:fldCharType="begin"/>
      </w:r>
      <w:r>
        <w:rPr>
          <w:sz w:val="23"/>
          <w:u w:val="single"/>
          <w:vanish/>
        </w:rPr>
        <w:instrText xml:space="preserve"> TC "4.9</w:instrText>
        <w:tab/>
        <w:instrText xml:space="preserve">Compliance with Law672" \l 1 </w:instrText>
      </w:r>
      <w:r>
        <w:rPr>
          <w:sz w:val="23"/>
          <w:u w:val="single"/>
          <w:vanish/>
        </w:rPr>
        <w:fldChar w:fldCharType="separate"/>
      </w:r>
      <w:bookmarkStart w:id="151" w:name="_Toc493577468"/>
      <w:bookmarkStart w:id="152" w:name="_Toc497198924"/>
      <w:bookmarkStart w:id="153" w:name="_Toc496784879"/>
      <w:bookmarkStart w:id="154" w:name="_Toc496784602"/>
      <w:bookmarkEnd w:id="151"/>
      <w:bookmarkEnd w:id="152"/>
      <w:bookmarkEnd w:id="153"/>
      <w:bookmarkEnd w:id="154"/>
      <w:r>
        <w:rPr>
          <w:vanish/>
          <w:sz w:val="23"/>
          <w:u w:val="single"/>
        </w:rPr>
      </w:r>
      <w:r>
        <w:rPr>
          <w:sz w:val="23"/>
          <w:u w:val="single"/>
          <w:vanish/>
        </w:rPr>
        <w:fldChar w:fldCharType="end"/>
      </w:r>
      <w:r>
        <w:rPr>
          <w:strike/>
          <w:sz w:val="23"/>
        </w:rPr>
        <w:t>&lt;&lt;*&gt;&gt;</w:t>
      </w:r>
      <w:r>
        <w:rPr>
          <w:sz w:val="23"/>
        </w:rPr>
        <w:t>.    In performing its obligations under this Agreement, Owner shall ascertain and comply with all applicable Laws.    Owner shall indemnify, defend and hold harmless Contractor and its Subcontractors from and against any and all fines, penalties, related costs and expenses, including reasonable legal expenses and costs, attributable to Owner’s failure to comply with such Laws in connection with performance of Owner’s obligations under this Agreement.</w:t>
      </w:r>
    </w:p>
    <w:p>
      <w:pPr>
        <w:pStyle w:val="bodytext1"/>
        <w:bidi w:val="0"/>
        <w:spacing w:lineRule="atLeast" w:line="240"/>
        <w:ind w:hanging="0" w:start="720"/>
        <w:jc w:val="both"/>
        <w:rPr>
          <w:rFonts w:ascii="Times New Roman" w:hAnsi="Times New Roman"/>
          <w:sz w:val="23"/>
        </w:rPr>
      </w:pPr>
      <w:r>
        <w:rPr>
          <w:sz w:val="23"/>
        </w:rPr>
        <w:t>4.10</w:t>
        <w:tab/>
      </w:r>
      <w:r>
        <w:rPr>
          <w:sz w:val="23"/>
          <w:u w:val="single"/>
        </w:rPr>
        <w:t>Taxes and Duties</w:t>
      </w:r>
      <w:r>
        <w:fldChar w:fldCharType="begin"/>
      </w:r>
      <w:r>
        <w:rPr>
          <w:sz w:val="23"/>
          <w:u w:val="single"/>
          <w:vanish/>
        </w:rPr>
        <w:instrText xml:space="preserve"> TC "4.10</w:instrText>
        <w:tab/>
        <w:instrText xml:space="preserve">Taxes and Duties672" \l 1 </w:instrText>
      </w:r>
      <w:r>
        <w:rPr>
          <w:sz w:val="23"/>
          <w:u w:val="single"/>
          <w:vanish/>
        </w:rPr>
        <w:fldChar w:fldCharType="separate"/>
      </w:r>
      <w:bookmarkStart w:id="155" w:name="_Toc497198925"/>
      <w:bookmarkStart w:id="156" w:name="_Toc496784603"/>
      <w:bookmarkStart w:id="157" w:name="_Toc496784880"/>
      <w:bookmarkStart w:id="158" w:name="_Toc493577469"/>
      <w:bookmarkEnd w:id="155"/>
      <w:bookmarkEnd w:id="156"/>
      <w:bookmarkEnd w:id="157"/>
      <w:bookmarkEnd w:id="158"/>
      <w:r>
        <w:rPr>
          <w:vanish/>
          <w:sz w:val="23"/>
          <w:u w:val="single"/>
        </w:rPr>
      </w:r>
      <w:r>
        <w:rPr>
          <w:sz w:val="23"/>
          <w:u w:val="single"/>
          <w:vanish/>
        </w:rPr>
        <w:fldChar w:fldCharType="end"/>
      </w:r>
      <w:r>
        <w:rPr>
          <w:strike/>
          <w:sz w:val="23"/>
        </w:rPr>
        <w:t>&lt;&lt;*&gt;&gt;</w:t>
      </w:r>
      <w:r>
        <w:rPr>
          <w:sz w:val="23"/>
        </w:rPr>
        <w:t xml:space="preserve">.    Owner shall be responsible to see to the payment of (and such are not included in the Contract Price) those taxes, fees, levies, or other governmental charges identified in Part </w:t>
      </w:r>
      <w:r>
        <w:rPr>
          <w:strike/>
          <w:sz w:val="23"/>
        </w:rPr>
        <w:t>&lt;2.0&gt;</w:t>
      </w:r>
      <w:r>
        <w:rPr>
          <w:b/>
          <w:sz w:val="23"/>
          <w:u w:val="double"/>
        </w:rPr>
        <w:t>___</w:t>
      </w:r>
      <w:r>
        <w:rPr>
          <w:sz w:val="23"/>
        </w:rPr>
        <w:t xml:space="preserve"> of </w:t>
      </w:r>
      <w:r>
        <w:rPr>
          <w:sz w:val="23"/>
          <w:u w:val="single"/>
        </w:rPr>
        <w:t>Exhibit C-7</w:t>
      </w:r>
      <w:r>
        <w:rPr>
          <w:sz w:val="23"/>
        </w:rPr>
        <w:t>.</w:t>
      </w:r>
    </w:p>
    <w:p>
      <w:pPr>
        <w:pStyle w:val="bodytext1"/>
        <w:bidi w:val="0"/>
        <w:spacing w:lineRule="atLeast" w:line="240"/>
        <w:ind w:hanging="0" w:start="720"/>
        <w:jc w:val="both"/>
        <w:rPr>
          <w:rFonts w:ascii="Times New Roman" w:hAnsi="Times New Roman"/>
          <w:sz w:val="23"/>
        </w:rPr>
      </w:pPr>
      <w:r>
        <w:rPr>
          <w:b/>
          <w:sz w:val="23"/>
          <w:u w:val="double"/>
        </w:rPr>
        <w:t>4.11</w:t>
      </w:r>
      <w:r>
        <w:rPr>
          <w:sz w:val="23"/>
        </w:rPr>
        <w:tab/>
      </w:r>
      <w:r>
        <w:rPr>
          <w:b/>
          <w:sz w:val="23"/>
          <w:u w:val="double"/>
        </w:rPr>
        <w:t>Owner Supplied Equipment.    Owner will cause the Equipment Vendors to supply the Owner Supplied Equipment under the applicable Equipment Vendor Contracts, as more specifically set forth in Section 7.1.</w:t>
      </w:r>
    </w:p>
    <w:p>
      <w:pPr>
        <w:pStyle w:val="Style1toc"/>
        <w:bidi w:val="0"/>
        <w:rPr>
          <w:rFonts w:ascii="Times New Roman" w:hAnsi="Times New Roman"/>
        </w:rPr>
      </w:pPr>
      <w:r>
        <w:rPr/>
        <w:t>ARTICLE 5</w:t>
      </w:r>
      <w:r>
        <w:fldChar w:fldCharType="begin"/>
      </w:r>
      <w:r>
        <w:rPr>
          <w:vanish/>
        </w:rPr>
        <w:instrText xml:space="preserve"> TC "ARTICLE 5  COMMENCEMENT OF WORK671" \l 1 </w:instrText>
      </w:r>
      <w:r>
        <w:rPr>
          <w:vanish/>
        </w:rPr>
        <w:fldChar w:fldCharType="separate"/>
      </w:r>
      <w:bookmarkStart w:id="159" w:name="_Toc493577470"/>
      <w:bookmarkStart w:id="160" w:name="_Toc497198926"/>
      <w:bookmarkStart w:id="161" w:name="_Toc496784881"/>
      <w:bookmarkStart w:id="162" w:name="_Toc496784604"/>
      <w:bookmarkEnd w:id="159"/>
      <w:bookmarkEnd w:id="160"/>
      <w:bookmarkEnd w:id="161"/>
      <w:bookmarkEnd w:id="162"/>
      <w:r>
        <w:rPr>
          <w:vanish/>
        </w:rPr>
      </w:r>
      <w:r>
        <w:rPr>
          <w:vanish/>
        </w:rPr>
        <w:fldChar w:fldCharType="end"/>
      </w:r>
      <w:r>
        <w:rPr>
          <w:strike/>
        </w:rPr>
        <w:t>&lt;&lt;*&gt;&gt;</w:t>
      </w:r>
    </w:p>
    <w:p>
      <w:pPr>
        <w:pStyle w:val="Style1toc"/>
        <w:bidi w:val="0"/>
        <w:rPr>
          <w:rFonts w:ascii="Times New Roman" w:hAnsi="Times New Roman"/>
        </w:rPr>
      </w:pPr>
      <w:r>
        <w:rPr/>
        <w:t>COMMENCEMENT OF WORK</w:t>
      </w:r>
    </w:p>
    <w:p>
      <w:pPr>
        <w:pStyle w:val="BodyText"/>
        <w:bidi w:val="0"/>
        <w:rPr>
          <w:rFonts w:ascii="Times New Roman" w:hAnsi="Times New Roman"/>
        </w:rPr>
      </w:pPr>
      <w:r>
        <w:rPr/>
      </w:r>
    </w:p>
    <w:p>
      <w:pPr>
        <w:pStyle w:val="BodyText"/>
        <w:bidi w:val="0"/>
        <w:rPr>
          <w:rFonts w:ascii="Times New Roman" w:hAnsi="Times New Roman"/>
        </w:rPr>
      </w:pPr>
      <w:r>
        <w:rPr/>
        <w:t>5.1</w:t>
        <w:tab/>
      </w:r>
      <w:r>
        <w:rPr>
          <w:u w:val="single"/>
        </w:rPr>
        <w:t>Commencement of Work</w:t>
      </w:r>
      <w:r>
        <w:fldChar w:fldCharType="begin"/>
      </w:r>
      <w:r>
        <w:rPr>
          <w:u w:val="single"/>
          <w:vanish/>
        </w:rPr>
        <w:instrText xml:space="preserve"> TC "5.1</w:instrText>
        <w:tab/>
        <w:instrText xml:space="preserve">Commencement of Work672" \l 1 </w:instrText>
      </w:r>
      <w:r>
        <w:rPr>
          <w:u w:val="single"/>
          <w:vanish/>
        </w:rPr>
        <w:fldChar w:fldCharType="separate"/>
      </w:r>
      <w:bookmarkStart w:id="163" w:name="_Toc496784605"/>
      <w:bookmarkStart w:id="164" w:name="_Toc496784882"/>
      <w:bookmarkStart w:id="165" w:name="_Toc497198927"/>
      <w:bookmarkStart w:id="166" w:name="_Toc493577471"/>
      <w:bookmarkEnd w:id="163"/>
      <w:bookmarkEnd w:id="164"/>
      <w:bookmarkEnd w:id="165"/>
      <w:bookmarkEnd w:id="166"/>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5.1.1</w:t>
        <w:tab/>
      </w:r>
      <w:r>
        <w:rPr>
          <w:u w:val="single"/>
        </w:rPr>
        <w:t>Notice to Proceed</w:t>
      </w:r>
      <w:r>
        <w:rPr/>
        <w:t xml:space="preserve">.    Owner may issue a written notice to proceed (the “Notice to Proceed”) to Contractor at any time after the signing of this Agreement but on or before </w:t>
      </w:r>
      <w:r>
        <w:rPr>
          <w:strike/>
        </w:rPr>
        <w:t>&lt;January 4, 2001&gt;</w:t>
      </w:r>
      <w:r>
        <w:rPr>
          <w:b/>
          <w:u w:val="double"/>
        </w:rPr>
        <w:t>_______, 200_</w:t>
      </w:r>
      <w:r>
        <w:rPr/>
        <w:t>, so long as both of the following have occurred:</w:t>
      </w:r>
    </w:p>
    <w:p>
      <w:pPr>
        <w:pStyle w:val="BodyText"/>
        <w:bidi w:val="0"/>
        <w:rPr>
          <w:rFonts w:ascii="Times New Roman" w:hAnsi="Times New Roman"/>
        </w:rPr>
      </w:pPr>
      <w:r>
        <w:rPr/>
      </w:r>
    </w:p>
    <w:p>
      <w:pPr>
        <w:pStyle w:val="BodyTextIndent3"/>
        <w:bidi w:val="0"/>
        <w:ind w:firstLine="720" w:start="1440"/>
        <w:rPr>
          <w:rFonts w:ascii="Times New Roman" w:hAnsi="Times New Roman"/>
        </w:rPr>
      </w:pPr>
      <w:r>
        <w:rPr/>
        <w:t>5.1.1.1</w:t>
        <w:tab/>
        <w:t xml:space="preserve">the insurance required to be obtained by Owner </w:t>
      </w:r>
      <w:r>
        <w:rPr>
          <w:strike/>
        </w:rPr>
        <w:t>&lt;pursuant to&gt;</w:t>
      </w:r>
      <w:r>
        <w:rPr/>
        <w:t xml:space="preserve"> </w:t>
      </w:r>
      <w:r>
        <w:rPr>
          <w:b/>
          <w:u w:val="double"/>
        </w:rPr>
        <w:t>under</w:t>
      </w:r>
      <w:r>
        <w:rPr/>
        <w:t xml:space="preserve"> Article 9 </w:t>
      </w:r>
      <w:r>
        <w:rPr>
          <w:strike/>
        </w:rPr>
        <w:t>&lt;shall be&gt;</w:t>
      </w:r>
      <w:r>
        <w:rPr/>
        <w:t xml:space="preserve"> </w:t>
      </w:r>
      <w:r>
        <w:rPr>
          <w:b/>
          <w:u w:val="double"/>
        </w:rPr>
        <w:t>is</w:t>
      </w:r>
      <w:r>
        <w:rPr/>
        <w:t xml:space="preserve"> in effect; and</w:t>
      </w:r>
    </w:p>
    <w:p>
      <w:pPr>
        <w:pStyle w:val="BodyText"/>
        <w:bidi w:val="0"/>
        <w:rPr>
          <w:rFonts w:ascii="Times New Roman" w:hAnsi="Times New Roman"/>
        </w:rPr>
      </w:pPr>
      <w:r>
        <w:rPr/>
      </w:r>
    </w:p>
    <w:p>
      <w:pPr>
        <w:pStyle w:val="BodyTextIndent3"/>
        <w:bidi w:val="0"/>
        <w:ind w:firstLine="720" w:start="1440"/>
        <w:rPr>
          <w:rFonts w:ascii="Times New Roman" w:hAnsi="Times New Roman"/>
        </w:rPr>
      </w:pPr>
      <w:r>
        <w:rPr/>
        <w:t>5.1.1.2</w:t>
        <w:tab/>
        <w:t xml:space="preserve">Owner </w:t>
      </w:r>
      <w:r>
        <w:rPr>
          <w:strike/>
        </w:rPr>
        <w:t>&lt;shall have&gt;</w:t>
      </w:r>
      <w:r>
        <w:rPr/>
        <w:t xml:space="preserve"> </w:t>
      </w:r>
      <w:r>
        <w:rPr>
          <w:b/>
          <w:u w:val="double"/>
        </w:rPr>
        <w:t>has</w:t>
      </w:r>
      <w:r>
        <w:rPr/>
        <w:t xml:space="preserve"> provided Contractor with reasonable evidence that Owner can perform its payment obligations under this Agreement.</w:t>
      </w:r>
    </w:p>
    <w:p>
      <w:pPr>
        <w:pStyle w:val="BodyTextIndent3"/>
        <w:bidi w:val="0"/>
        <w:rPr>
          <w:rFonts w:ascii="Times New Roman" w:hAnsi="Times New Roman"/>
        </w:rPr>
      </w:pPr>
      <w:r>
        <w:rPr/>
      </w:r>
    </w:p>
    <w:p>
      <w:pPr>
        <w:pStyle w:val="BodyTextIndent3"/>
        <w:bidi w:val="0"/>
        <w:rPr>
          <w:rFonts w:ascii="Times New Roman" w:hAnsi="Times New Roman"/>
        </w:rPr>
      </w:pPr>
      <w:r>
        <w:rPr/>
        <w:tab/>
        <w:t xml:space="preserve">The date the Notice to Proceed is issued is the “Notice to Proceed Effective Date.”    </w:t>
      </w:r>
      <w:r>
        <w:rPr>
          <w:strike/>
        </w:rPr>
        <w:t>&lt;If&gt;</w:t>
      </w:r>
      <w:r>
        <w:rPr/>
        <w:t xml:space="preserve"> </w:t>
      </w:r>
      <w:r>
        <w:rPr>
          <w:b/>
          <w:u w:val="double"/>
        </w:rPr>
        <w:t>Prior to</w:t>
      </w:r>
      <w:r>
        <w:rPr/>
        <w:t xml:space="preserve"> the Notice to Proceed Effective Date </w:t>
      </w:r>
      <w:r>
        <w:rPr>
          <w:strike/>
        </w:rPr>
        <w:t>&lt;occurs on or after January 5, 2001, but on or before March 1, 2001, then there shall be no adjustment of the Contract Price but the Guaranteed Completion Date and End Date shall be extended one day for each day from and including January 5, 2001 to and including the Notice to Proceed Effective Date; provided that, if on or before January 4, 2001 Owner issues&gt;</w:t>
      </w:r>
      <w:r>
        <w:rPr>
          <w:b/>
          <w:u w:val="double"/>
        </w:rPr>
        <w:t>, Owner may issue</w:t>
      </w:r>
      <w:r>
        <w:rPr/>
        <w:t xml:space="preserve"> a written preliminary notice to proceed (the “Preliminary Notice to Proceed”) authorizing Contractor to proceed with a portion of the Scope of Work </w:t>
      </w:r>
      <w:r>
        <w:rPr>
          <w:strike/>
        </w:rPr>
        <w:t>&lt;the parties reasonably agree is required in order to maintain the Guaranteed Completion Date and End Date, then there shall be no extension of the Guaranteed Completion Date and End Date&gt;</w:t>
      </w:r>
      <w:r>
        <w:rPr/>
        <w:t xml:space="preserve">.    Contractor shall commence such portion of the Scope of Work upon receipt of the Preliminary Notice to Proceed and shall thereafter proceed continuously and diligently to perform such Work.    </w:t>
      </w:r>
      <w:r>
        <w:rPr>
          <w:strike/>
        </w:rPr>
        <w:t>&lt;If the Notice to Proceed Effective Date is on or after March 2, 2001, and Owner has not issued the Preliminary Notice to Proceed referred to in the second sentence of this paragraph, then the Project Schedule, Guaranteed Completion Date, End Date and Contract Price shall be adjusted pursuant to the procedures set forth in Article 6.&gt;</w:t>
      </w:r>
    </w:p>
    <w:p>
      <w:pPr>
        <w:pStyle w:val="BodyText"/>
        <w:bidi w:val="0"/>
        <w:rPr>
          <w:rFonts w:ascii="Times New Roman" w:hAnsi="Times New Roman"/>
        </w:rPr>
      </w:pPr>
      <w:r>
        <w:rPr/>
      </w:r>
    </w:p>
    <w:p>
      <w:pPr>
        <w:pStyle w:val="BodyText"/>
        <w:bidi w:val="0"/>
        <w:rPr>
          <w:rFonts w:ascii="Times New Roman" w:hAnsi="Times New Roman"/>
        </w:rPr>
      </w:pPr>
      <w:r>
        <w:rPr/>
        <w:tab/>
        <w:t>5.1.2</w:t>
        <w:tab/>
      </w:r>
      <w:r>
        <w:rPr>
          <w:u w:val="single"/>
        </w:rPr>
        <w:t>Commitments</w:t>
      </w:r>
      <w:r>
        <w:rPr/>
        <w:t xml:space="preserve">.    Owner shall have no commitment to compensate Contractor for the performance of </w:t>
      </w:r>
      <w:r>
        <w:rPr>
          <w:strike/>
        </w:rPr>
        <w:t>&lt;the&gt;</w:t>
      </w:r>
      <w:r>
        <w:rPr/>
        <w:t xml:space="preserve"> Work under this Agreement or related to the Facility until Owner has given the Preliminary Notice to Proceed.    If Owner cancels this Agreement in accordance with Section 16.2 prior to </w:t>
      </w:r>
      <w:r>
        <w:rPr>
          <w:strike/>
        </w:rPr>
        <w:t>&lt;the&gt;</w:t>
      </w:r>
      <w:r>
        <w:rPr/>
        <w:t xml:space="preserve"> </w:t>
      </w:r>
      <w:r>
        <w:rPr>
          <w:b/>
          <w:u w:val="double"/>
        </w:rPr>
        <w:t>giving</w:t>
      </w:r>
      <w:r>
        <w:rPr/>
        <w:t xml:space="preserve"> Preliminary Notice to Proceed, Owner shall not be liable for any cancellation fees or any other compensation whatsoever.</w:t>
      </w:r>
    </w:p>
    <w:p>
      <w:pPr>
        <w:pStyle w:val="BodyText"/>
        <w:bidi w:val="0"/>
        <w:rPr>
          <w:rFonts w:ascii="Times New Roman" w:hAnsi="Times New Roman"/>
        </w:rPr>
      </w:pPr>
      <w:r>
        <w:rPr/>
      </w:r>
    </w:p>
    <w:p>
      <w:pPr>
        <w:pStyle w:val="Style2toc"/>
        <w:bidi w:val="0"/>
        <w:rPr>
          <w:rFonts w:ascii="Times New Roman" w:hAnsi="Times New Roman"/>
        </w:rPr>
      </w:pPr>
      <w:r>
        <w:rPr/>
        <w:t>5.2</w:t>
        <w:tab/>
      </w:r>
      <w:r>
        <w:rPr>
          <w:u w:val="single"/>
        </w:rPr>
        <w:t>Project Schedule</w:t>
      </w:r>
      <w:r>
        <w:fldChar w:fldCharType="begin"/>
      </w:r>
      <w:r>
        <w:rPr>
          <w:u w:val="single"/>
          <w:vanish/>
        </w:rPr>
        <w:instrText xml:space="preserve"> TC "5.2</w:instrText>
        <w:tab/>
        <w:instrText xml:space="preserve">Project Schedule672" \l 1 </w:instrText>
      </w:r>
      <w:r>
        <w:rPr>
          <w:u w:val="single"/>
          <w:vanish/>
        </w:rPr>
        <w:fldChar w:fldCharType="separate"/>
      </w:r>
      <w:bookmarkStart w:id="167" w:name="_Toc497198928"/>
      <w:bookmarkStart w:id="168" w:name="_Toc496784883"/>
      <w:bookmarkStart w:id="169" w:name="_Toc496784606"/>
      <w:bookmarkStart w:id="170" w:name="_Toc493577472"/>
      <w:bookmarkEnd w:id="167"/>
      <w:bookmarkEnd w:id="168"/>
      <w:bookmarkEnd w:id="169"/>
      <w:bookmarkEnd w:id="170"/>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5.2.1</w:t>
        <w:tab/>
      </w:r>
      <w:r>
        <w:rPr>
          <w:u w:val="single"/>
        </w:rPr>
        <w:t>Preparation</w:t>
      </w:r>
      <w:r>
        <w:rPr/>
        <w:t>.    Within thirty (30) days following the Notice to Proceed Effective Date, Contractor shall prepare and submit to Owner a detailed construction schedule (the “Project Schedule”), consistent with the Project Schedule Summary, which shall be designed to have the</w:t>
      </w:r>
      <w:r>
        <w:rPr>
          <w:b/>
        </w:rPr>
        <w:t xml:space="preserve"> </w:t>
      </w:r>
      <w:r>
        <w:rPr/>
        <w:t>Work completed on a timely basis by the Guaranteed Completion Date.    The Project Schedule shall be complete in all respects, covering engineering, procurement, delivery of Equipment, activities at the Site and required dates for all items to be furnished by Owner.    In addition, Contractor shall submit a narrative description of its management plan for performing the Work to meet the Project Schedule.</w:t>
      </w:r>
    </w:p>
    <w:p>
      <w:pPr>
        <w:pStyle w:val="BodyText"/>
        <w:bidi w:val="0"/>
        <w:rPr>
          <w:rFonts w:ascii="Times New Roman" w:hAnsi="Times New Roman"/>
        </w:rPr>
      </w:pPr>
      <w:r>
        <w:rPr/>
      </w:r>
    </w:p>
    <w:p>
      <w:pPr>
        <w:pStyle w:val="BodyText"/>
        <w:bidi w:val="0"/>
        <w:rPr>
          <w:rFonts w:ascii="Times New Roman" w:hAnsi="Times New Roman"/>
        </w:rPr>
      </w:pPr>
      <w:r>
        <w:rPr/>
        <w:tab/>
        <w:t>5.2.2</w:t>
        <w:tab/>
      </w:r>
      <w:r>
        <w:rPr>
          <w:u w:val="single"/>
        </w:rPr>
        <w:t>Revision and Updating</w:t>
      </w:r>
      <w:r>
        <w:rPr/>
        <w:t>.    Contractor shall promptly inform Owner of any proposed material change in the Project Schedule, and shall furnish Owner with a revised schedule and narrative; provided, however, that the Project Schedule shall not be changed without Owner’s prior written approval.    The Project Schedule and narrative shall be kept up-to-date, taking into account the actual progress of the Work and shall be revised, if necessary, and included with the progress report required by Section 5.3.</w:t>
      </w:r>
    </w:p>
    <w:p>
      <w:pPr>
        <w:pStyle w:val="BodyText"/>
        <w:bidi w:val="0"/>
        <w:rPr>
          <w:rFonts w:ascii="Times New Roman" w:hAnsi="Times New Roman"/>
        </w:rPr>
      </w:pPr>
      <w:r>
        <w:rPr/>
      </w:r>
    </w:p>
    <w:p>
      <w:pPr>
        <w:pStyle w:val="Style2toc"/>
        <w:bidi w:val="0"/>
        <w:rPr>
          <w:rFonts w:ascii="Times New Roman" w:hAnsi="Times New Roman"/>
        </w:rPr>
      </w:pPr>
      <w:r>
        <w:rPr/>
        <w:t>5.3</w:t>
        <w:tab/>
      </w:r>
      <w:r>
        <w:rPr>
          <w:u w:val="single"/>
        </w:rPr>
        <w:t>Progress Reports and Consultation</w:t>
      </w:r>
      <w:r>
        <w:fldChar w:fldCharType="begin"/>
      </w:r>
      <w:r>
        <w:rPr>
          <w:u w:val="single"/>
          <w:vanish/>
        </w:rPr>
        <w:instrText xml:space="preserve"> TC "5.3</w:instrText>
        <w:tab/>
        <w:instrText xml:space="preserve">Progress Reports and Consultation672" \l 1 </w:instrText>
      </w:r>
      <w:r>
        <w:rPr>
          <w:u w:val="single"/>
          <w:vanish/>
        </w:rPr>
        <w:fldChar w:fldCharType="separate"/>
      </w:r>
      <w:bookmarkStart w:id="171" w:name="_Toc493577473"/>
      <w:bookmarkStart w:id="172" w:name="_Toc497198929"/>
      <w:bookmarkStart w:id="173" w:name="_Toc496784884"/>
      <w:bookmarkStart w:id="174" w:name="_Toc496784607"/>
      <w:bookmarkEnd w:id="171"/>
      <w:bookmarkEnd w:id="172"/>
      <w:bookmarkEnd w:id="173"/>
      <w:bookmarkEnd w:id="174"/>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Indent3"/>
        <w:bidi w:val="0"/>
        <w:rPr>
          <w:rFonts w:ascii="Times New Roman" w:hAnsi="Times New Roman"/>
          <w:b/>
        </w:rPr>
      </w:pPr>
      <w:r>
        <w:rPr/>
        <w:t>5.3.1</w:t>
        <w:tab/>
      </w:r>
      <w:r>
        <w:rPr>
          <w:u w:val="single"/>
        </w:rPr>
        <w:t>Progress Reports</w:t>
      </w:r>
      <w:r>
        <w:rPr/>
        <w:t xml:space="preserve">.    Contractor shall submit to Owner, by the sixteenth (16th) day of each month, a written progress report (in form reasonably satisfactory to Owner) that shall include, at a minimum, a description of the progress of the Work, the status of the supply of goods, materials and Equipment necessary for completion of the Work, a comparison of the actual schedule of the Work with the Project Schedule, an evaluation of problems and deficiencies and a description of any planned corrective action with respect thereto, and the status of obtaining or satisfying Governmental Authorizations.    The monthly progress report shall be delivered to </w:t>
      </w:r>
      <w:r>
        <w:rPr>
          <w:strike/>
        </w:rPr>
        <w:t>&lt;Owner’s&gt;</w:t>
      </w:r>
      <w:r>
        <w:rPr/>
        <w:t xml:space="preserve"> </w:t>
      </w:r>
      <w:r>
        <w:rPr>
          <w:b/>
          <w:u w:val="double"/>
        </w:rPr>
        <w:t>Construction Manager’s</w:t>
      </w:r>
      <w:r>
        <w:rPr/>
        <w:t xml:space="preserve"> Representative.    If Owner so directs, Contractor also shall conduct appropriate review meetings at mutually agreeable locations with representatives of Owner to review the status of the Work.    Contractor shall promptly notify Owner in writing at any time if Contractor has reason to believe that there will be a material deviation in the Project Schedule which may result in Contractor failing to meet the Guaranteed Completion Date or may affect the time required for Owner to perform any of its obligations under Article 4</w:t>
      </w:r>
      <w:r>
        <w:rPr>
          <w:strike/>
        </w:rPr>
        <w:t>&lt;, and&gt;</w:t>
      </w:r>
      <w:r>
        <w:rPr>
          <w:b/>
          <w:u w:val="double"/>
        </w:rPr>
        <w:t>.</w:t>
      </w:r>
      <w:r>
        <w:rPr/>
        <w:t>    Contractor will specify in said notice any corrective action planned to be taken by Contractor.</w:t>
      </w:r>
    </w:p>
    <w:p>
      <w:pPr>
        <w:pStyle w:val="BodyText"/>
        <w:bidi w:val="0"/>
        <w:rPr>
          <w:rFonts w:ascii="Times New Roman" w:hAnsi="Times New Roman"/>
        </w:rPr>
      </w:pPr>
      <w:r>
        <w:rPr/>
      </w:r>
    </w:p>
    <w:p>
      <w:pPr>
        <w:pStyle w:val="BodyTextIndent3"/>
        <w:bidi w:val="0"/>
        <w:rPr>
          <w:rFonts w:ascii="Times New Roman" w:hAnsi="Times New Roman"/>
        </w:rPr>
      </w:pPr>
      <w:r>
        <w:rPr/>
        <w:t>5.3.2</w:t>
        <w:tab/>
      </w:r>
      <w:r>
        <w:rPr>
          <w:u w:val="single"/>
        </w:rPr>
        <w:t>Additional Reports</w:t>
      </w:r>
      <w:r>
        <w:rPr/>
        <w:t xml:space="preserve">.    Should any material problem, emergency, strike, injury, work stoppage, or legal problem be anticipated, or any unanticipated event occur which might adversely affect Contractor’s ability to perform its obligations hereunder in a timely manner, in addition to all other reports required </w:t>
      </w:r>
      <w:r>
        <w:rPr>
          <w:strike/>
        </w:rPr>
        <w:t>&lt;hereunder&gt;</w:t>
      </w:r>
      <w:r>
        <w:rPr/>
        <w:t xml:space="preserve">, Contractor shall promptly prepare a written significant event report detailing all available information and steps being taken to correct such problem or event </w:t>
      </w:r>
      <w:r>
        <w:rPr>
          <w:strike/>
        </w:rPr>
        <w:t>&lt;and&gt;</w:t>
      </w:r>
      <w:r>
        <w:rPr>
          <w:b/>
          <w:u w:val="double"/>
        </w:rPr>
        <w:t>.    Contractor</w:t>
      </w:r>
      <w:r>
        <w:rPr/>
        <w:t xml:space="preserve"> shall deliver the significant event report to Owner as soon as reasonably practicable.    Owner </w:t>
      </w:r>
      <w:r>
        <w:rPr>
          <w:strike/>
        </w:rPr>
        <w:t>&lt;may&gt;</w:t>
      </w:r>
      <w:r>
        <w:rPr/>
        <w:t xml:space="preserve"> at any time </w:t>
      </w:r>
      <w:r>
        <w:rPr>
          <w:b/>
          <w:u w:val="double"/>
        </w:rPr>
        <w:t>may</w:t>
      </w:r>
      <w:r>
        <w:rPr/>
        <w:t xml:space="preserve"> request a significant event report with respect to any event that Owner reasonably regards as significant.</w:t>
      </w:r>
    </w:p>
    <w:p>
      <w:pPr>
        <w:pStyle w:val="BodyTextIndent3"/>
        <w:bidi w:val="0"/>
        <w:rPr>
          <w:rFonts w:ascii="Times New Roman" w:hAnsi="Times New Roman"/>
        </w:rPr>
      </w:pPr>
      <w:r>
        <w:rPr/>
      </w:r>
    </w:p>
    <w:p>
      <w:pPr>
        <w:pStyle w:val="BodyTextIndent3"/>
        <w:bidi w:val="0"/>
        <w:rPr>
          <w:rFonts w:ascii="Times New Roman" w:hAnsi="Times New Roman"/>
        </w:rPr>
      </w:pPr>
      <w:r>
        <w:rPr/>
        <w:t>5.3.3</w:t>
        <w:tab/>
      </w:r>
      <w:r>
        <w:rPr>
          <w:u w:val="single"/>
        </w:rPr>
        <w:t>Project Controls</w:t>
      </w:r>
      <w:r>
        <w:rPr/>
        <w:t xml:space="preserve">.    Contractor shall maintain a project controls system in compliance with </w:t>
      </w:r>
      <w:r>
        <w:rPr>
          <w:u w:val="single"/>
        </w:rPr>
        <w:t>Exhibit A-2</w:t>
      </w:r>
      <w:r>
        <w:rPr/>
        <w:t xml:space="preserve"> and shall submit reports in compliance with the content, format and frequency requirements set forth in </w:t>
      </w:r>
      <w:r>
        <w:rPr>
          <w:u w:val="single"/>
        </w:rPr>
        <w:t>Exhibit A-2</w:t>
      </w:r>
      <w:r>
        <w:rPr/>
        <w:t>.</w:t>
      </w:r>
    </w:p>
    <w:p>
      <w:pPr>
        <w:pStyle w:val="BodyText"/>
        <w:bidi w:val="0"/>
        <w:rPr>
          <w:rFonts w:ascii="Times New Roman" w:hAnsi="Times New Roman"/>
        </w:rPr>
      </w:pPr>
      <w:r>
        <w:rPr/>
      </w:r>
    </w:p>
    <w:p>
      <w:pPr>
        <w:pStyle w:val="Style1toc"/>
        <w:bidi w:val="0"/>
        <w:rPr>
          <w:rFonts w:ascii="Times New Roman" w:hAnsi="Times New Roman"/>
        </w:rPr>
      </w:pPr>
      <w:r>
        <w:rPr>
          <w:b/>
          <w:u w:val="double"/>
        </w:rPr>
        <w:t>ARTICLE 6</w:t>
      </w:r>
      <w:r>
        <w:fldChar w:fldCharType="begin"/>
      </w:r>
      <w:r>
        <w:rPr>
          <w:vanish/>
        </w:rPr>
        <w:instrText xml:space="preserve"> TC "ARTICLE 6  CHANGES671" \l 1 </w:instrText>
      </w:r>
      <w:r>
        <w:rPr>
          <w:vanish/>
        </w:rPr>
        <w:fldChar w:fldCharType="separate"/>
      </w:r>
      <w:bookmarkStart w:id="175" w:name="_Toc493577474"/>
      <w:bookmarkStart w:id="176" w:name="_Toc496784608"/>
      <w:bookmarkStart w:id="177" w:name="_Toc496784885"/>
      <w:bookmarkStart w:id="178" w:name="_Toc497198930"/>
      <w:bookmarkEnd w:id="175"/>
      <w:bookmarkEnd w:id="176"/>
      <w:bookmarkEnd w:id="177"/>
      <w:bookmarkEnd w:id="178"/>
      <w:r>
        <w:rPr>
          <w:vanish/>
        </w:rPr>
      </w:r>
      <w:r>
        <w:rPr>
          <w:vanish/>
        </w:rPr>
        <w:fldChar w:fldCharType="end"/>
      </w:r>
    </w:p>
    <w:p>
      <w:pPr>
        <w:pStyle w:val="Style1toc"/>
        <w:bidi w:val="0"/>
        <w:rPr>
          <w:rFonts w:ascii="Times New Roman" w:hAnsi="Times New Roman"/>
        </w:rPr>
      </w:pPr>
      <w:r>
        <w:rPr/>
        <w:t>CHANGES</w:t>
      </w:r>
    </w:p>
    <w:p>
      <w:pPr>
        <w:pStyle w:val="BodyText"/>
        <w:bidi w:val="0"/>
        <w:rPr>
          <w:rFonts w:ascii="Times New Roman" w:hAnsi="Times New Roman"/>
        </w:rPr>
      </w:pPr>
      <w:r>
        <w:rPr/>
      </w:r>
    </w:p>
    <w:p>
      <w:pPr>
        <w:pStyle w:val="Style2toc"/>
        <w:bidi w:val="0"/>
        <w:rPr>
          <w:rFonts w:ascii="Times New Roman" w:hAnsi="Times New Roman"/>
        </w:rPr>
      </w:pPr>
      <w:r>
        <w:rPr/>
        <w:t>6.1</w:t>
        <w:tab/>
      </w:r>
      <w:r>
        <w:rPr>
          <w:u w:val="single"/>
        </w:rPr>
        <w:t>Change Orders</w:t>
      </w:r>
      <w:r>
        <w:fldChar w:fldCharType="begin"/>
      </w:r>
      <w:r>
        <w:rPr>
          <w:u w:val="single"/>
          <w:vanish/>
        </w:rPr>
        <w:instrText xml:space="preserve"> TC "6.1</w:instrText>
        <w:tab/>
        <w:instrText xml:space="preserve">Change Orders672" \l 1 </w:instrText>
      </w:r>
      <w:r>
        <w:rPr>
          <w:u w:val="single"/>
          <w:vanish/>
        </w:rPr>
        <w:fldChar w:fldCharType="separate"/>
      </w:r>
      <w:bookmarkStart w:id="179" w:name="_Toc493577475"/>
      <w:bookmarkStart w:id="180" w:name="_Toc497198931"/>
      <w:bookmarkStart w:id="181" w:name="_Toc496784886"/>
      <w:bookmarkStart w:id="182" w:name="_Toc496784609"/>
      <w:bookmarkEnd w:id="179"/>
      <w:bookmarkEnd w:id="180"/>
      <w:bookmarkEnd w:id="181"/>
      <w:bookmarkEnd w:id="182"/>
      <w:r>
        <w:rPr>
          <w:vanish/>
          <w:u w:val="single"/>
        </w:rPr>
      </w:r>
      <w:r>
        <w:rPr>
          <w:u w:val="single"/>
          <w:vanish/>
        </w:rPr>
        <w:fldChar w:fldCharType="end"/>
      </w:r>
      <w:r>
        <w:rPr>
          <w:strike/>
        </w:rPr>
        <w:t>&lt;&lt;*&gt;&gt;</w:t>
      </w:r>
      <w:r>
        <w:rPr/>
        <w:t xml:space="preserve">.    Except as set forth in Section 6.6, no Change shall be made except in accordance with a duly issued Change Order executed in writing by Owner and Contractor or as determined in any dispute resolution in accordance with Article 19.    All Change Orders shall contain full particulars of the Changes, and any adjustments of the Contract Price, Project Schedule, Performance Guarantees, </w:t>
      </w:r>
      <w:r>
        <w:rPr>
          <w:strike/>
        </w:rPr>
        <w:t>&lt;Minimum&gt;</w:t>
      </w:r>
      <w:r>
        <w:rPr/>
        <w:t xml:space="preserve"> </w:t>
      </w:r>
      <w:r>
        <w:rPr>
          <w:b/>
          <w:u w:val="double"/>
        </w:rPr>
        <w:t>Specific</w:t>
      </w:r>
      <w:r>
        <w:rPr/>
        <w:t xml:space="preserve"> Performance Guarantees, </w:t>
      </w:r>
      <w:r>
        <w:rPr>
          <w:strike/>
        </w:rPr>
        <w:t>&lt;the Reliability Guarantee,&gt;</w:t>
      </w:r>
      <w:r>
        <w:rPr/>
        <w:t xml:space="preserve"> Guaranteed Completion Date or End Date, and any other modification to this Agreement.</w:t>
      </w:r>
    </w:p>
    <w:p>
      <w:pPr>
        <w:pStyle w:val="BodyText"/>
        <w:bidi w:val="0"/>
        <w:rPr>
          <w:rFonts w:ascii="Times New Roman" w:hAnsi="Times New Roman"/>
        </w:rPr>
      </w:pPr>
      <w:r>
        <w:rPr/>
      </w:r>
    </w:p>
    <w:p>
      <w:pPr>
        <w:pStyle w:val="Style2toc"/>
        <w:bidi w:val="0"/>
        <w:rPr>
          <w:rFonts w:ascii="Times New Roman" w:hAnsi="Times New Roman"/>
        </w:rPr>
      </w:pPr>
      <w:r>
        <w:rPr/>
        <w:t>6.2</w:t>
        <w:tab/>
      </w:r>
      <w:r>
        <w:rPr>
          <w:u w:val="single"/>
        </w:rPr>
        <w:t>Owner Directed Changes</w:t>
      </w:r>
      <w:r>
        <w:fldChar w:fldCharType="begin"/>
      </w:r>
      <w:r>
        <w:rPr>
          <w:u w:val="single"/>
          <w:vanish/>
        </w:rPr>
        <w:instrText xml:space="preserve"> TC "6.2</w:instrText>
        <w:tab/>
        <w:instrText xml:space="preserve">Owner Directed Changes672" \l 1 </w:instrText>
      </w:r>
      <w:r>
        <w:rPr>
          <w:u w:val="single"/>
          <w:vanish/>
        </w:rPr>
        <w:fldChar w:fldCharType="separate"/>
      </w:r>
      <w:bookmarkStart w:id="183" w:name="_Toc496784610"/>
      <w:bookmarkStart w:id="184" w:name="_Toc497198932"/>
      <w:bookmarkStart w:id="185" w:name="_Toc496784887"/>
      <w:bookmarkStart w:id="186" w:name="_Toc493577476"/>
      <w:bookmarkEnd w:id="183"/>
      <w:bookmarkEnd w:id="184"/>
      <w:bookmarkEnd w:id="185"/>
      <w:bookmarkEnd w:id="186"/>
      <w:r>
        <w:rPr>
          <w:vanish/>
          <w:u w:val="single"/>
        </w:rPr>
      </w:r>
      <w:r>
        <w:rPr>
          <w:u w:val="single"/>
          <w:vanish/>
        </w:rPr>
        <w:fldChar w:fldCharType="end"/>
      </w:r>
      <w:r>
        <w:rPr>
          <w:strike/>
        </w:rPr>
        <w:t>&lt;&lt;*&gt;&gt;</w:t>
      </w:r>
      <w:r>
        <w:rPr/>
        <w:t>.    Owner, at any time, by written notice to Contractor, may direct Changes in the Work consisting of additions, deletions, modifications, substitutions, or other Changes within the general scope of this Agreement.</w:t>
      </w:r>
    </w:p>
    <w:p>
      <w:pPr>
        <w:pStyle w:val="BodyText"/>
        <w:bidi w:val="0"/>
        <w:rPr>
          <w:rFonts w:ascii="Times New Roman" w:hAnsi="Times New Roman"/>
        </w:rPr>
      </w:pPr>
      <w:r>
        <w:rPr/>
      </w:r>
    </w:p>
    <w:p>
      <w:pPr>
        <w:pStyle w:val="Style2toc"/>
        <w:bidi w:val="0"/>
        <w:rPr>
          <w:rFonts w:ascii="Times New Roman" w:hAnsi="Times New Roman"/>
        </w:rPr>
      </w:pPr>
      <w:r>
        <w:rPr/>
        <w:t>6.3</w:t>
        <w:tab/>
      </w:r>
      <w:r>
        <w:rPr>
          <w:u w:val="single"/>
        </w:rPr>
        <w:t>Contractor Changes</w:t>
      </w:r>
      <w:r>
        <w:fldChar w:fldCharType="begin"/>
      </w:r>
      <w:r>
        <w:rPr>
          <w:u w:val="single"/>
          <w:vanish/>
        </w:rPr>
        <w:instrText xml:space="preserve"> TC "6.3</w:instrText>
        <w:tab/>
        <w:instrText xml:space="preserve">Contractor Changes672" \l 1 </w:instrText>
      </w:r>
      <w:r>
        <w:rPr>
          <w:u w:val="single"/>
          <w:vanish/>
        </w:rPr>
        <w:fldChar w:fldCharType="separate"/>
      </w:r>
      <w:bookmarkStart w:id="187" w:name="_Toc497198933"/>
      <w:bookmarkStart w:id="188" w:name="_Toc496784888"/>
      <w:bookmarkStart w:id="189" w:name="_Toc496784611"/>
      <w:bookmarkStart w:id="190" w:name="_Toc493577477"/>
      <w:bookmarkEnd w:id="187"/>
      <w:bookmarkEnd w:id="188"/>
      <w:bookmarkEnd w:id="189"/>
      <w:bookmarkEnd w:id="190"/>
      <w:r>
        <w:rPr>
          <w:vanish/>
          <w:u w:val="single"/>
        </w:rPr>
      </w:r>
      <w:r>
        <w:rPr>
          <w:u w:val="single"/>
          <w:vanish/>
        </w:rPr>
        <w:fldChar w:fldCharType="end"/>
      </w:r>
      <w:r>
        <w:rPr>
          <w:strike/>
        </w:rPr>
        <w:t>&lt;&lt;*&gt;&gt;</w:t>
      </w:r>
      <w:r>
        <w:rPr/>
        <w:t xml:space="preserve">.    Contractor may and in certain circumstances must, by written notice, request a Change.    Within fifteen (15) Business Days after receipt of Contractor’s request and any supporting documentation reasonably requested by Owner, Owner will notify Contractor of its acceptance or rejection of such request.    Upon Owner’s approval of such request and agreement on the terms of an associated Change Order, Contractor may proceed with </w:t>
      </w:r>
      <w:r>
        <w:rPr>
          <w:strike/>
        </w:rPr>
        <w:t>&lt;the&gt;</w:t>
      </w:r>
      <w:r>
        <w:rPr/>
        <w:t xml:space="preserve"> implementation of such Change.    If Owner elects not to proceed with any Change requested by Contractor resulting from a Change in Law, then Contractor shall have no liability under this Agreement for the consequences of such election not to proceed with such Change.    If Owner elects not to proceed with any Change requested by Contractor otherwise than resulting from a Change in Law, then Contractor shall continue to </w:t>
      </w:r>
      <w:r>
        <w:rPr>
          <w:strike/>
        </w:rPr>
        <w:t>&lt;be obligated to&gt;</w:t>
      </w:r>
      <w:r>
        <w:rPr/>
        <w:t xml:space="preserve"> perform its obligations under this Agreement without the Change that it had requested and shall not be entitled to any relief or exclusion from liability </w:t>
      </w:r>
      <w:r>
        <w:rPr>
          <w:strike/>
        </w:rPr>
        <w:t>&lt;under this Agreement&gt;</w:t>
      </w:r>
      <w:r>
        <w:rPr/>
        <w:t xml:space="preserve"> arising from Owner’s election not to proceed with such Change.</w:t>
      </w:r>
    </w:p>
    <w:p>
      <w:pPr>
        <w:pStyle w:val="BodyText"/>
        <w:bidi w:val="0"/>
        <w:rPr>
          <w:rFonts w:ascii="Times New Roman" w:hAnsi="Times New Roman"/>
        </w:rPr>
      </w:pPr>
      <w:r>
        <w:rPr/>
      </w:r>
    </w:p>
    <w:p>
      <w:pPr>
        <w:pStyle w:val="Style2toc"/>
        <w:bidi w:val="0"/>
        <w:rPr>
          <w:rFonts w:ascii="Times New Roman" w:hAnsi="Times New Roman"/>
        </w:rPr>
      </w:pPr>
      <w:r>
        <w:rPr/>
        <w:t>6.4</w:t>
        <w:tab/>
      </w:r>
      <w:r>
        <w:rPr>
          <w:u w:val="single"/>
        </w:rPr>
        <w:t>Definition of Change</w:t>
      </w:r>
      <w:r>
        <w:fldChar w:fldCharType="begin"/>
      </w:r>
      <w:r>
        <w:rPr>
          <w:u w:val="single"/>
          <w:vanish/>
        </w:rPr>
        <w:instrText xml:space="preserve"> TC "6.4</w:instrText>
        <w:tab/>
        <w:instrText xml:space="preserve">Definition of Change672" \l 1 </w:instrText>
      </w:r>
      <w:r>
        <w:rPr>
          <w:u w:val="single"/>
          <w:vanish/>
        </w:rPr>
        <w:fldChar w:fldCharType="separate"/>
      </w:r>
      <w:bookmarkStart w:id="191" w:name="_Toc493577478"/>
      <w:bookmarkStart w:id="192" w:name="_Toc497198934"/>
      <w:bookmarkStart w:id="193" w:name="_Toc496784889"/>
      <w:bookmarkStart w:id="194" w:name="_Toc496784612"/>
      <w:bookmarkEnd w:id="191"/>
      <w:bookmarkEnd w:id="192"/>
      <w:bookmarkEnd w:id="193"/>
      <w:bookmarkEnd w:id="194"/>
      <w:r>
        <w:rPr>
          <w:vanish/>
          <w:u w:val="single"/>
        </w:rPr>
      </w:r>
      <w:r>
        <w:rPr>
          <w:u w:val="single"/>
          <w:vanish/>
        </w:rPr>
        <w:fldChar w:fldCharType="end"/>
      </w:r>
      <w:r>
        <w:rPr>
          <w:strike/>
        </w:rPr>
        <w:t>&lt;&lt;*&gt;&gt;</w:t>
      </w:r>
      <w:r>
        <w:rPr/>
        <w:t xml:space="preserve">.    A Change may result only from Owner directed changes </w:t>
      </w:r>
      <w:r>
        <w:rPr>
          <w:strike/>
        </w:rPr>
        <w:t>&lt;pursuant to&gt;</w:t>
      </w:r>
      <w:r>
        <w:rPr/>
        <w:t xml:space="preserve"> </w:t>
      </w:r>
      <w:r>
        <w:rPr>
          <w:b/>
          <w:u w:val="double"/>
        </w:rPr>
        <w:t>under</w:t>
      </w:r>
      <w:r>
        <w:rPr/>
        <w:t xml:space="preserve"> Section 6.2, Contractor requested changes agreed to by Owner </w:t>
      </w:r>
      <w:r>
        <w:rPr>
          <w:strike/>
        </w:rPr>
        <w:t>&lt;pursuant to&gt;</w:t>
      </w:r>
      <w:r>
        <w:rPr/>
        <w:t xml:space="preserve"> </w:t>
      </w:r>
      <w:r>
        <w:rPr>
          <w:b/>
          <w:u w:val="double"/>
        </w:rPr>
        <w:t>under</w:t>
      </w:r>
      <w:r>
        <w:rPr/>
        <w:t xml:space="preserve"> Section 6.3, Owner Delay, Force Majeure, Change in Law, or suspension of the Work </w:t>
      </w:r>
      <w:r>
        <w:rPr>
          <w:strike/>
        </w:rPr>
        <w:t>&lt;pursuant to&gt;</w:t>
      </w:r>
      <w:r>
        <w:rPr/>
        <w:t xml:space="preserve"> </w:t>
      </w:r>
      <w:r>
        <w:rPr>
          <w:b/>
          <w:u w:val="double"/>
        </w:rPr>
        <w:t>under</w:t>
      </w:r>
      <w:r>
        <w:rPr/>
        <w:t xml:space="preserve"> Section 16.4.</w:t>
      </w:r>
    </w:p>
    <w:p>
      <w:pPr>
        <w:pStyle w:val="BodyText"/>
        <w:bidi w:val="0"/>
        <w:rPr>
          <w:rFonts w:ascii="Times New Roman" w:hAnsi="Times New Roman"/>
        </w:rPr>
      </w:pPr>
      <w:r>
        <w:rPr/>
      </w:r>
    </w:p>
    <w:p>
      <w:pPr>
        <w:pStyle w:val="Style2toc"/>
        <w:bidi w:val="0"/>
        <w:rPr>
          <w:rFonts w:ascii="Times New Roman" w:hAnsi="Times New Roman"/>
        </w:rPr>
      </w:pPr>
      <w:r>
        <w:rPr/>
        <w:t>6.5</w:t>
        <w:tab/>
      </w:r>
      <w:r>
        <w:rPr>
          <w:u w:val="single"/>
        </w:rPr>
        <w:t>Adjustments to Agreement</w:t>
      </w:r>
      <w:r>
        <w:fldChar w:fldCharType="begin"/>
      </w:r>
      <w:r>
        <w:rPr>
          <w:u w:val="single"/>
          <w:vanish/>
        </w:rPr>
        <w:instrText xml:space="preserve"> TC "6.5</w:instrText>
        <w:tab/>
        <w:instrText xml:space="preserve">Adjustments to Agreement672" \l 1 </w:instrText>
      </w:r>
      <w:r>
        <w:rPr>
          <w:u w:val="single"/>
          <w:vanish/>
        </w:rPr>
        <w:fldChar w:fldCharType="separate"/>
      </w:r>
      <w:bookmarkStart w:id="195" w:name="_Toc497198935"/>
      <w:bookmarkStart w:id="196" w:name="_Toc496784613"/>
      <w:bookmarkStart w:id="197" w:name="_Toc496784890"/>
      <w:bookmarkStart w:id="198" w:name="_Toc493577479"/>
      <w:bookmarkEnd w:id="195"/>
      <w:bookmarkEnd w:id="196"/>
      <w:bookmarkEnd w:id="197"/>
      <w:bookmarkEnd w:id="198"/>
      <w:r>
        <w:rPr>
          <w:vanish/>
          <w:u w:val="single"/>
        </w:rPr>
      </w:r>
      <w:r>
        <w:rPr>
          <w:u w:val="single"/>
          <w:vanish/>
        </w:rPr>
        <w:fldChar w:fldCharType="end"/>
      </w:r>
      <w:r>
        <w:rPr>
          <w:strike/>
        </w:rPr>
        <w:t>&lt;&lt;*&gt;&gt;</w:t>
      </w:r>
      <w:r>
        <w:rPr/>
        <w:t xml:space="preserve">.    </w:t>
      </w:r>
      <w:r>
        <w:rPr>
          <w:strike/>
        </w:rPr>
        <w:t>&lt;Should&gt;</w:t>
      </w:r>
      <w:r>
        <w:rPr/>
        <w:t xml:space="preserve"> </w:t>
      </w:r>
      <w:r>
        <w:rPr>
          <w:b/>
          <w:u w:val="double"/>
        </w:rPr>
        <w:t>If</w:t>
      </w:r>
      <w:r>
        <w:rPr/>
        <w:t xml:space="preserve"> any Change </w:t>
      </w:r>
      <w:r>
        <w:rPr>
          <w:strike/>
        </w:rPr>
        <w:t>&lt;cause&gt;</w:t>
      </w:r>
      <w:r>
        <w:rPr/>
        <w:t xml:space="preserve"> </w:t>
      </w:r>
      <w:r>
        <w:rPr>
          <w:b/>
          <w:u w:val="double"/>
        </w:rPr>
        <w:t>causes</w:t>
      </w:r>
      <w:r>
        <w:rPr/>
        <w:t xml:space="preserve"> an increase or decrease in the cost of or time required for performance of this Agreement by Contractor or otherwise </w:t>
      </w:r>
      <w:r>
        <w:rPr>
          <w:strike/>
        </w:rPr>
        <w:t>&lt;affect&gt;</w:t>
      </w:r>
      <w:r>
        <w:rPr/>
        <w:t xml:space="preserve"> </w:t>
      </w:r>
      <w:r>
        <w:rPr>
          <w:b/>
          <w:u w:val="double"/>
        </w:rPr>
        <w:t>affects</w:t>
      </w:r>
      <w:r>
        <w:rPr/>
        <w:t xml:space="preserve"> any provision of this Agreement and either party to this Agreement is entitled to an adjustment as a result of such Change, then an adjustment will be made to the Contract Price, Project Schedule, Performance Guarantees, </w:t>
      </w:r>
      <w:r>
        <w:rPr>
          <w:strike/>
        </w:rPr>
        <w:t>&lt;Minimum&gt;</w:t>
      </w:r>
      <w:r>
        <w:rPr/>
        <w:t xml:space="preserve"> </w:t>
      </w:r>
      <w:r>
        <w:rPr>
          <w:b/>
          <w:u w:val="double"/>
        </w:rPr>
        <w:t>Specific</w:t>
      </w:r>
      <w:r>
        <w:rPr/>
        <w:t xml:space="preserve"> Performance Guarantees, </w:t>
      </w:r>
      <w:r>
        <w:rPr>
          <w:strike/>
        </w:rPr>
        <w:t>&lt;Reliability Guarantee,&gt;</w:t>
      </w:r>
      <w:r>
        <w:rPr/>
        <w:t xml:space="preserve"> Guaranteed Completion Date or End Date, or any other provisions of this Agreement which are affected by such Change.    When Contractor is notified of or becomes aware of a Change, Contractor shall promptly prepare and submit to Owner an estimate of the increase or decrease, if any, in the cost and time required to complete the Work, together with an explanation of the basis for such estimate, and shall inform Owner whether, in Contractor’s opinion, such Change should result in an adjustment </w:t>
      </w:r>
      <w:r>
        <w:rPr>
          <w:strike/>
        </w:rPr>
        <w:t>&lt;pursuant to&gt;</w:t>
      </w:r>
      <w:r>
        <w:rPr/>
        <w:t xml:space="preserve"> </w:t>
      </w:r>
      <w:r>
        <w:rPr>
          <w:b/>
          <w:u w:val="double"/>
        </w:rPr>
        <w:t>under</w:t>
      </w:r>
      <w:r>
        <w:rPr/>
        <w:t xml:space="preserve"> this Agreement, specifying the relevant provision of this Agreement.    </w:t>
      </w:r>
      <w:r>
        <w:rPr>
          <w:strike/>
        </w:rPr>
        <w:t>&lt;The price of any Work required or deleted by a Change shall be either a lump-sum fixed price mutually agreed to by the parties or a cost plus price calculated on the basis of Exhibit F, unless the parties agree otherwise.&gt;</w:t>
      </w:r>
      <w:r>
        <w:rPr/>
        <w:t xml:space="preserve"> The explanation of the basis for a cost Change shall include, as appropriate, relevant cost information regarding the portion of the original cost estimate that is affected by the Change, vendor pricing for the cost of Equipment added or deleted by the Change, and estimated quantities of Equipment, other materials and labor added or deleted by the Change.    If Contractor and Owner fail to agree on Contractor’s entitlement to an adjustment or the nature of such adjustment, then the provisions of Article 19 shall be invoked to resolve the dispute.</w:t>
      </w:r>
    </w:p>
    <w:p>
      <w:pPr>
        <w:pStyle w:val="BodyText"/>
        <w:bidi w:val="0"/>
        <w:rPr>
          <w:rFonts w:ascii="Times New Roman" w:hAnsi="Times New Roman"/>
        </w:rPr>
      </w:pPr>
      <w:r>
        <w:rPr/>
      </w:r>
    </w:p>
    <w:p>
      <w:pPr>
        <w:pStyle w:val="Style2toc"/>
        <w:bidi w:val="0"/>
        <w:rPr>
          <w:rFonts w:ascii="Times New Roman" w:hAnsi="Times New Roman"/>
        </w:rPr>
      </w:pPr>
      <w:r>
        <w:rPr/>
        <w:t>6.6</w:t>
        <w:tab/>
      </w:r>
      <w:r>
        <w:rPr>
          <w:u w:val="single"/>
        </w:rPr>
        <w:t>Performance of Changes</w:t>
      </w:r>
      <w:r>
        <w:fldChar w:fldCharType="begin"/>
      </w:r>
      <w:r>
        <w:rPr>
          <w:u w:val="single"/>
          <w:vanish/>
        </w:rPr>
        <w:instrText xml:space="preserve"> TC "6.6</w:instrText>
        <w:tab/>
        <w:instrText xml:space="preserve">Performance of Changes672" \l 1 </w:instrText>
      </w:r>
      <w:r>
        <w:rPr>
          <w:u w:val="single"/>
          <w:vanish/>
        </w:rPr>
        <w:fldChar w:fldCharType="separate"/>
      </w:r>
      <w:bookmarkStart w:id="199" w:name="_Toc493577480"/>
      <w:bookmarkStart w:id="200" w:name="_Toc497198936"/>
      <w:bookmarkStart w:id="201" w:name="_Toc496784891"/>
      <w:bookmarkStart w:id="202" w:name="_Toc496784614"/>
      <w:bookmarkEnd w:id="199"/>
      <w:bookmarkEnd w:id="200"/>
      <w:bookmarkEnd w:id="201"/>
      <w:bookmarkEnd w:id="202"/>
      <w:r>
        <w:rPr>
          <w:vanish/>
          <w:u w:val="single"/>
        </w:rPr>
      </w:r>
      <w:r>
        <w:rPr>
          <w:u w:val="single"/>
          <w:vanish/>
        </w:rPr>
        <w:fldChar w:fldCharType="end"/>
      </w:r>
      <w:r>
        <w:rPr>
          <w:strike/>
        </w:rPr>
        <w:t>&lt;&lt;*&gt;. In the event&gt;</w:t>
      </w:r>
      <w:r>
        <w:rPr>
          <w:b/>
          <w:u w:val="double"/>
        </w:rPr>
        <w:t>.    If</w:t>
      </w:r>
      <w:r>
        <w:rPr/>
        <w:t xml:space="preserve"> the parties are unable to agree on the adjustments applicable to a Change, then Contractor shall, if directed by Owner, nevertheless proceed to perform such Change.</w:t>
      </w:r>
    </w:p>
    <w:p>
      <w:pPr>
        <w:pStyle w:val="BodyText"/>
        <w:bidi w:val="0"/>
        <w:rPr>
          <w:rFonts w:ascii="Times New Roman" w:hAnsi="Times New Roman"/>
        </w:rPr>
      </w:pPr>
      <w:r>
        <w:rPr/>
      </w:r>
    </w:p>
    <w:p>
      <w:pPr>
        <w:pStyle w:val="Style2toc"/>
        <w:bidi w:val="0"/>
        <w:rPr>
          <w:rFonts w:ascii="Times New Roman" w:hAnsi="Times New Roman"/>
        </w:rPr>
      </w:pPr>
      <w:r>
        <w:rPr/>
        <w:t>6.7</w:t>
        <w:tab/>
      </w:r>
      <w:r>
        <w:rPr>
          <w:u w:val="single"/>
        </w:rPr>
        <w:t>Other Provisions Unaffected</w:t>
      </w:r>
      <w:r>
        <w:fldChar w:fldCharType="begin"/>
      </w:r>
      <w:r>
        <w:rPr>
          <w:u w:val="single"/>
          <w:vanish/>
        </w:rPr>
        <w:instrText xml:space="preserve"> TC "6.7</w:instrText>
        <w:tab/>
        <w:instrText xml:space="preserve">Other Provisions Unaffected672" \l 1 </w:instrText>
      </w:r>
      <w:r>
        <w:rPr>
          <w:u w:val="single"/>
          <w:vanish/>
        </w:rPr>
        <w:fldChar w:fldCharType="separate"/>
      </w:r>
      <w:bookmarkStart w:id="203" w:name="_Toc493577481"/>
      <w:bookmarkStart w:id="204" w:name="_Toc496784615"/>
      <w:bookmarkStart w:id="205" w:name="_Toc496784892"/>
      <w:bookmarkStart w:id="206" w:name="_Toc497198937"/>
      <w:bookmarkEnd w:id="203"/>
      <w:bookmarkEnd w:id="204"/>
      <w:bookmarkEnd w:id="205"/>
      <w:bookmarkEnd w:id="206"/>
      <w:r>
        <w:rPr>
          <w:vanish/>
          <w:u w:val="single"/>
        </w:rPr>
      </w:r>
      <w:r>
        <w:rPr>
          <w:u w:val="single"/>
          <w:vanish/>
        </w:rPr>
        <w:fldChar w:fldCharType="end"/>
      </w:r>
      <w:r>
        <w:rPr>
          <w:strike/>
        </w:rPr>
        <w:t>&lt;&lt;*&gt;&gt;</w:t>
      </w:r>
      <w:r>
        <w:rPr/>
        <w:t>.</w:t>
      </w:r>
      <w:r>
        <w:rPr>
          <w:b/>
        </w:rPr>
        <w:t xml:space="preserve">    </w:t>
      </w:r>
      <w:r>
        <w:rPr/>
        <w:t>Except to the extent a Change specifically amends one or more provisions hereof, all provisions of this Agreement shall apply to all Changes, and no Change shall be implied as a result of any other Change.</w:t>
      </w:r>
    </w:p>
    <w:p>
      <w:pPr>
        <w:pStyle w:val="BodyText"/>
        <w:bidi w:val="0"/>
        <w:rPr>
          <w:rFonts w:ascii="Times New Roman" w:hAnsi="Times New Roman"/>
        </w:rPr>
      </w:pPr>
      <w:r>
        <w:rPr/>
      </w:r>
    </w:p>
    <w:p>
      <w:pPr>
        <w:pStyle w:val="Style2toc"/>
        <w:bidi w:val="0"/>
        <w:rPr>
          <w:rFonts w:ascii="Times New Roman" w:hAnsi="Times New Roman"/>
        </w:rPr>
      </w:pPr>
      <w:r>
        <w:rPr/>
        <w:t>6.8</w:t>
        <w:tab/>
      </w:r>
      <w:r>
        <w:rPr>
          <w:u w:val="single"/>
        </w:rPr>
        <w:t>Change in Law or Owner Delay</w:t>
      </w:r>
      <w:r>
        <w:fldChar w:fldCharType="begin"/>
      </w:r>
      <w:r>
        <w:rPr>
          <w:u w:val="single"/>
          <w:vanish/>
        </w:rPr>
        <w:instrText xml:space="preserve"> TC "6.8</w:instrText>
        <w:tab/>
        <w:instrText xml:space="preserve">Change in Law or Owner Delay672" \l 1 </w:instrText>
      </w:r>
      <w:r>
        <w:rPr>
          <w:u w:val="single"/>
          <w:vanish/>
        </w:rPr>
        <w:fldChar w:fldCharType="separate"/>
      </w:r>
      <w:bookmarkStart w:id="207" w:name="_Toc493577482"/>
      <w:bookmarkStart w:id="208" w:name="_Toc497198938"/>
      <w:bookmarkStart w:id="209" w:name="_Toc496784893"/>
      <w:bookmarkStart w:id="210" w:name="_Toc496784616"/>
      <w:bookmarkEnd w:id="207"/>
      <w:bookmarkEnd w:id="208"/>
      <w:bookmarkEnd w:id="209"/>
      <w:bookmarkEnd w:id="210"/>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6.8.1</w:t>
        <w:tab/>
      </w:r>
      <w:r>
        <w:rPr>
          <w:u w:val="single"/>
        </w:rPr>
        <w:t>Notice to Owner</w:t>
      </w:r>
      <w:r>
        <w:rPr/>
        <w:t xml:space="preserve">.    Contractor shall give timely notice to Owner of any event or circumstance that Contractor believes is or might become an Owner Delay or Change in Law, which notice shall include the information required with respect to the associated Change that is required to be provided by Contractor </w:t>
      </w:r>
      <w:r>
        <w:rPr>
          <w:strike/>
        </w:rPr>
        <w:t>&lt;pursuant to&gt;</w:t>
      </w:r>
      <w:r>
        <w:rPr/>
        <w:t xml:space="preserve"> </w:t>
      </w:r>
      <w:r>
        <w:rPr>
          <w:b/>
          <w:u w:val="double"/>
        </w:rPr>
        <w:t>under</w:t>
      </w:r>
      <w:r>
        <w:rPr/>
        <w:t xml:space="preserve"> Section 6.5.    Such notice shall be issued promptly but in no event later than within ten (10) days following actual knowledge of such condition by Contractor.    If it is impracticable to specify the adjustments that Contractor will claim, then Contractor shall provide Owner with periodic supplemental notices during the period the event or circumstance continues to keep Owner informed of any change, development, progress or other relevant information concerning the event or circumstance.</w:t>
      </w:r>
    </w:p>
    <w:p>
      <w:pPr>
        <w:pStyle w:val="BodyText"/>
        <w:bidi w:val="0"/>
        <w:rPr>
          <w:rFonts w:ascii="Times New Roman" w:hAnsi="Times New Roman"/>
        </w:rPr>
      </w:pPr>
      <w:r>
        <w:rPr/>
      </w:r>
    </w:p>
    <w:p>
      <w:pPr>
        <w:pStyle w:val="BodyText"/>
        <w:bidi w:val="0"/>
        <w:rPr>
          <w:rFonts w:ascii="Times New Roman" w:hAnsi="Times New Roman"/>
        </w:rPr>
      </w:pPr>
      <w:r>
        <w:rPr/>
        <w:tab/>
        <w:t>6.8.2</w:t>
        <w:tab/>
      </w:r>
      <w:r>
        <w:rPr>
          <w:u w:val="single"/>
        </w:rPr>
        <w:t>Mitigation of Event</w:t>
      </w:r>
      <w:r>
        <w:rPr/>
        <w:t>.    Contractor shall use reasonable efforts to remove or mitigate the effects of any Owner Delay or Change in Law.    Contractor also shall use reasonable efforts to minimize the delay caused thereby, but shall not, without Owner’s approval as set forth in a Change Order issued with respect thereto, be required to: (a) subcontract additional Work or work additional hours for which premium time is payable, (b) schedule additional work shifts, or (c) otherwise incur additional costs, if, in any such case, such subcontracting, additional hours, additional shifts or other additional costs would not have been required to meet the Guaranteed Completion Date in effect prior to the occurrence of such Owner Delay or Change in Law.</w:t>
      </w:r>
    </w:p>
    <w:p>
      <w:pPr>
        <w:pStyle w:val="BodyText"/>
        <w:bidi w:val="0"/>
        <w:rPr>
          <w:rFonts w:ascii="Times New Roman" w:hAnsi="Times New Roman"/>
        </w:rPr>
      </w:pPr>
      <w:r>
        <w:rPr/>
      </w:r>
    </w:p>
    <w:p>
      <w:pPr>
        <w:pStyle w:val="Style1toc"/>
        <w:keepNext w:val="true"/>
        <w:bidi w:val="0"/>
        <w:rPr>
          <w:rFonts w:ascii="Times New Roman" w:hAnsi="Times New Roman"/>
        </w:rPr>
      </w:pPr>
      <w:r>
        <w:rPr/>
        <w:t>ARTICLE 7</w:t>
      </w:r>
      <w:r>
        <w:fldChar w:fldCharType="begin"/>
      </w:r>
      <w:r>
        <w:rPr>
          <w:vanish/>
        </w:rPr>
        <w:instrText xml:space="preserve"> TC "ARTICLE 7 CONTRACT PRICE; PAYMENTS TO CONTRACTOR671" \l 1 </w:instrText>
      </w:r>
      <w:r>
        <w:rPr>
          <w:vanish/>
        </w:rPr>
        <w:fldChar w:fldCharType="separate"/>
      </w:r>
      <w:bookmarkStart w:id="211" w:name="_Toc493577483"/>
      <w:bookmarkStart w:id="212" w:name="_Toc497198939"/>
      <w:bookmarkStart w:id="213" w:name="_Toc496784894"/>
      <w:bookmarkStart w:id="214" w:name="_Toc496784617"/>
      <w:bookmarkEnd w:id="211"/>
      <w:bookmarkEnd w:id="212"/>
      <w:bookmarkEnd w:id="213"/>
      <w:bookmarkEnd w:id="214"/>
      <w:r>
        <w:rPr>
          <w:vanish/>
        </w:rPr>
      </w:r>
      <w:r>
        <w:rPr>
          <w:vanish/>
        </w:rPr>
        <w:fldChar w:fldCharType="end"/>
      </w:r>
      <w:r>
        <w:rPr>
          <w:strike/>
        </w:rPr>
        <w:t>&lt;&lt;*&gt;&gt;</w:t>
      </w:r>
    </w:p>
    <w:p>
      <w:pPr>
        <w:pStyle w:val="Style1toc"/>
        <w:keepNext w:val="true"/>
        <w:bidi w:val="0"/>
        <w:rPr>
          <w:rFonts w:ascii="Times New Roman" w:hAnsi="Times New Roman"/>
        </w:rPr>
      </w:pPr>
      <w:r>
        <w:rPr/>
        <w:t>CONTRACT PRICE; PAYMENTS TO CONTRACTOR</w:t>
      </w:r>
    </w:p>
    <w:p>
      <w:pPr>
        <w:pStyle w:val="BodyText"/>
        <w:bidi w:val="0"/>
        <w:rPr>
          <w:rFonts w:ascii="Times New Roman" w:hAnsi="Times New Roman"/>
        </w:rPr>
      </w:pPr>
      <w:r>
        <w:rPr/>
      </w:r>
    </w:p>
    <w:p>
      <w:pPr>
        <w:pStyle w:val="Style2toc"/>
        <w:bidi w:val="0"/>
        <w:rPr>
          <w:rFonts w:ascii="Times New Roman" w:hAnsi="Times New Roman"/>
        </w:rPr>
      </w:pPr>
      <w:r>
        <w:rPr/>
        <w:t>7.1</w:t>
        <w:tab/>
      </w:r>
      <w:r>
        <w:rPr>
          <w:u w:val="single"/>
        </w:rPr>
        <w:t>Contract Price</w:t>
      </w:r>
      <w:r>
        <w:fldChar w:fldCharType="begin"/>
      </w:r>
      <w:r>
        <w:rPr>
          <w:u w:val="single"/>
          <w:vanish/>
        </w:rPr>
        <w:instrText xml:space="preserve"> TC "7.1</w:instrText>
        <w:tab/>
        <w:instrText xml:space="preserve">Contract Price672" \l 1 </w:instrText>
      </w:r>
      <w:r>
        <w:rPr>
          <w:u w:val="single"/>
          <w:vanish/>
        </w:rPr>
        <w:fldChar w:fldCharType="separate"/>
      </w:r>
      <w:bookmarkStart w:id="215" w:name="_Toc493577484"/>
      <w:bookmarkStart w:id="216" w:name="_Toc497198940"/>
      <w:bookmarkStart w:id="217" w:name="_Toc496784895"/>
      <w:bookmarkStart w:id="218" w:name="_Toc496784618"/>
      <w:bookmarkEnd w:id="215"/>
      <w:bookmarkEnd w:id="216"/>
      <w:bookmarkEnd w:id="217"/>
      <w:bookmarkEnd w:id="218"/>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b/>
          <w:u w:val="double"/>
        </w:rPr>
      </w:pPr>
      <w:r>
        <w:rPr/>
        <w:tab/>
        <w:t>7.1.1</w:t>
        <w:tab/>
      </w:r>
      <w:r>
        <w:rPr>
          <w:u w:val="single"/>
        </w:rPr>
        <w:t>General</w:t>
      </w:r>
      <w:r>
        <w:rPr/>
        <w:t xml:space="preserve">.    </w:t>
      </w:r>
      <w:r>
        <w:rPr>
          <w:strike/>
        </w:rPr>
        <w:t>&lt;Contractor agrees to perform&gt;</w:t>
      </w:r>
      <w:r>
        <w:rPr/>
        <w:t xml:space="preserve"> </w:t>
      </w:r>
      <w:r>
        <w:rPr>
          <w:b/>
          <w:u w:val="double"/>
        </w:rPr>
        <w:t>As full and complete compensation for</w:t>
      </w:r>
      <w:r>
        <w:rPr/>
        <w:t xml:space="preserve"> the Work </w:t>
      </w:r>
      <w:r>
        <w:rPr>
          <w:strike/>
        </w:rPr>
        <w:t>&lt;for &gt;</w:t>
      </w:r>
      <w:r>
        <w:rPr>
          <w:b/>
          <w:u w:val="double"/>
        </w:rPr>
        <w:t>, Owner shall pay Contractor the lesser of:    (a) the sum of the Cost of the Work and Contractor’s Fee (both as further defined and limited in Exhibit C-1), or (b) the Guaranteed Maximum Price (as defined in Exhibit C-1).    The amount payable to Contractor for the Work shall be refered to as the “</w:t>
      </w:r>
      <w:r>
        <w:rPr>
          <w:b/>
          <w:i/>
          <w:u w:val="double"/>
        </w:rPr>
        <w:t>Contract Price</w:t>
      </w:r>
      <w:r>
        <w:rPr>
          <w:b/>
          <w:u w:val="double"/>
        </w:rPr>
        <w:t>.”    The parties acknowledge that the intent and effect of this method of determining</w:t>
      </w:r>
      <w:r>
        <w:rPr/>
        <w:t xml:space="preserve"> the Contract Price </w:t>
      </w:r>
      <w:r>
        <w:rPr>
          <w:b/>
          <w:u w:val="double"/>
        </w:rPr>
        <w:t>is to ensure that the total cost to Owner for the Work shall not exceed the Guaranteed Maximum Price.    Accordingly, if the costs incurred by Contractor to perform the Work, including the Cost of the Work, costs that the Contractor’s Fee are intended to cover, and/or any other costs exceed the GMP (subject to changes in the Work as provided in Article 6), those excess costs shall be borne solely by Contractor.    If the Contract Price is less than the GMP, the savings shall be allocated to Owner.    The “Cost of the Work” shall be the actual reasonable costs necessarily incurred by Contractor in the proper performance of the Work, at rates not higher than the standard paid at the place of performance of such portion of the Work except with the prior written consent of Owner, and shall not include any costs due to the fault or negligence of Contractor, any Subcontractor, their respective employees or agents, and others for whom Contractor is responsible, including costs for the correction or repair of damaged, defective or nonconforming Work, disposal and replacement of materials and equipment incorrectly ordered or supplied, and making good any damage to property not forming part of the Work.    [Consider Contractor’s general requirements.]</w:t>
      </w:r>
      <w:r>
        <w:rPr/>
        <w:t xml:space="preserve">    </w:t>
      </w:r>
      <w:r>
        <w:rPr>
          <w:b/>
          <w:u w:val="double"/>
        </w:rPr>
        <w:t>The Contractor’s Fee shall be Contractor’s sole compensation for:</w:t>
      </w:r>
    </w:p>
    <w:p>
      <w:pPr>
        <w:pStyle w:val="bodytext4level"/>
        <w:bidi w:val="0"/>
        <w:ind w:firstLine="720" w:start="720"/>
        <w:rPr>
          <w:rFonts w:ascii="Times New Roman" w:hAnsi="Times New Roman"/>
          <w:b/>
          <w:sz w:val="23"/>
          <w:u w:val="double"/>
        </w:rPr>
      </w:pPr>
      <w:r>
        <w:rPr>
          <w:rFonts w:ascii="Times New Roman" w:hAnsi="Times New Roman"/>
          <w:b/>
          <w:sz w:val="23"/>
          <w:u w:val="double"/>
        </w:rPr>
        <w:t>(a)</w:t>
      </w:r>
      <w:r>
        <w:rPr>
          <w:rFonts w:ascii="Times New Roman" w:hAnsi="Times New Roman"/>
          <w:sz w:val="23"/>
        </w:rPr>
        <w:tab/>
      </w:r>
      <w:r>
        <w:rPr>
          <w:rFonts w:ascii="Times New Roman" w:hAnsi="Times New Roman"/>
          <w:b/>
          <w:sz w:val="23"/>
          <w:u w:val="double"/>
        </w:rPr>
        <w:t>All expenses in connection with maintaining and operating Contractor’s main office and any established branch offices, including:    (i) salaries of officers, managers, supervisors, administrative staff and other personnel, (ii) estimating and purchasing, (iii) progress and cost control, (iv) general accounting, auditing and billing to Owner, (v) supervising insurance and taxation matters, (vi) supervising labor relations matters, (vii) main and branch office management of the Work, (vii) value engineering and (ix) supervising safety matters;</w:t>
      </w:r>
    </w:p>
    <w:p>
      <w:pPr>
        <w:pStyle w:val="bodytext4level"/>
        <w:bidi w:val="0"/>
        <w:ind w:firstLine="720" w:start="720"/>
        <w:rPr>
          <w:rFonts w:ascii="Times New Roman" w:hAnsi="Times New Roman"/>
          <w:b/>
          <w:sz w:val="23"/>
          <w:u w:val="double"/>
        </w:rPr>
      </w:pPr>
      <w:r>
        <w:rPr>
          <w:rFonts w:ascii="Times New Roman" w:hAnsi="Times New Roman"/>
          <w:b/>
          <w:sz w:val="23"/>
          <w:u w:val="double"/>
        </w:rPr>
        <w:t>(b)</w:t>
      </w:r>
      <w:r>
        <w:rPr>
          <w:rFonts w:ascii="Times New Roman" w:hAnsi="Times New Roman"/>
          <w:sz w:val="23"/>
        </w:rPr>
        <w:tab/>
      </w:r>
      <w:r>
        <w:rPr>
          <w:rFonts w:ascii="Times New Roman" w:hAnsi="Times New Roman"/>
          <w:b/>
          <w:sz w:val="23"/>
          <w:u w:val="double"/>
        </w:rPr>
        <w:t>Consultation with Owner and other Persons with regard to the Work; the development of budgets and furnishing any information which Contractor may possess which may be of value to Owner;</w:t>
      </w:r>
    </w:p>
    <w:p>
      <w:pPr>
        <w:pStyle w:val="bodytext4level"/>
        <w:bidi w:val="0"/>
        <w:ind w:firstLine="720" w:start="720"/>
        <w:rPr>
          <w:rFonts w:ascii="Times New Roman" w:hAnsi="Times New Roman"/>
          <w:b/>
          <w:sz w:val="23"/>
          <w:u w:val="double"/>
        </w:rPr>
      </w:pPr>
      <w:r>
        <w:rPr>
          <w:rFonts w:ascii="Times New Roman" w:hAnsi="Times New Roman"/>
          <w:b/>
          <w:sz w:val="23"/>
          <w:u w:val="double"/>
        </w:rPr>
        <w:t>(c)</w:t>
      </w:r>
      <w:r>
        <w:rPr>
          <w:rFonts w:ascii="Times New Roman" w:hAnsi="Times New Roman"/>
          <w:sz w:val="23"/>
        </w:rPr>
        <w:tab/>
      </w:r>
      <w:r>
        <w:rPr>
          <w:rFonts w:ascii="Times New Roman" w:hAnsi="Times New Roman"/>
          <w:b/>
          <w:sz w:val="23"/>
          <w:u w:val="double"/>
        </w:rPr>
        <w:t>Local travel and subsistence expenses of Contractor while traveling in discharge of duties connected with the Work;</w:t>
      </w:r>
    </w:p>
    <w:p>
      <w:pPr>
        <w:pStyle w:val="bodytext4level"/>
        <w:bidi w:val="0"/>
        <w:ind w:firstLine="720" w:start="720"/>
        <w:rPr>
          <w:rFonts w:ascii="Times New Roman" w:hAnsi="Times New Roman"/>
          <w:b/>
          <w:sz w:val="23"/>
          <w:u w:val="double"/>
        </w:rPr>
      </w:pPr>
      <w:r>
        <w:rPr>
          <w:rFonts w:ascii="Times New Roman" w:hAnsi="Times New Roman"/>
          <w:b/>
          <w:sz w:val="23"/>
          <w:u w:val="double"/>
        </w:rPr>
        <w:t>(d)</w:t>
      </w:r>
      <w:r>
        <w:rPr>
          <w:rFonts w:ascii="Times New Roman" w:hAnsi="Times New Roman"/>
          <w:sz w:val="23"/>
        </w:rPr>
        <w:tab/>
      </w:r>
      <w:r>
        <w:rPr>
          <w:rFonts w:ascii="Times New Roman" w:hAnsi="Times New Roman"/>
          <w:b/>
          <w:sz w:val="23"/>
          <w:u w:val="double"/>
        </w:rPr>
        <w:t>Insurance maintained by Contractor covering risks other than those required to be insured under Article 9; and</w:t>
      </w:r>
    </w:p>
    <w:p>
      <w:pPr>
        <w:pStyle w:val="bodytext4level"/>
        <w:bidi w:val="0"/>
        <w:ind w:firstLine="720" w:start="720"/>
        <w:rPr>
          <w:rFonts w:ascii="Times New Roman" w:hAnsi="Times New Roman"/>
          <w:b/>
          <w:sz w:val="23"/>
          <w:u w:val="double"/>
        </w:rPr>
      </w:pPr>
      <w:r>
        <w:rPr>
          <w:rFonts w:ascii="Times New Roman" w:hAnsi="Times New Roman"/>
          <w:b/>
          <w:sz w:val="23"/>
          <w:u w:val="double"/>
        </w:rPr>
        <w:t>(e)</w:t>
      </w:r>
      <w:r>
        <w:rPr>
          <w:rFonts w:ascii="Times New Roman" w:hAnsi="Times New Roman"/>
          <w:sz w:val="23"/>
        </w:rPr>
        <w:tab/>
      </w:r>
      <w:r>
        <w:rPr>
          <w:rFonts w:ascii="Times New Roman" w:hAnsi="Times New Roman"/>
          <w:b/>
          <w:sz w:val="23"/>
          <w:u w:val="double"/>
        </w:rPr>
        <w:t>Contractor’s profit</w:t>
      </w:r>
      <w:r>
        <w:rPr>
          <w:rFonts w:ascii="Times New Roman" w:hAnsi="Times New Roman"/>
          <w:sz w:val="23"/>
        </w:rPr>
        <w:t>.</w:t>
      </w:r>
    </w:p>
    <w:p>
      <w:pPr>
        <w:pStyle w:val="BodyText"/>
        <w:bidi w:val="0"/>
        <w:rPr>
          <w:rFonts w:ascii="Times New Roman" w:hAnsi="Times New Roman"/>
          <w:b/>
          <w:u w:val="double"/>
        </w:rPr>
      </w:pPr>
      <w:r>
        <w:rPr>
          <w:b/>
          <w:u w:val="double"/>
        </w:rPr>
      </w:r>
    </w:p>
    <w:p>
      <w:pPr>
        <w:pStyle w:val="BodyText"/>
        <w:bidi w:val="0"/>
        <w:rPr>
          <w:rFonts w:ascii="Times New Roman" w:hAnsi="Times New Roman"/>
        </w:rPr>
      </w:pPr>
      <w:r>
        <w:rPr/>
        <w:t xml:space="preserve">The Contract Price is not subject to change </w:t>
      </w:r>
      <w:r>
        <w:rPr>
          <w:strike/>
        </w:rPr>
        <w:t>&lt;save&gt;</w:t>
      </w:r>
      <w:r>
        <w:rPr/>
        <w:t xml:space="preserve"> </w:t>
      </w:r>
      <w:r>
        <w:rPr>
          <w:b/>
          <w:u w:val="double"/>
        </w:rPr>
        <w:t>except</w:t>
      </w:r>
      <w:r>
        <w:rPr/>
        <w:t xml:space="preserve"> in accordance with the terms of this Agreement.</w:t>
      </w:r>
    </w:p>
    <w:p>
      <w:pPr>
        <w:pStyle w:val="BodyText"/>
        <w:bidi w:val="0"/>
        <w:rPr>
          <w:rFonts w:ascii="Times New Roman" w:hAnsi="Times New Roman"/>
        </w:rPr>
      </w:pPr>
      <w:r>
        <w:rPr/>
      </w:r>
    </w:p>
    <w:p>
      <w:pPr>
        <w:pStyle w:val="BodyText"/>
        <w:bidi w:val="0"/>
        <w:rPr>
          <w:rFonts w:ascii="Times New Roman" w:hAnsi="Times New Roman"/>
        </w:rPr>
      </w:pPr>
      <w:r>
        <w:rPr/>
        <w:tab/>
        <w:t>7.1.2</w:t>
        <w:tab/>
      </w:r>
      <w:r>
        <w:rPr>
          <w:u w:val="single"/>
        </w:rPr>
        <w:t>Contract Price</w:t>
      </w:r>
      <w:r>
        <w:rPr/>
        <w:t xml:space="preserve">.    The parties acknowledge that </w:t>
      </w:r>
      <w:r>
        <w:rPr>
          <w:strike/>
        </w:rPr>
        <w:t>&lt;part of&gt;</w:t>
      </w:r>
      <w:r>
        <w:rPr/>
        <w:t xml:space="preserve"> the </w:t>
      </w:r>
      <w:r>
        <w:rPr>
          <w:b/>
          <w:u w:val="double"/>
        </w:rPr>
        <w:t>Owner Supplied</w:t>
      </w:r>
      <w:r>
        <w:rPr/>
        <w:t xml:space="preserve"> Equipment for the Facility </w:t>
      </w:r>
      <w:r>
        <w:rPr>
          <w:strike/>
        </w:rPr>
        <w:t>&lt;includes the Power Island Equipment, which&gt;</w:t>
      </w:r>
      <w:r>
        <w:rPr/>
        <w:t xml:space="preserve"> is to be </w:t>
      </w:r>
      <w:r>
        <w:rPr>
          <w:strike/>
        </w:rPr>
        <w:t>&lt;purchased&gt;</w:t>
      </w:r>
      <w:r>
        <w:rPr/>
        <w:t xml:space="preserve"> </w:t>
      </w:r>
      <w:r>
        <w:rPr>
          <w:b/>
          <w:u w:val="double"/>
        </w:rPr>
        <w:t>supplied by Owner</w:t>
      </w:r>
      <w:r>
        <w:rPr/>
        <w:t xml:space="preserve"> under the </w:t>
      </w:r>
      <w:r>
        <w:rPr>
          <w:strike/>
        </w:rPr>
        <w:t>&lt;Agreement between Westdeutsch Landesbank Girozentrale, New York Branch, acting through its agent Enron North America Corp., a Delaware corporation, and General Electric Company dated as of May 1, 2000 (as amended at any time, the “GE Contract”). On or before the Notice to Proceed Issuance Date, Owner shall cause certain rights and obligations of the “Purchaser” (as defined in the GE Contract) to be assigned or delegated to Contractor and Contractor shall accept such assignment and assume the delegated obligations. However, Contractor shall not assume the obligations to pay the Purchase Amount (as defined in Section __ of the GE Contract), plus sales tax thereon, and therefore such amounts shall not be part of&gt;</w:t>
      </w:r>
      <w:r>
        <w:rPr/>
        <w:t xml:space="preserve"> </w:t>
      </w:r>
      <w:r>
        <w:rPr>
          <w:b/>
          <w:u w:val="double"/>
        </w:rPr>
        <w:t>Equipment Vendor Contracts.    Contractor has reviewed the Equipment Vendor Contracts and has established</w:t>
      </w:r>
      <w:r>
        <w:rPr/>
        <w:t xml:space="preserve"> the Contract Price</w:t>
      </w:r>
      <w:r>
        <w:rPr>
          <w:strike/>
        </w:rPr>
        <w:t>&lt;. This assignment and delegation, and acceptance and assumption,&gt;</w:t>
      </w:r>
      <w:r>
        <w:rPr>
          <w:b/>
          <w:u w:val="double"/>
        </w:rPr>
        <w:t>, the Specific Performance Guarantees, the Performance Guarantees, the Performance Liquidated Damages, the Guaranteed Completion Date, the Project Schedule Summary, the Delay Liquidated Damages, and Contractor’s warranty, training and other obligations relating to the Owner Supplied Equipment, based on the Equipment Vendor Contracts.    If any of the Equipment Vendors breaches its Equipment Vendor Contract in a material respect, then as</w:t>
      </w:r>
      <w:r>
        <w:rPr/>
        <w:t xml:space="preserve"> between Owner and </w:t>
      </w:r>
      <w:r>
        <w:rPr>
          <w:strike/>
        </w:rPr>
        <w:t>&lt;contractor shall be substantially in the form attached as Exhibit U.&gt;</w:t>
      </w:r>
      <w:r>
        <w:rPr/>
        <w:t xml:space="preserve"> </w:t>
      </w:r>
      <w:r>
        <w:rPr>
          <w:b/>
          <w:u w:val="double"/>
        </w:rPr>
        <w:t>Contractor, Contractor may be entitled to claim an Owner Delay, propose a Change Order, or otherwise seek to excuse its failure to perform, to the extent Contractor can show that its failure is directly caused by such Equipment Vendor’s breach.    Contractor shall reasonably cooperate with Owner in providing timely information and other assistance so that Owner may pursue Owner’s rights in connection with the Equipment Vendor Contracts.    However, if an Equipment Vendor complies with its Equipment Vendor Contract in all material respects, then Owner shall be deemed to have met its obligations relating to the applicable item of Owner Supplied Equipment, and Contractor shall not be entitled to claim any of the relief set forth in the preceding sentence.</w:t>
      </w:r>
    </w:p>
    <w:p>
      <w:pPr>
        <w:pStyle w:val="BodyText"/>
        <w:bidi w:val="0"/>
        <w:rPr>
          <w:rFonts w:ascii="Times New Roman" w:hAnsi="Times New Roman"/>
        </w:rPr>
      </w:pPr>
      <w:r>
        <w:rPr/>
      </w:r>
    </w:p>
    <w:p>
      <w:pPr>
        <w:pStyle w:val="Style2toc"/>
        <w:bidi w:val="0"/>
        <w:rPr>
          <w:rFonts w:ascii="Times New Roman" w:hAnsi="Times New Roman"/>
        </w:rPr>
      </w:pPr>
      <w:r>
        <w:rPr/>
        <w:t>7.2</w:t>
        <w:tab/>
      </w:r>
      <w:r>
        <w:rPr>
          <w:u w:val="single"/>
        </w:rPr>
        <w:t>Payment of Contract Price</w:t>
      </w:r>
      <w:r>
        <w:fldChar w:fldCharType="begin"/>
      </w:r>
      <w:r>
        <w:rPr>
          <w:u w:val="single"/>
          <w:vanish/>
        </w:rPr>
        <w:instrText xml:space="preserve"> TC "7.2</w:instrText>
        <w:tab/>
        <w:instrText xml:space="preserve">Payment of Contract Price672" \l 1 </w:instrText>
      </w:r>
      <w:r>
        <w:rPr>
          <w:u w:val="single"/>
          <w:vanish/>
        </w:rPr>
        <w:fldChar w:fldCharType="separate"/>
      </w:r>
      <w:bookmarkStart w:id="219" w:name="_Toc496784619"/>
      <w:bookmarkStart w:id="220" w:name="_Toc493577485"/>
      <w:bookmarkStart w:id="221" w:name="_Toc497198941"/>
      <w:bookmarkStart w:id="222" w:name="_Toc496784896"/>
      <w:bookmarkEnd w:id="219"/>
      <w:bookmarkEnd w:id="220"/>
      <w:bookmarkEnd w:id="221"/>
      <w:bookmarkEnd w:id="222"/>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7.2.1</w:t>
        <w:tab/>
      </w:r>
      <w:r>
        <w:rPr>
          <w:u w:val="single"/>
        </w:rPr>
        <w:t>Payment Schedule</w:t>
      </w:r>
      <w:r>
        <w:rPr/>
        <w:t>.    The Contract Price shall be paid to Contractor according to actual progress as determined by a reporting/tracking method mutually agreed upon by Contractor and Owner prior to the Notice to Proceed Effective Date</w:t>
      </w:r>
      <w:r>
        <w:rPr>
          <w:strike/>
        </w:rPr>
        <w:t>&lt;; provided that, in no event will cumulative payments exceed the applicable cumulative monthly payment limitation set forth in the Not-to-Exceed Payment Schedule attached as Exhibit C-2&gt;</w:t>
      </w:r>
      <w:r>
        <w:rPr/>
        <w:t>.</w:t>
      </w:r>
    </w:p>
    <w:p>
      <w:pPr>
        <w:pStyle w:val="BodyText"/>
        <w:bidi w:val="0"/>
        <w:rPr>
          <w:rFonts w:ascii="Times New Roman" w:hAnsi="Times New Roman"/>
        </w:rPr>
      </w:pPr>
      <w:r>
        <w:rPr/>
      </w:r>
    </w:p>
    <w:p>
      <w:pPr>
        <w:pStyle w:val="BodyText"/>
        <w:bidi w:val="0"/>
        <w:rPr>
          <w:rFonts w:ascii="Times New Roman" w:hAnsi="Times New Roman"/>
        </w:rPr>
      </w:pPr>
      <w:r>
        <w:rPr/>
        <w:tab/>
        <w:t>7.2.2</w:t>
        <w:tab/>
      </w:r>
      <w:r>
        <w:rPr>
          <w:u w:val="single"/>
        </w:rPr>
        <w:t>Monthly Invoices</w:t>
      </w:r>
      <w:r>
        <w:rPr/>
        <w:t xml:space="preserve">.    On or before the Notice to Proceed Effective Date, and thereafter on or before the tenth (10th) day of each month during the performance of the Work, Contractor shall furnish to Owner a detailed invoice in the form of </w:t>
      </w:r>
      <w:r>
        <w:rPr>
          <w:u w:val="single"/>
        </w:rPr>
        <w:t>Exhibit C-5</w:t>
      </w:r>
      <w:r>
        <w:rPr/>
        <w:t xml:space="preserve"> (an “Invoice”) for the period ending on the last day of the month preceding such month, setting forth the portion of the Contract Price allocable to the progress actually made by Contractor during such period or month, as the case may be, calculated in accordance with the reporting/tracking method referenced in Section 7.2.1, and such supporting documentation and additional data as Owner may reasonably require to substantiate Contractor’s right to payment under this Section 7.2.</w:t>
      </w:r>
    </w:p>
    <w:p>
      <w:pPr>
        <w:pStyle w:val="bodytext1"/>
        <w:bidi w:val="0"/>
        <w:spacing w:lineRule="atLeast" w:line="240"/>
        <w:ind w:firstLine="720" w:start="720"/>
        <w:jc w:val="both"/>
        <w:rPr>
          <w:rFonts w:ascii="Times New Roman" w:hAnsi="Times New Roman"/>
          <w:sz w:val="23"/>
        </w:rPr>
      </w:pPr>
      <w:r>
        <w:rPr>
          <w:sz w:val="23"/>
        </w:rPr>
        <w:t>In connection with each Invoice, Contractor shall provide to Owner and such other persons as Owner may desig</w:t>
        <w:softHyphen/>
        <w:t>nate a certificate to the effect that:</w:t>
      </w:r>
    </w:p>
    <w:p>
      <w:pPr>
        <w:pStyle w:val="bodytext4level"/>
        <w:bidi w:val="0"/>
        <w:ind w:firstLine="720" w:start="720"/>
        <w:rPr>
          <w:rFonts w:ascii="Times New Roman" w:hAnsi="Times New Roman"/>
          <w:sz w:val="23"/>
        </w:rPr>
      </w:pPr>
      <w:r>
        <w:rPr>
          <w:rFonts w:ascii="Times New Roman" w:hAnsi="Times New Roman"/>
          <w:sz w:val="23"/>
        </w:rPr>
        <w:t>(a)</w:t>
        <w:tab/>
        <w:t>the Work is progressing in accordance with the Project Schedule except as agreed by Owner in connection with any prior Invoice or as set forth in such certificate;</w:t>
      </w:r>
    </w:p>
    <w:p>
      <w:pPr>
        <w:pStyle w:val="bodytext4level"/>
        <w:bidi w:val="0"/>
        <w:ind w:firstLine="720" w:start="720"/>
        <w:rPr>
          <w:rFonts w:ascii="Times New Roman" w:hAnsi="Times New Roman"/>
          <w:sz w:val="23"/>
        </w:rPr>
      </w:pPr>
      <w:r>
        <w:rPr>
          <w:rFonts w:ascii="Times New Roman" w:hAnsi="Times New Roman"/>
          <w:sz w:val="23"/>
        </w:rPr>
        <w:t>(b)</w:t>
        <w:tab/>
        <w:t>the quality of all Work described in the Invoice is in accordance with the terms of this Agreement;</w:t>
      </w:r>
    </w:p>
    <w:p>
      <w:pPr>
        <w:pStyle w:val="bodytext4level"/>
        <w:bidi w:val="0"/>
        <w:ind w:firstLine="720" w:start="720"/>
        <w:rPr>
          <w:rFonts w:ascii="Times New Roman" w:hAnsi="Times New Roman"/>
          <w:sz w:val="23"/>
        </w:rPr>
      </w:pPr>
      <w:r>
        <w:rPr>
          <w:rFonts w:ascii="Times New Roman" w:hAnsi="Times New Roman"/>
          <w:sz w:val="23"/>
        </w:rPr>
        <w:t>(c)</w:t>
        <w:tab/>
        <w:t xml:space="preserve">Contractor is entitled to payment of the amount invoiced; </w:t>
      </w:r>
    </w:p>
    <w:p>
      <w:pPr>
        <w:pStyle w:val="bodytext4level"/>
        <w:bidi w:val="0"/>
        <w:ind w:firstLine="720" w:start="720"/>
        <w:rPr>
          <w:rFonts w:ascii="Times New Roman" w:hAnsi="Times New Roman"/>
          <w:sz w:val="23"/>
        </w:rPr>
      </w:pPr>
      <w:r>
        <w:rPr>
          <w:rFonts w:ascii="Times New Roman" w:hAnsi="Times New Roman"/>
          <w:sz w:val="23"/>
        </w:rPr>
        <w:t>(d)</w:t>
        <w:tab/>
        <w:t>Contractor has paid all Subcontractors for work previously invoiced in accordance with Law, the applicable Subcontract and this Agreement (other than amounts Contractor is contesting, as to which Contractor shall not request payment from Owner) and the Site, Work, materials and Equipment (or any portion thereof) described in the Invoice and all previous Invoices are free and clear of all Contractor Liens (even if Contractor is contesting the amount due), other than any Contractor Liens extinguished upon receipt of payment by Contractor in respect of such Invoice; and</w:t>
      </w:r>
    </w:p>
    <w:p>
      <w:pPr>
        <w:pStyle w:val="bodytext4level"/>
        <w:bidi w:val="0"/>
        <w:ind w:firstLine="720" w:start="720"/>
        <w:rPr>
          <w:rFonts w:ascii="Times New Roman" w:hAnsi="Times New Roman"/>
          <w:sz w:val="23"/>
        </w:rPr>
      </w:pPr>
      <w:r>
        <w:rPr>
          <w:rFonts w:ascii="Times New Roman" w:hAnsi="Times New Roman"/>
          <w:sz w:val="23"/>
        </w:rPr>
        <w:t>(e)</w:t>
        <w:tab/>
        <w:t>each of the representations and warranties made by Contractor in Article 15 of this Agreement was true and correct when made and remains true and correct on the date of such Invoice.</w:t>
      </w:r>
    </w:p>
    <w:p>
      <w:pPr>
        <w:pStyle w:val="bodytext1"/>
        <w:bidi w:val="0"/>
        <w:spacing w:lineRule="atLeast" w:line="240"/>
        <w:jc w:val="start"/>
        <w:rPr>
          <w:rFonts w:ascii="Times New Roman" w:hAnsi="Times New Roman"/>
          <w:sz w:val="23"/>
        </w:rPr>
      </w:pPr>
      <w:r>
        <w:rPr>
          <w:sz w:val="23"/>
        </w:rPr>
        <w:t>Contractor also shall supply such other information as reasonably required by Owner.</w:t>
      </w:r>
    </w:p>
    <w:p>
      <w:pPr>
        <w:pStyle w:val="BodyText"/>
        <w:bidi w:val="0"/>
        <w:rPr>
          <w:rFonts w:ascii="Times New Roman" w:hAnsi="Times New Roman"/>
        </w:rPr>
      </w:pPr>
      <w:r>
        <w:rPr/>
      </w:r>
    </w:p>
    <w:p>
      <w:pPr>
        <w:pStyle w:val="BodyText"/>
        <w:bidi w:val="0"/>
        <w:rPr>
          <w:rFonts w:ascii="Times New Roman" w:hAnsi="Times New Roman"/>
        </w:rPr>
      </w:pPr>
      <w:r>
        <w:rPr/>
        <w:tab/>
        <w:t>7.2.3</w:t>
        <w:tab/>
      </w:r>
      <w:r>
        <w:rPr>
          <w:u w:val="single"/>
        </w:rPr>
        <w:t>Monthly Payments</w:t>
      </w:r>
      <w:r>
        <w:rPr/>
        <w:t>.    Subject to Section 7.2.4, after Owner has issued the Notice to Proceed, Owner shall pay to Contractor within thirty (30) days following the date Owner receives each invoice under Section 7.2.2 the full undisputed amount specified in such invoice</w:t>
      </w:r>
      <w:r>
        <w:rPr>
          <w:strike/>
        </w:rPr>
        <w:t>&lt;; provided, however, that the sum total of all amounts payable by Owner under each such invoice, together with all prior and concurrent payments to Contractor made hereunder shall not exceed, as of any given payment date, the applicable cumulative monthly payment limitation set forth in the Not-to-Exceed Payment Schedule&gt;</w:t>
      </w:r>
      <w:r>
        <w:rPr/>
        <w:t>.    All payments made by Owner to Contractor hereunder shall be made by wire transfer of immediately available funds to the account of Contractor designated by written notice to Owner.</w:t>
      </w:r>
    </w:p>
    <w:p>
      <w:pPr>
        <w:pStyle w:val="BodyText"/>
        <w:bidi w:val="0"/>
        <w:rPr>
          <w:rFonts w:ascii="Times New Roman" w:hAnsi="Times New Roman"/>
        </w:rPr>
      </w:pPr>
      <w:r>
        <w:rPr/>
      </w:r>
    </w:p>
    <w:p>
      <w:pPr>
        <w:pStyle w:val="BodyText"/>
        <w:bidi w:val="0"/>
        <w:rPr>
          <w:rFonts w:ascii="Times New Roman" w:hAnsi="Times New Roman"/>
          <w:b/>
        </w:rPr>
      </w:pPr>
      <w:r>
        <w:rPr/>
        <w:tab/>
        <w:t>7.2.4</w:t>
        <w:tab/>
      </w:r>
      <w:r>
        <w:rPr>
          <w:u w:val="single"/>
        </w:rPr>
        <w:t>Retainage</w:t>
      </w:r>
      <w:r>
        <w:rPr/>
        <w:t xml:space="preserve">.    </w:t>
      </w:r>
      <w:r>
        <w:rPr>
          <w:strike/>
        </w:rPr>
        <w:t>&lt;Ten&gt;</w:t>
      </w:r>
      <w:r>
        <w:rPr>
          <w:b/>
          <w:u w:val="double"/>
        </w:rPr>
        <w:t>_______</w:t>
      </w:r>
      <w:r>
        <w:rPr/>
        <w:t xml:space="preserve"> percent </w:t>
      </w:r>
      <w:r>
        <w:rPr>
          <w:strike/>
        </w:rPr>
        <w:t>&lt;(10%)&gt;</w:t>
      </w:r>
      <w:r>
        <w:rPr>
          <w:b/>
          <w:u w:val="double"/>
        </w:rPr>
        <w:t>(__%)</w:t>
      </w:r>
      <w:r>
        <w:rPr/>
        <w:t xml:space="preserve"> of each Invoice shall be withheld as retainage (the “Retainage”). The last </w:t>
      </w:r>
      <w:r>
        <w:rPr>
          <w:strike/>
        </w:rPr>
        <w:t>&lt;ten&gt;</w:t>
      </w:r>
      <w:r>
        <w:rPr>
          <w:b/>
          <w:u w:val="double"/>
        </w:rPr>
        <w:t>_____</w:t>
      </w:r>
      <w:r>
        <w:rPr/>
        <w:t xml:space="preserve"> percent </w:t>
      </w:r>
      <w:r>
        <w:rPr>
          <w:strike/>
        </w:rPr>
        <w:t>&lt;(10%)&gt;</w:t>
      </w:r>
      <w:r>
        <w:rPr>
          <w:b/>
          <w:u w:val="double"/>
        </w:rPr>
        <w:t>(__%)</w:t>
      </w:r>
      <w:r>
        <w:rPr/>
        <w:t xml:space="preserve"> payable under this Agreement shall be retained by </w:t>
      </w:r>
      <w:r>
        <w:rPr>
          <w:strike/>
        </w:rPr>
        <w:t>&lt;Owner &gt;</w:t>
      </w:r>
      <w:r>
        <w:rPr>
          <w:b/>
          <w:u w:val="double"/>
        </w:rPr>
        <w:t>Construction Manager, on behalf of Owner,</w:t>
      </w:r>
      <w:r>
        <w:rPr/>
        <w:t xml:space="preserve"> until the earlier of expiry of the Warranty Period or the posting of the Retention Bond </w:t>
      </w:r>
      <w:r>
        <w:rPr>
          <w:strike/>
        </w:rPr>
        <w:t>&lt;pursuant to&gt;</w:t>
      </w:r>
      <w:r>
        <w:rPr/>
        <w:t xml:space="preserve"> </w:t>
      </w:r>
      <w:r>
        <w:rPr>
          <w:b/>
          <w:u w:val="double"/>
        </w:rPr>
        <w:t>under</w:t>
      </w:r>
      <w:r>
        <w:rPr/>
        <w:t xml:space="preserve"> Section 21.1.    In lieu of the retainage described in this Section 7.2.4, Contractor at its sole cost at any time may substitute an irrevocable standby letter of credit </w:t>
      </w:r>
      <w:r>
        <w:rPr>
          <w:b/>
          <w:u w:val="double"/>
        </w:rPr>
        <w:t>or bank guarantee</w:t>
      </w:r>
      <w:r>
        <w:rPr/>
        <w:t xml:space="preserve"> in form </w:t>
      </w:r>
      <w:r>
        <w:rPr>
          <w:b/>
          <w:u w:val="double"/>
        </w:rPr>
        <w:t>reasonably acceptable to Owner</w:t>
      </w:r>
      <w:r>
        <w:rPr/>
        <w:t>, and issued by a financial institution</w:t>
      </w:r>
      <w:r>
        <w:rPr>
          <w:strike/>
        </w:rPr>
        <w:t>&lt;, acceptable to Owner and Lender in their sole discretion&gt;</w:t>
      </w:r>
      <w:r>
        <w:rPr/>
        <w:t xml:space="preserve"> </w:t>
      </w:r>
      <w:r>
        <w:rPr>
          <w:b/>
          <w:u w:val="double"/>
        </w:rPr>
        <w:t>rated at least “A” by Standard &amp; Poor’s Corporation and at least “A2” by Moody’s Investors Service</w:t>
      </w:r>
      <w:r>
        <w:rPr/>
        <w:t xml:space="preserve">.    The amount of the letter of credit shall be the same as the total retainage Owner would otherwise have been able to withhold under this Section.    </w:t>
      </w:r>
      <w:r>
        <w:rPr>
          <w:strike/>
        </w:rPr>
        <w:t>&lt;Owner &gt;</w:t>
      </w:r>
      <w:r>
        <w:rPr>
          <w:b/>
          <w:u w:val="double"/>
        </w:rPr>
        <w:t>Construction Manager, on behalf of Owner,</w:t>
      </w:r>
      <w:r>
        <w:rPr/>
        <w:t xml:space="preserve"> may draw upon the letter of credit to cure any default by Contractor or to compensate Owner for any loss suffered as a result of Contractor’s default.    </w:t>
      </w:r>
      <w:r>
        <w:rPr>
          <w:b/>
          <w:u w:val="double"/>
        </w:rPr>
        <w:t>[Under review by EGF.]</w:t>
      </w:r>
    </w:p>
    <w:p>
      <w:pPr>
        <w:pStyle w:val="BodyText"/>
        <w:bidi w:val="0"/>
        <w:rPr>
          <w:rFonts w:ascii="Times New Roman" w:hAnsi="Times New Roman"/>
        </w:rPr>
      </w:pPr>
      <w:r>
        <w:rPr/>
      </w:r>
    </w:p>
    <w:p>
      <w:pPr>
        <w:pStyle w:val="BodyText"/>
        <w:bidi w:val="0"/>
        <w:rPr>
          <w:rFonts w:ascii="Times New Roman" w:hAnsi="Times New Roman"/>
        </w:rPr>
      </w:pPr>
      <w:r>
        <w:rPr/>
        <w:tab/>
        <w:t>7.2.5</w:t>
        <w:tab/>
      </w:r>
      <w:r>
        <w:rPr>
          <w:u w:val="single"/>
        </w:rPr>
        <w:t>Final Payment</w:t>
      </w:r>
      <w:r>
        <w:rPr/>
        <w:t>.    Following Substantial Completion, Contractor shall submit to Owner a statement summarizing and reconciling all previous Invoices, payments, and Changes and an affidavit that all payrolls, payroll taxes, liens, charges, claims, demands, judgments, security interests, bills for materials and Equipment, and other indebtedness for which Contractor may in any way be responsible, have been paid or released, as the case may be</w:t>
      </w:r>
      <w:r>
        <w:rPr>
          <w:strike/>
        </w:rPr>
        <w:t>&lt;,&gt;</w:t>
      </w:r>
      <w:r>
        <w:rPr>
          <w:b/>
          <w:u w:val="double"/>
        </w:rPr>
        <w:t>.    The affidavit shall be</w:t>
      </w:r>
      <w:r>
        <w:rPr/>
        <w:t xml:space="preserve"> accompanied by releases and waivers of liens substantially in the form of </w:t>
      </w:r>
      <w:r>
        <w:rPr>
          <w:u w:val="single"/>
        </w:rPr>
        <w:t>Exhibit D-1</w:t>
      </w:r>
      <w:r>
        <w:rPr/>
        <w:t xml:space="preserve">, from Contractor and each of its Subcontractors having a subcontract value in excess of </w:t>
      </w:r>
      <w:r>
        <w:rPr>
          <w:strike/>
        </w:rPr>
        <w:t>&lt;$1,000,000.00&gt;</w:t>
      </w:r>
      <w:r>
        <w:rPr/>
        <w:t xml:space="preserve"> </w:t>
      </w:r>
      <w:r>
        <w:rPr>
          <w:b/>
          <w:u w:val="double"/>
        </w:rPr>
        <w:t>$_________</w:t>
      </w:r>
      <w:r>
        <w:rPr/>
        <w:t>, and such other data as Owner or any Lender may reasonably request establishing payment of or surety for payment of all such obligations.    To the extent there is a bona fide dispute with a Subcontractor, Contractor and Owner may agree to the posting of a letter of credit paid for by Contractor and issued by a commercial bank assigned a rating of at least “A” by Standard &amp; Poor’s or other similarly recognized national rating agency, or an escrow of funds to satisfy any such Subcontractor in lieu of such waiver.    Within thirty (30) days of Contractor having met all requirements of Final Completion (except for completion of Punch List Items), Owner shall pay Contractor the remaining portion of the Contract Price, less any Punchlist Withholding and there shall be no further Retainage requirement or obligation to maintain a Retention Bond except to the extent of any required Punchlist Withholding.</w:t>
      </w:r>
    </w:p>
    <w:p>
      <w:pPr>
        <w:pStyle w:val="BodyText"/>
        <w:bidi w:val="0"/>
        <w:rPr>
          <w:rFonts w:ascii="Times New Roman" w:hAnsi="Times New Roman"/>
        </w:rPr>
      </w:pPr>
      <w:r>
        <w:rPr/>
      </w:r>
    </w:p>
    <w:p>
      <w:pPr>
        <w:pStyle w:val="Style2toc"/>
        <w:bidi w:val="0"/>
        <w:rPr>
          <w:rFonts w:ascii="Times New Roman" w:hAnsi="Times New Roman"/>
        </w:rPr>
      </w:pPr>
      <w:r>
        <w:rPr/>
        <w:t>7.3</w:t>
        <w:tab/>
      </w:r>
      <w:r>
        <w:rPr>
          <w:u w:val="single"/>
        </w:rPr>
        <w:t>Payments Not Waiver or Acceptance of Work</w:t>
      </w:r>
      <w:r>
        <w:fldChar w:fldCharType="begin"/>
      </w:r>
      <w:r>
        <w:rPr>
          <w:u w:val="single"/>
          <w:vanish/>
        </w:rPr>
        <w:instrText xml:space="preserve"> TC "7.3</w:instrText>
        <w:tab/>
        <w:instrText xml:space="preserve">Payments Not Waiver or Acceptance of Work672" \l 1 </w:instrText>
      </w:r>
      <w:r>
        <w:rPr>
          <w:u w:val="single"/>
          <w:vanish/>
        </w:rPr>
        <w:fldChar w:fldCharType="separate"/>
      </w:r>
      <w:bookmarkStart w:id="223" w:name="_Toc497198942"/>
      <w:bookmarkStart w:id="224" w:name="_Toc493577486"/>
      <w:bookmarkStart w:id="225" w:name="_Toc496784620"/>
      <w:bookmarkStart w:id="226" w:name="_Toc496784897"/>
      <w:bookmarkEnd w:id="223"/>
      <w:bookmarkEnd w:id="224"/>
      <w:bookmarkEnd w:id="225"/>
      <w:bookmarkEnd w:id="226"/>
      <w:r>
        <w:rPr>
          <w:vanish/>
          <w:u w:val="single"/>
        </w:rPr>
      </w:r>
      <w:r>
        <w:rPr>
          <w:u w:val="single"/>
          <w:vanish/>
        </w:rPr>
        <w:fldChar w:fldCharType="end"/>
      </w:r>
      <w:r>
        <w:rPr>
          <w:strike/>
        </w:rPr>
        <w:t>&lt;&lt;*&gt;&gt;</w:t>
      </w:r>
      <w:r>
        <w:rPr/>
        <w:t xml:space="preserve">.    No payment made by Owner under this Agreement shall constitute a waiver of any claim or right Owner may have at that time or thereafter, including claims regarding unsettled liens, warranty rights and indemnification obligations of Contractor.    No payment made by Owner under this Agreement shall be considered or deemed to represent that Owner has inspected the Work or checked the quality or quantity of the Work or that Owner knows or has ascertained how or for what purpose Contractor has used sums previously paid, and shall not be deemed or construed as an approval or acceptance of any Work or as a waiver of any claim or right Owner may have </w:t>
      </w:r>
      <w:r>
        <w:rPr>
          <w:strike/>
        </w:rPr>
        <w:t>&lt;hereunder&gt;</w:t>
      </w:r>
      <w:r>
        <w:rPr/>
        <w:t>.    All payments shall be subject to correction or adjustment in subsequent progress reviews and payments.</w:t>
      </w:r>
    </w:p>
    <w:p>
      <w:pPr>
        <w:pStyle w:val="bodytext2level"/>
        <w:keepNext w:val="true"/>
        <w:bidi w:val="0"/>
        <w:spacing w:lineRule="auto" w:line="240"/>
        <w:ind w:hanging="0" w:start="720"/>
        <w:jc w:val="both"/>
        <w:rPr>
          <w:rFonts w:ascii="Times New Roman" w:hAnsi="Times New Roman"/>
          <w:sz w:val="23"/>
        </w:rPr>
      </w:pPr>
      <w:r>
        <w:rPr>
          <w:sz w:val="23"/>
        </w:rPr>
        <w:t>7.4</w:t>
        <w:tab/>
      </w:r>
      <w:r>
        <w:rPr>
          <w:color w:val="00007F"/>
          <w:sz w:val="23"/>
          <w:u w:val="single"/>
        </w:rPr>
        <w:t>Payments Withheld</w:t>
      </w:r>
      <w:r>
        <w:fldChar w:fldCharType="begin"/>
      </w:r>
      <w:r>
        <w:rPr>
          <w:sz w:val="23"/>
          <w:u w:val="single"/>
          <w:vanish/>
          <w:color w:val="00007F"/>
        </w:rPr>
        <w:instrText xml:space="preserve"> TC "7.4</w:instrText>
        <w:tab/>
        <w:instrText xml:space="preserve">Payments Withheld672" \l 1 </w:instrText>
      </w:r>
      <w:r>
        <w:rPr>
          <w:sz w:val="23"/>
          <w:u w:val="single"/>
          <w:vanish/>
          <w:color w:val="00007F"/>
        </w:rPr>
        <w:fldChar w:fldCharType="separate"/>
      </w:r>
      <w:bookmarkStart w:id="227" w:name="_Toc496784621"/>
      <w:bookmarkStart w:id="228" w:name="_Toc497198943"/>
      <w:bookmarkStart w:id="229" w:name="_Toc496784898"/>
      <w:bookmarkEnd w:id="227"/>
      <w:bookmarkEnd w:id="228"/>
      <w:bookmarkEnd w:id="229"/>
      <w:r>
        <w:rPr>
          <w:vanish/>
          <w:color w:val="00007F"/>
          <w:sz w:val="23"/>
          <w:u w:val="single"/>
        </w:rPr>
      </w:r>
      <w:r>
        <w:rPr>
          <w:sz w:val="23"/>
          <w:u w:val="single"/>
          <w:vanish/>
          <w:color w:val="00007F"/>
        </w:rPr>
        <w:fldChar w:fldCharType="end"/>
      </w:r>
      <w:r>
        <w:rPr>
          <w:color w:val="00007F"/>
          <w:sz w:val="23"/>
        </w:rPr>
        <w:t>.</w:t>
      </w:r>
      <w:r>
        <w:rPr>
          <w:sz w:val="23"/>
        </w:rPr>
        <w:t xml:space="preserve">    </w:t>
      </w:r>
    </w:p>
    <w:p>
      <w:pPr>
        <w:pStyle w:val="bodytext1"/>
        <w:bidi w:val="0"/>
        <w:spacing w:lineRule="atLeast" w:line="240"/>
        <w:ind w:hanging="0" w:start="720"/>
        <w:jc w:val="both"/>
        <w:rPr>
          <w:rFonts w:ascii="Times New Roman" w:hAnsi="Times New Roman"/>
          <w:sz w:val="23"/>
        </w:rPr>
      </w:pPr>
      <w:r>
        <w:rPr>
          <w:sz w:val="23"/>
        </w:rPr>
        <w:t xml:space="preserve">Owner may withhold payment on an Invoice or a portion thereof in an amount and to such extent as may be reasonably necessary, subject to the dispute resolution provisions of Article 19 (including if necessary Fast Track Arbitration </w:t>
      </w:r>
      <w:r>
        <w:rPr>
          <w:strike/>
          <w:sz w:val="23"/>
        </w:rPr>
        <w:t>&lt;pursuant to&gt;</w:t>
      </w:r>
      <w:r>
        <w:rPr>
          <w:sz w:val="23"/>
        </w:rPr>
        <w:t xml:space="preserve"> </w:t>
      </w:r>
      <w:r>
        <w:rPr>
          <w:b/>
          <w:sz w:val="23"/>
          <w:u w:val="double"/>
        </w:rPr>
        <w:t>under</w:t>
      </w:r>
      <w:r>
        <w:rPr>
          <w:sz w:val="23"/>
        </w:rPr>
        <w:t xml:space="preserve"> Section 19.2) to protect Owner from loss because of:</w:t>
      </w:r>
    </w:p>
    <w:p>
      <w:pPr>
        <w:pStyle w:val="List2"/>
        <w:bidi w:val="0"/>
        <w:ind w:firstLine="720" w:start="720"/>
        <w:jc w:val="both"/>
        <w:rPr>
          <w:rFonts w:ascii="Times New Roman" w:hAnsi="Times New Roman"/>
          <w:sz w:val="23"/>
        </w:rPr>
      </w:pPr>
      <w:r>
        <w:rPr>
          <w:rFonts w:ascii="Times New Roman" w:hAnsi="Times New Roman"/>
          <w:sz w:val="23"/>
        </w:rPr>
        <w:t>(a)</w:t>
        <w:tab/>
        <w:t xml:space="preserve">Work that is not in conformance with this Agreement and has not been remedied </w:t>
      </w:r>
      <w:r>
        <w:rPr>
          <w:rFonts w:ascii="Times New Roman" w:hAnsi="Times New Roman"/>
          <w:strike/>
          <w:sz w:val="23"/>
        </w:rPr>
        <w:t>&lt;pursuant to&gt;</w:t>
      </w:r>
      <w:r>
        <w:rPr>
          <w:rFonts w:ascii="Times New Roman" w:hAnsi="Times New Roman"/>
          <w:sz w:val="23"/>
        </w:rPr>
        <w:t xml:space="preserve"> </w:t>
      </w:r>
      <w:r>
        <w:rPr>
          <w:rFonts w:ascii="Times New Roman" w:hAnsi="Times New Roman"/>
          <w:b/>
          <w:sz w:val="23"/>
          <w:u w:val="double"/>
        </w:rPr>
        <w:t>under</w:t>
      </w:r>
      <w:r>
        <w:rPr>
          <w:rFonts w:ascii="Times New Roman" w:hAnsi="Times New Roman"/>
          <w:sz w:val="23"/>
        </w:rPr>
        <w:t xml:space="preserve"> Section 3.14.2 or the warranty provisions of Article 12;</w:t>
      </w:r>
    </w:p>
    <w:p>
      <w:pPr>
        <w:pStyle w:val="List2"/>
        <w:bidi w:val="0"/>
        <w:ind w:firstLine="720" w:start="720"/>
        <w:jc w:val="both"/>
        <w:rPr>
          <w:rFonts w:ascii="Times New Roman" w:hAnsi="Times New Roman"/>
          <w:sz w:val="23"/>
        </w:rPr>
      </w:pPr>
      <w:r>
        <w:rPr>
          <w:rFonts w:ascii="Times New Roman" w:hAnsi="Times New Roman"/>
          <w:sz w:val="23"/>
        </w:rPr>
        <w:t>(b)</w:t>
        <w:tab/>
        <w:t>third party suits, stop notices or liens for which Contractor is responsible under this Agreement, whether directly or pursuant to any indemnification obligation hereunder, made on or filed against any Owner Indemnitee or with respect to the Work, the Site or the Facility, or any portion thereof, and not cleared by Contractor by payment, letter of credit, deposit or otherwise to Owner’s reasonable satisfaction within ten (10) days after filing or receipt by Owner, whichever is earlier, even if Contractor is contesting the amount due;</w:t>
      </w:r>
    </w:p>
    <w:p>
      <w:pPr>
        <w:pStyle w:val="List2"/>
        <w:bidi w:val="0"/>
        <w:ind w:firstLine="720" w:start="720"/>
        <w:jc w:val="both"/>
        <w:rPr>
          <w:rFonts w:ascii="Times New Roman" w:hAnsi="Times New Roman"/>
          <w:sz w:val="23"/>
        </w:rPr>
      </w:pPr>
      <w:r>
        <w:rPr>
          <w:rFonts w:ascii="Times New Roman" w:hAnsi="Times New Roman"/>
          <w:sz w:val="23"/>
        </w:rPr>
        <w:t>(c)</w:t>
        <w:tab/>
        <w:t>uninsured damage to Owner, any Subcontractor or Owner Indemnitee which results solely from Contractor’s failure to obtain or maintain the insurance required by the provisions of Article 9 or from any action or inaction by Contractor or any Subcontractor which excuses any insurer from liability for any loss or claim otherwise covered by insurance;</w:t>
      </w:r>
    </w:p>
    <w:p>
      <w:pPr>
        <w:pStyle w:val="List2"/>
        <w:bidi w:val="0"/>
        <w:ind w:firstLine="720" w:start="720"/>
        <w:jc w:val="both"/>
        <w:rPr>
          <w:rFonts w:ascii="Times New Roman" w:hAnsi="Times New Roman"/>
          <w:sz w:val="23"/>
        </w:rPr>
      </w:pPr>
      <w:r>
        <w:rPr>
          <w:rFonts w:ascii="Times New Roman" w:hAnsi="Times New Roman"/>
          <w:sz w:val="23"/>
        </w:rPr>
        <w:t>(d)</w:t>
        <w:tab/>
      </w:r>
      <w:r>
        <w:rPr>
          <w:rFonts w:ascii="Times New Roman" w:hAnsi="Times New Roman"/>
          <w:b/>
          <w:sz w:val="23"/>
          <w:u w:val="double"/>
        </w:rPr>
        <w:t>Contractor’s</w:t>
      </w:r>
      <w:r>
        <w:rPr>
          <w:rFonts w:ascii="Times New Roman" w:hAnsi="Times New Roman"/>
          <w:sz w:val="23"/>
        </w:rPr>
        <w:t xml:space="preserve"> failure </w:t>
      </w:r>
      <w:r>
        <w:rPr>
          <w:rFonts w:ascii="Times New Roman" w:hAnsi="Times New Roman"/>
          <w:strike/>
          <w:sz w:val="23"/>
        </w:rPr>
        <w:t>&lt;of Contractor&gt;</w:t>
      </w:r>
      <w:r>
        <w:rPr>
          <w:rFonts w:ascii="Times New Roman" w:hAnsi="Times New Roman"/>
          <w:sz w:val="23"/>
        </w:rPr>
        <w:t xml:space="preserve"> to pay Subcontractors, or for labor, materials or equipment, except to the extent Contractor is contesting the amount due;</w:t>
      </w:r>
    </w:p>
    <w:p>
      <w:pPr>
        <w:pStyle w:val="List2"/>
        <w:bidi w:val="0"/>
        <w:ind w:firstLine="720" w:start="720"/>
        <w:jc w:val="both"/>
        <w:rPr>
          <w:rFonts w:ascii="Times New Roman" w:hAnsi="Times New Roman"/>
          <w:sz w:val="23"/>
        </w:rPr>
      </w:pPr>
      <w:r>
        <w:rPr>
          <w:rFonts w:ascii="Times New Roman" w:hAnsi="Times New Roman"/>
          <w:sz w:val="23"/>
        </w:rPr>
        <w:t>(e)</w:t>
        <w:tab/>
      </w:r>
      <w:r>
        <w:rPr>
          <w:rFonts w:ascii="Times New Roman" w:hAnsi="Times New Roman"/>
          <w:b/>
          <w:sz w:val="23"/>
          <w:u w:val="double"/>
        </w:rPr>
        <w:t>Contractor’s</w:t>
      </w:r>
      <w:r>
        <w:rPr>
          <w:rFonts w:ascii="Times New Roman" w:hAnsi="Times New Roman"/>
          <w:sz w:val="23"/>
        </w:rPr>
        <w:t xml:space="preserve"> failure </w:t>
      </w:r>
      <w:r>
        <w:rPr>
          <w:rFonts w:ascii="Times New Roman" w:hAnsi="Times New Roman"/>
          <w:strike/>
          <w:sz w:val="23"/>
        </w:rPr>
        <w:t>&lt;of Contractor&gt;</w:t>
      </w:r>
      <w:r>
        <w:rPr>
          <w:rFonts w:ascii="Times New Roman" w:hAnsi="Times New Roman"/>
          <w:sz w:val="23"/>
        </w:rPr>
        <w:t xml:space="preserve"> to submit proper Invoices with all required attachments and supporting documentation; or</w:t>
      </w:r>
    </w:p>
    <w:p>
      <w:pPr>
        <w:pStyle w:val="List2"/>
        <w:bidi w:val="0"/>
        <w:ind w:firstLine="720" w:start="720"/>
        <w:jc w:val="both"/>
        <w:rPr>
          <w:rFonts w:ascii="Times New Roman" w:hAnsi="Times New Roman"/>
          <w:sz w:val="23"/>
        </w:rPr>
      </w:pPr>
      <w:r>
        <w:rPr>
          <w:rFonts w:ascii="Times New Roman" w:hAnsi="Times New Roman"/>
          <w:sz w:val="23"/>
        </w:rPr>
        <w:t>(f)</w:t>
        <w:tab/>
      </w:r>
      <w:r>
        <w:rPr>
          <w:rFonts w:ascii="Times New Roman" w:hAnsi="Times New Roman"/>
          <w:b/>
          <w:sz w:val="23"/>
          <w:u w:val="double"/>
        </w:rPr>
        <w:t>Contractor’s</w:t>
      </w:r>
      <w:r>
        <w:rPr>
          <w:rFonts w:ascii="Times New Roman" w:hAnsi="Times New Roman"/>
          <w:sz w:val="23"/>
        </w:rPr>
        <w:t xml:space="preserve"> failure </w:t>
      </w:r>
      <w:r>
        <w:rPr>
          <w:rFonts w:ascii="Times New Roman" w:hAnsi="Times New Roman"/>
          <w:strike/>
          <w:sz w:val="23"/>
        </w:rPr>
        <w:t>&lt;of Contractor&gt;</w:t>
      </w:r>
      <w:r>
        <w:rPr>
          <w:rFonts w:ascii="Times New Roman" w:hAnsi="Times New Roman"/>
          <w:sz w:val="23"/>
        </w:rPr>
        <w:t xml:space="preserve"> to comply with any material provision of this Agreement.</w:t>
      </w:r>
    </w:p>
    <w:p>
      <w:pPr>
        <w:pStyle w:val="BodyText"/>
        <w:bidi w:val="0"/>
        <w:rPr>
          <w:rFonts w:ascii="Times New Roman" w:hAnsi="Times New Roman"/>
        </w:rPr>
      </w:pPr>
      <w:r>
        <w:rPr/>
      </w:r>
    </w:p>
    <w:p>
      <w:pPr>
        <w:pStyle w:val="Style2toc"/>
        <w:bidi w:val="0"/>
        <w:rPr>
          <w:rFonts w:ascii="Times New Roman" w:hAnsi="Times New Roman"/>
        </w:rPr>
      </w:pPr>
      <w:r>
        <w:rPr/>
        <w:t>7.5</w:t>
        <w:tab/>
      </w:r>
      <w:r>
        <w:rPr>
          <w:u w:val="single"/>
        </w:rPr>
        <w:t>Payment of Subcontractors</w:t>
      </w:r>
      <w:r>
        <w:fldChar w:fldCharType="begin"/>
      </w:r>
      <w:r>
        <w:rPr>
          <w:u w:val="single"/>
          <w:vanish/>
        </w:rPr>
        <w:instrText xml:space="preserve"> TC "7.5</w:instrText>
        <w:tab/>
        <w:instrText xml:space="preserve">Payment of Subcontractors672" \l 1 </w:instrText>
      </w:r>
      <w:r>
        <w:rPr>
          <w:u w:val="single"/>
          <w:vanish/>
        </w:rPr>
        <w:fldChar w:fldCharType="separate"/>
      </w:r>
      <w:bookmarkStart w:id="230" w:name="_Toc493577487"/>
      <w:bookmarkStart w:id="231" w:name="_Toc497198944"/>
      <w:bookmarkStart w:id="232" w:name="_Toc496784899"/>
      <w:bookmarkStart w:id="233" w:name="_Toc496784622"/>
      <w:bookmarkEnd w:id="230"/>
      <w:bookmarkEnd w:id="231"/>
      <w:bookmarkEnd w:id="232"/>
      <w:bookmarkEnd w:id="233"/>
      <w:r>
        <w:rPr>
          <w:vanish/>
          <w:u w:val="single"/>
        </w:rPr>
      </w:r>
      <w:r>
        <w:rPr>
          <w:u w:val="single"/>
          <w:vanish/>
        </w:rPr>
        <w:fldChar w:fldCharType="end"/>
      </w:r>
      <w:r>
        <w:rPr>
          <w:strike/>
        </w:rPr>
        <w:t>&lt;&lt;*&gt;&gt;</w:t>
      </w:r>
      <w:r>
        <w:rPr/>
        <w:t xml:space="preserve">.    Contractor shall promptly pay, in accordance with the terms and conditions set forth in the respective Subcontract, each Subcontractor the amount to which said Subcontractor is entitled.    Contractor </w:t>
      </w:r>
      <w:r>
        <w:rPr>
          <w:strike/>
        </w:rPr>
        <w:t>&lt;shall&gt;</w:t>
      </w:r>
      <w:r>
        <w:rPr/>
        <w:t xml:space="preserve">, by an appropriate agreement with each Subcontractor, </w:t>
      </w:r>
      <w:r>
        <w:rPr>
          <w:b/>
          <w:u w:val="double"/>
        </w:rPr>
        <w:t>shall</w:t>
      </w:r>
      <w:r>
        <w:rPr/>
        <w:t xml:space="preserve"> require each Subcontractor to make timely payments to its laborers, suppliers, and subcontractors in a similar manner.</w:t>
      </w:r>
    </w:p>
    <w:p>
      <w:pPr>
        <w:pStyle w:val="BodyText"/>
        <w:bidi w:val="0"/>
        <w:rPr>
          <w:rFonts w:ascii="Times New Roman" w:hAnsi="Times New Roman"/>
        </w:rPr>
      </w:pPr>
      <w:r>
        <w:rPr/>
      </w:r>
    </w:p>
    <w:p>
      <w:pPr>
        <w:pStyle w:val="Style2toc"/>
        <w:bidi w:val="0"/>
        <w:rPr>
          <w:rFonts w:ascii="Times New Roman" w:hAnsi="Times New Roman"/>
        </w:rPr>
      </w:pPr>
      <w:r>
        <w:rPr/>
        <w:t>7.6</w:t>
        <w:tab/>
      </w:r>
      <w:r>
        <w:rPr>
          <w:u w:val="single"/>
        </w:rPr>
        <w:t>Waiver of Liens</w:t>
      </w:r>
      <w:r>
        <w:fldChar w:fldCharType="begin"/>
      </w:r>
      <w:r>
        <w:rPr>
          <w:u w:val="single"/>
          <w:vanish/>
        </w:rPr>
        <w:instrText xml:space="preserve"> TC "7.6</w:instrText>
        <w:tab/>
        <w:instrText xml:space="preserve">Waiver of Liens672" \l 1 </w:instrText>
      </w:r>
      <w:r>
        <w:rPr>
          <w:u w:val="single"/>
          <w:vanish/>
        </w:rPr>
        <w:fldChar w:fldCharType="separate"/>
      </w:r>
      <w:bookmarkStart w:id="234" w:name="_Toc493577488"/>
      <w:bookmarkStart w:id="235" w:name="_Toc497198945"/>
      <w:bookmarkStart w:id="236" w:name="_Toc496784900"/>
      <w:bookmarkStart w:id="237" w:name="_Toc496784623"/>
      <w:bookmarkEnd w:id="234"/>
      <w:bookmarkEnd w:id="235"/>
      <w:bookmarkEnd w:id="236"/>
      <w:bookmarkEnd w:id="237"/>
      <w:r>
        <w:rPr>
          <w:vanish/>
          <w:u w:val="single"/>
        </w:rPr>
      </w:r>
      <w:r>
        <w:rPr>
          <w:u w:val="single"/>
          <w:vanish/>
        </w:rPr>
        <w:fldChar w:fldCharType="end"/>
      </w:r>
      <w:r>
        <w:rPr>
          <w:strike/>
        </w:rPr>
        <w:t>&lt;&lt;*&gt;&gt;</w:t>
      </w:r>
      <w:r>
        <w:rPr/>
        <w:t xml:space="preserve">.    As a condition precedent to Owner’s obligation to make progress payments under this Agreement, Contractor shall supply Owner with releases and waivers of liens substantially in the form of </w:t>
      </w:r>
      <w:r>
        <w:rPr>
          <w:u w:val="single"/>
        </w:rPr>
        <w:t>Exhibit D-2</w:t>
      </w:r>
      <w:r>
        <w:rPr/>
        <w:t xml:space="preserve"> from Contractor and each of its Subcontractors </w:t>
      </w:r>
      <w:r>
        <w:rPr>
          <w:strike/>
        </w:rPr>
        <w:t>&lt;have&gt;</w:t>
      </w:r>
      <w:r>
        <w:rPr/>
        <w:t xml:space="preserve"> </w:t>
      </w:r>
      <w:r>
        <w:rPr>
          <w:b/>
          <w:u w:val="double"/>
        </w:rPr>
        <w:t>having</w:t>
      </w:r>
      <w:r>
        <w:rPr/>
        <w:t xml:space="preserve"> a subcontract value in excess of </w:t>
      </w:r>
      <w:r>
        <w:rPr>
          <w:strike/>
        </w:rPr>
        <w:t>&lt;$1,000,000.00&gt;</w:t>
      </w:r>
      <w:r>
        <w:rPr/>
        <w:t xml:space="preserve"> </w:t>
      </w:r>
      <w:r>
        <w:rPr>
          <w:b/>
          <w:u w:val="double"/>
        </w:rPr>
        <w:t>$________</w:t>
      </w:r>
      <w:r>
        <w:rPr/>
        <w:t>.</w:t>
      </w:r>
    </w:p>
    <w:p>
      <w:pPr>
        <w:pStyle w:val="Style2toc"/>
        <w:bidi w:val="0"/>
        <w:spacing w:before="240" w:after="0"/>
        <w:rPr>
          <w:rFonts w:ascii="Times New Roman" w:hAnsi="Times New Roman"/>
        </w:rPr>
      </w:pPr>
      <w:r>
        <w:rPr/>
        <w:t>7.7</w:t>
        <w:tab/>
      </w:r>
      <w:r>
        <w:rPr>
          <w:u w:val="single"/>
        </w:rPr>
        <w:t>Interest and Disputed Invoices</w:t>
      </w:r>
      <w:r>
        <w:fldChar w:fldCharType="begin"/>
      </w:r>
      <w:r>
        <w:rPr>
          <w:u w:val="single"/>
          <w:vanish/>
        </w:rPr>
        <w:instrText xml:space="preserve"> TC "7.6</w:instrText>
        <w:tab/>
        <w:instrText xml:space="preserve">Interest and Disputed Invoices672" \l 1 </w:instrText>
      </w:r>
      <w:r>
        <w:rPr>
          <w:u w:val="single"/>
          <w:vanish/>
        </w:rPr>
        <w:fldChar w:fldCharType="separate"/>
      </w:r>
      <w:bookmarkStart w:id="238" w:name="_Toc496784624"/>
      <w:bookmarkStart w:id="239" w:name="_Toc497198946"/>
      <w:bookmarkStart w:id="240" w:name="_Toc496784901"/>
      <w:bookmarkStart w:id="241" w:name="_Toc493577489"/>
      <w:bookmarkEnd w:id="238"/>
      <w:bookmarkEnd w:id="239"/>
      <w:bookmarkEnd w:id="240"/>
      <w:bookmarkEnd w:id="241"/>
      <w:r>
        <w:rPr>
          <w:vanish/>
          <w:u w:val="single"/>
        </w:rPr>
      </w:r>
      <w:r>
        <w:rPr>
          <w:u w:val="single"/>
          <w:vanish/>
        </w:rPr>
        <w:fldChar w:fldCharType="end"/>
      </w:r>
      <w:r>
        <w:rPr>
          <w:strike/>
        </w:rPr>
        <w:t>&lt;&lt;*&gt;&gt;</w:t>
      </w:r>
      <w:r>
        <w:rPr/>
        <w:t>.    Amounts not paid by either party to the other when due under any provision of this Agreement,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which is ultimately determined to have been payable shall be paid with interest at the Default Rate from the date the item was payable to and including the actual date of payment.</w:t>
      </w:r>
    </w:p>
    <w:p>
      <w:pPr>
        <w:pStyle w:val="BodyText"/>
        <w:bidi w:val="0"/>
        <w:rPr>
          <w:rFonts w:ascii="Times New Roman" w:hAnsi="Times New Roman"/>
        </w:rPr>
      </w:pPr>
      <w:r>
        <w:rPr/>
      </w:r>
    </w:p>
    <w:p>
      <w:pPr>
        <w:pStyle w:val="BodyText"/>
        <w:bidi w:val="0"/>
        <w:rPr>
          <w:rFonts w:ascii="Times New Roman" w:hAnsi="Times New Roman"/>
        </w:rPr>
      </w:pPr>
      <w:r>
        <w:rPr>
          <w:b/>
          <w:u w:val="double"/>
        </w:rPr>
        <w:t>7.8</w:t>
      </w:r>
      <w:r>
        <w:rPr/>
        <w:tab/>
      </w:r>
      <w:r>
        <w:rPr>
          <w:b/>
          <w:u w:val="double"/>
        </w:rPr>
        <w:t>Owner’s Election.</w:t>
      </w:r>
      <w:r>
        <w:rPr/>
        <w:tab/>
      </w:r>
      <w:r>
        <w:rPr>
          <w:b/>
          <w:u w:val="double"/>
        </w:rPr>
        <w:t>By written notice to Contractor, Owner in its sole discretion may require Contractor at any time to propose a lump sum price for the Work then to be performed under this Agreement.    Contractor shall propose the lump sum price, together with supporting data, within [thirty (30)]</w:t>
      </w:r>
      <w:r>
        <w:rPr/>
        <w:t xml:space="preserve"> </w:t>
      </w:r>
      <w:r>
        <w:rPr>
          <w:b/>
          <w:u w:val="double"/>
        </w:rPr>
        <w:t>days after delivery of Owner’s notice.    The parties shall negotiate in good faith for [thirty (30)]</w:t>
      </w:r>
      <w:r>
        <w:rPr/>
        <w:t xml:space="preserve"> </w:t>
      </w:r>
      <w:r>
        <w:rPr>
          <w:b/>
          <w:u w:val="double"/>
        </w:rPr>
        <w:t>days after delivery of Contractor’s proposal to determine if they can agree on a lump sum price, and if so the parties shall promptly amend this Agreement to convert it into a lump sum contract.    If the parties cannot agree within this [thirty (30)] day period, then this Agreement shall continue in full force and effect as a cost plus contract with no guaranteed maximum price.</w:t>
      </w:r>
    </w:p>
    <w:p>
      <w:pPr>
        <w:pStyle w:val="BodyText"/>
        <w:bidi w:val="0"/>
        <w:rPr>
          <w:rFonts w:ascii="Times New Roman" w:hAnsi="Times New Roman"/>
        </w:rPr>
      </w:pPr>
      <w:r>
        <w:rPr/>
      </w:r>
    </w:p>
    <w:p>
      <w:pPr>
        <w:pStyle w:val="Style1toc"/>
        <w:bidi w:val="0"/>
        <w:rPr>
          <w:rFonts w:ascii="Times New Roman" w:hAnsi="Times New Roman"/>
        </w:rPr>
      </w:pPr>
      <w:r>
        <w:rPr/>
        <w:t>ARTICLE 8</w:t>
      </w:r>
      <w:r>
        <w:fldChar w:fldCharType="begin"/>
      </w:r>
      <w:r>
        <w:rPr>
          <w:vanish/>
        </w:rPr>
        <w:instrText xml:space="preserve"> TC "ARTICLE 8  TITLE AND RISK OF LOSS671" \l 1 </w:instrText>
      </w:r>
      <w:r>
        <w:rPr>
          <w:vanish/>
        </w:rPr>
        <w:fldChar w:fldCharType="separate"/>
      </w:r>
      <w:bookmarkStart w:id="242" w:name="_Toc493577490"/>
      <w:bookmarkStart w:id="243" w:name="_Toc497198947"/>
      <w:bookmarkStart w:id="244" w:name="_Toc496784902"/>
      <w:bookmarkStart w:id="245" w:name="_Toc496784625"/>
      <w:bookmarkEnd w:id="242"/>
      <w:bookmarkEnd w:id="243"/>
      <w:bookmarkEnd w:id="244"/>
      <w:bookmarkEnd w:id="245"/>
      <w:r>
        <w:rPr>
          <w:vanish/>
        </w:rPr>
      </w:r>
      <w:r>
        <w:rPr>
          <w:vanish/>
        </w:rPr>
        <w:fldChar w:fldCharType="end"/>
      </w:r>
      <w:r>
        <w:rPr>
          <w:strike/>
        </w:rPr>
        <w:t>&lt;&lt;*&gt;&gt;</w:t>
      </w:r>
    </w:p>
    <w:p>
      <w:pPr>
        <w:pStyle w:val="Style1toc"/>
        <w:bidi w:val="0"/>
        <w:rPr>
          <w:rFonts w:ascii="Times New Roman" w:hAnsi="Times New Roman"/>
        </w:rPr>
      </w:pPr>
      <w:r>
        <w:rPr/>
        <w:t>TITLE AND RISK OF LOSS</w:t>
      </w:r>
    </w:p>
    <w:p>
      <w:pPr>
        <w:pStyle w:val="BodyText"/>
        <w:keepNext w:val="true"/>
        <w:bidi w:val="0"/>
        <w:rPr>
          <w:rFonts w:ascii="Times New Roman" w:hAnsi="Times New Roman"/>
        </w:rPr>
      </w:pPr>
      <w:r>
        <w:rPr/>
      </w:r>
    </w:p>
    <w:p>
      <w:pPr>
        <w:pStyle w:val="Style2toc"/>
        <w:bidi w:val="0"/>
        <w:rPr>
          <w:rFonts w:ascii="Times New Roman" w:hAnsi="Times New Roman"/>
        </w:rPr>
      </w:pPr>
      <w:r>
        <w:rPr/>
        <w:t>8.1</w:t>
        <w:tab/>
      </w:r>
      <w:r>
        <w:rPr>
          <w:u w:val="single"/>
        </w:rPr>
        <w:t>Title</w:t>
      </w:r>
      <w:r>
        <w:fldChar w:fldCharType="begin"/>
      </w:r>
      <w:r>
        <w:rPr>
          <w:u w:val="single"/>
          <w:vanish/>
        </w:rPr>
        <w:instrText xml:space="preserve"> TC "8.1</w:instrText>
        <w:tab/>
        <w:instrText xml:space="preserve">Title672" \l 1 </w:instrText>
      </w:r>
      <w:r>
        <w:rPr>
          <w:u w:val="single"/>
          <w:vanish/>
        </w:rPr>
        <w:fldChar w:fldCharType="separate"/>
      </w:r>
      <w:bookmarkStart w:id="246" w:name="_Toc493577491"/>
      <w:bookmarkStart w:id="247" w:name="_Toc497198948"/>
      <w:bookmarkStart w:id="248" w:name="_Toc496784903"/>
      <w:bookmarkStart w:id="249" w:name="_Toc496784626"/>
      <w:bookmarkEnd w:id="246"/>
      <w:bookmarkEnd w:id="247"/>
      <w:bookmarkEnd w:id="248"/>
      <w:bookmarkEnd w:id="249"/>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8.1.1</w:t>
        <w:tab/>
      </w:r>
      <w:r>
        <w:rPr>
          <w:u w:val="single"/>
        </w:rPr>
        <w:t>Warranty of Title</w:t>
      </w:r>
      <w:r>
        <w:rPr/>
        <w:t>.    Contractor warrants good title to all Work, Equipment and materials to be incorporated in the Facility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w:t>
      </w:r>
    </w:p>
    <w:p>
      <w:pPr>
        <w:pStyle w:val="BodyText"/>
        <w:bidi w:val="0"/>
        <w:rPr>
          <w:rFonts w:ascii="Times New Roman" w:hAnsi="Times New Roman"/>
        </w:rPr>
      </w:pPr>
      <w:r>
        <w:rPr/>
      </w:r>
    </w:p>
    <w:p>
      <w:pPr>
        <w:pStyle w:val="BodyText"/>
        <w:bidi w:val="0"/>
        <w:rPr>
          <w:rFonts w:ascii="Times New Roman" w:hAnsi="Times New Roman"/>
        </w:rPr>
      </w:pPr>
      <w:r>
        <w:rPr/>
        <w:tab/>
        <w:t>8.1.2</w:t>
        <w:tab/>
      </w:r>
      <w:r>
        <w:rPr>
          <w:u w:val="single"/>
        </w:rPr>
        <w:t>Title to Work</w:t>
      </w:r>
      <w:r>
        <w:rPr/>
        <w:t>.</w:t>
      </w:r>
    </w:p>
    <w:p>
      <w:pPr>
        <w:pStyle w:val="BodyText"/>
        <w:bidi w:val="0"/>
        <w:rPr>
          <w:rFonts w:ascii="Times New Roman" w:hAnsi="Times New Roman"/>
        </w:rPr>
      </w:pPr>
      <w:r>
        <w:rPr/>
      </w:r>
    </w:p>
    <w:p>
      <w:pPr>
        <w:pStyle w:val="BodyTextIndent3"/>
        <w:bidi w:val="0"/>
        <w:rPr>
          <w:rFonts w:ascii="Times New Roman" w:hAnsi="Times New Roman"/>
        </w:rPr>
      </w:pPr>
      <w:r>
        <w:rPr/>
        <w:t xml:space="preserve">Title to all Work and Equipment performed and sourced outside of the United States will pass to Owner prior to departure from the port of export, or as otherwise required in accordance with the project import plan.    Title to all other Work, Equipment and materials to be incorporated in the Facility will pass to Owner upon delivery of such Equipment and materials to the Site, or if earlier the date Owner actually paid for the same (less any retention provided in this Agreement).    Notwithstanding the timing of passage of title, Contractor and its Subcontractors providing Equipment </w:t>
      </w:r>
      <w:r>
        <w:rPr>
          <w:strike/>
        </w:rPr>
        <w:t>&lt;pursuant to&gt;</w:t>
      </w:r>
      <w:r>
        <w:rPr/>
        <w:t xml:space="preserve"> </w:t>
      </w:r>
      <w:r>
        <w:rPr>
          <w:b/>
          <w:u w:val="double"/>
        </w:rPr>
        <w:t>under</w:t>
      </w:r>
      <w:r>
        <w:rPr/>
        <w:t xml:space="preserve"> this Agreement shall clearly mark all Work in progress and during the manufacturing and assembly as being prepared for the Facility so as to distinguish such material from material in preparation for other facilities or projects.</w:t>
      </w:r>
    </w:p>
    <w:p>
      <w:pPr>
        <w:pStyle w:val="BodyText"/>
        <w:bidi w:val="0"/>
        <w:rPr>
          <w:rFonts w:ascii="Times New Roman" w:hAnsi="Times New Roman"/>
        </w:rPr>
      </w:pPr>
      <w:r>
        <w:rPr/>
      </w:r>
    </w:p>
    <w:p>
      <w:pPr>
        <w:pStyle w:val="BodyText"/>
        <w:bidi w:val="0"/>
        <w:rPr>
          <w:rFonts w:ascii="Times New Roman" w:hAnsi="Times New Roman"/>
        </w:rPr>
      </w:pPr>
      <w:r>
        <w:rPr/>
        <w:tab/>
        <w:t>8.1.3</w:t>
        <w:tab/>
      </w:r>
      <w:r>
        <w:rPr>
          <w:u w:val="single"/>
        </w:rPr>
        <w:t>Title to Drawings</w:t>
      </w:r>
      <w:r>
        <w:rPr/>
        <w:t xml:space="preserve">.    Title to drawings, designs, plans, specifications, and like materials specifically prepared as part of the Work will remain with Contractor.    Contractor grants to Owner a perpetual, irrevocable, non-exclusive, transferable, royalty-free license to use and reproduce Contractor and Subcontractor drawings, designs, plans, specifications, and other design documentation necessary or useful for the purposes of constructing, operating, maintaining, rebuilding, repairing, altering and expanding the Facility.    Owner shall have the right to assign such license in any manner desired including </w:t>
      </w:r>
      <w:r>
        <w:rPr>
          <w:strike/>
        </w:rPr>
        <w:t>&lt;any&gt;</w:t>
      </w:r>
      <w:r>
        <w:rPr/>
        <w:t xml:space="preserve"> assignment to any Lender in connection with granting a security interest in the Facility, to a purchaser of the Facility or to any subsequent assignee of </w:t>
      </w:r>
      <w:r>
        <w:rPr>
          <w:b/>
          <w:u w:val="double"/>
        </w:rPr>
        <w:t>the</w:t>
      </w:r>
      <w:r>
        <w:rPr/>
        <w:t xml:space="preserve"> same.    Owner may retain the necessary number of copies of all such documents for the purposes allowed by the license.</w:t>
      </w:r>
    </w:p>
    <w:p>
      <w:pPr>
        <w:pStyle w:val="BodyText"/>
        <w:bidi w:val="0"/>
        <w:rPr>
          <w:rFonts w:ascii="Times New Roman" w:hAnsi="Times New Roman"/>
        </w:rPr>
      </w:pPr>
      <w:r>
        <w:rPr/>
      </w:r>
    </w:p>
    <w:p>
      <w:pPr>
        <w:pStyle w:val="BodyText"/>
        <w:bidi w:val="0"/>
        <w:rPr>
          <w:rFonts w:ascii="Times New Roman" w:hAnsi="Times New Roman"/>
        </w:rPr>
      </w:pPr>
      <w:r>
        <w:rPr>
          <w:strike/>
        </w:rPr>
        <w:t>&lt;8.1.4 Control of Software and Other Proprietary Material. Owner recognizes that some of the software and other intellectual property provided by Contractor to Owner as part of the Scope of Work carries with it certain restrictions on use and copying of such software and other intellectual property because it was supplied to Contractor by Subcontractors subject to certain license agreements. Owner agrees not to violate such sublicenses, provided that Contractor guarantees that Owner shall have the right to assign the benefit of such software and other intellectual property and the license granted below to Lender in connection with granting a security interest in the Facility, to a purchaser of the Facility (or any part thereof), or to any subsequent assignee of the same, or to a replacement for Contractor. Contractor shall provide Owner with a copy of the applicable sublicenses which shall be the only restriction on Owner’s use of the software and other intellectual property rights provided to Owner as part of the Work. Notwithstanding any other limitations set forth in this Agreement, Contractor represents and warrants that it has all rights and licenses necessary for it to provide such software and other intellectual property to Owner as contemplated in this Agreement and grants to Owner a perpetual, irrevocable, non-exclusive royalty-free license to use and reproduce such software and other intellectual property in connection with the construction and operation of the Facility. Such license shall allow Owner the limited right to use and reproduce the software and other intellectual property as contained herein and such license shall be fully assignable without the consent of Contractor or any other Person. Owner shall defend, indemnify and hold Contractor harmless from all Losses resulting from unauthorized duplication, use, printing, display, modification, or disclosure of such software and other intellectual property by Owner which violate the sublicenses provided to Owner by Contractor.&gt;</w:t>
      </w:r>
    </w:p>
    <w:p>
      <w:pPr>
        <w:pStyle w:val="BodyText"/>
        <w:bidi w:val="0"/>
        <w:rPr>
          <w:rFonts w:ascii="Times New Roman" w:hAnsi="Times New Roman"/>
        </w:rPr>
      </w:pPr>
      <w:r>
        <w:rPr/>
      </w:r>
    </w:p>
    <w:p>
      <w:pPr>
        <w:pStyle w:val="Style2toc"/>
        <w:bidi w:val="0"/>
        <w:rPr>
          <w:rFonts w:ascii="Times New Roman" w:hAnsi="Times New Roman"/>
        </w:rPr>
      </w:pPr>
      <w:r>
        <w:rPr/>
        <w:t>8.2</w:t>
        <w:tab/>
      </w:r>
      <w:r>
        <w:rPr>
          <w:u w:val="single"/>
        </w:rPr>
        <w:t>Risk of Loss</w:t>
      </w:r>
      <w:r>
        <w:fldChar w:fldCharType="begin"/>
      </w:r>
      <w:r>
        <w:rPr>
          <w:u w:val="single"/>
          <w:vanish/>
        </w:rPr>
        <w:instrText xml:space="preserve"> TC "8.2</w:instrText>
        <w:tab/>
        <w:instrText xml:space="preserve">Risk of Loss672" \l 1 </w:instrText>
      </w:r>
      <w:r>
        <w:rPr>
          <w:u w:val="single"/>
          <w:vanish/>
        </w:rPr>
        <w:fldChar w:fldCharType="separate"/>
      </w:r>
      <w:bookmarkStart w:id="250" w:name="_Toc493577492"/>
      <w:bookmarkStart w:id="251" w:name="_Toc497198949"/>
      <w:bookmarkStart w:id="252" w:name="_Toc496784904"/>
      <w:bookmarkStart w:id="253" w:name="_Toc496784627"/>
      <w:bookmarkEnd w:id="250"/>
      <w:bookmarkEnd w:id="251"/>
      <w:bookmarkEnd w:id="252"/>
      <w:bookmarkEnd w:id="253"/>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8.2.1</w:t>
        <w:tab/>
      </w:r>
      <w:r>
        <w:rPr>
          <w:u w:val="single"/>
        </w:rPr>
        <w:t>Prior to Substantial Completion</w:t>
      </w:r>
      <w:r>
        <w:rPr/>
        <w:t>.    Notwithstanding passage of title as provided in Section 8.1, Contractor shall bear the risk of loss of and damage to, and shall be obligated to repair, replace, or reconstruct, all or any portion of the Work which is lost, damaged or destroyed prior to Substantial Completion.</w:t>
      </w:r>
    </w:p>
    <w:p>
      <w:pPr>
        <w:pStyle w:val="BodyText"/>
        <w:bidi w:val="0"/>
        <w:rPr>
          <w:rFonts w:ascii="Times New Roman" w:hAnsi="Times New Roman"/>
        </w:rPr>
      </w:pPr>
      <w:r>
        <w:rPr/>
      </w:r>
    </w:p>
    <w:p>
      <w:pPr>
        <w:pStyle w:val="BodyText"/>
        <w:bidi w:val="0"/>
        <w:rPr>
          <w:rFonts w:ascii="Times New Roman" w:hAnsi="Times New Roman"/>
        </w:rPr>
      </w:pPr>
      <w:r>
        <w:rPr/>
        <w:tab/>
        <w:t>8.2.2</w:t>
        <w:tab/>
      </w:r>
      <w:r>
        <w:rPr>
          <w:u w:val="single"/>
        </w:rPr>
        <w:t>After Substantial Completion</w:t>
      </w:r>
      <w:r>
        <w:rPr/>
        <w:t>.    After Substantial Completion, to the extent Contractor shall continue to perform Work on Punchlist Items</w:t>
      </w:r>
      <w:r>
        <w:rPr>
          <w:strike/>
        </w:rPr>
        <w:t>&lt;,&gt;</w:t>
      </w:r>
      <w:r>
        <w:rPr/>
        <w:t xml:space="preserve"> </w:t>
      </w:r>
      <w:r>
        <w:rPr>
          <w:b/>
          <w:u w:val="double"/>
        </w:rPr>
        <w:t>or</w:t>
      </w:r>
      <w:r>
        <w:rPr/>
        <w:t xml:space="preserve"> on warranty claims </w:t>
      </w:r>
      <w:r>
        <w:rPr>
          <w:strike/>
        </w:rPr>
        <w:t>&lt;or to conduct the EPC Reliability Test&gt;</w:t>
      </w:r>
      <w:r>
        <w:rPr/>
        <w:t>, then Contractor shall remain responsible, in connection with the performance of such Work, for the risk of loss of and damage to, and shall be obligated to replace, repair or reconstruct, any previously completed and turned over Work to the extent any loss of or damage to such Work is caused by the fault or negligence of Contractor, any of its Subcontractors or any Person acting under the direction and control of Contractor or any Subcontractor.</w:t>
      </w:r>
    </w:p>
    <w:p>
      <w:pPr>
        <w:pStyle w:val="BodyText"/>
        <w:bidi w:val="0"/>
        <w:rPr>
          <w:rFonts w:ascii="Times New Roman" w:hAnsi="Times New Roman"/>
        </w:rPr>
      </w:pPr>
      <w:r>
        <w:rPr/>
      </w:r>
    </w:p>
    <w:p>
      <w:pPr>
        <w:pStyle w:val="BodyText"/>
        <w:bidi w:val="0"/>
        <w:rPr>
          <w:rFonts w:ascii="Times New Roman" w:hAnsi="Times New Roman"/>
        </w:rPr>
      </w:pPr>
      <w:r>
        <w:rPr/>
        <w:tab/>
      </w:r>
      <w:r>
        <w:rPr>
          <w:b/>
          <w:u w:val="double"/>
        </w:rPr>
        <w:t>8.2.3</w:t>
      </w:r>
      <w:r>
        <w:rPr/>
        <w:tab/>
      </w:r>
      <w:r>
        <w:rPr>
          <w:b/>
          <w:u w:val="double"/>
        </w:rPr>
        <w:t>Release of Insurance Proceeds.</w:t>
      </w:r>
      <w:r>
        <w:rPr/>
        <w:t xml:space="preserve">    Notwithstanding Sections 8.2.1 and 8.2.2, Contractor shall not be obligated to repair, replace or reconstruct the whole or any part of the Facility which is lost, damaged or destroyed by an event which is covered by insurance obtained by Owner </w:t>
      </w:r>
      <w:r>
        <w:rPr>
          <w:strike/>
        </w:rPr>
        <w:t>&lt;pursuant to&gt;</w:t>
      </w:r>
      <w:r>
        <w:rPr/>
        <w:t xml:space="preserve"> </w:t>
      </w:r>
      <w:r>
        <w:rPr>
          <w:b/>
          <w:u w:val="double"/>
        </w:rPr>
        <w:t>under</w:t>
      </w:r>
      <w:r>
        <w:rPr/>
        <w:t xml:space="preserve"> Article 9 (excluding, for the avoidance of doubt, any Delay in Start-Up insurance obtained by Owner) to the extent that </w:t>
      </w:r>
      <w:r>
        <w:rPr>
          <w:strike/>
        </w:rPr>
        <w:t>&lt;the insurer pays for such repair and replacement but Owner, Lender, their respective agents or the trustee in any project financing agreement do not make the insurance&gt;</w:t>
      </w:r>
      <w:r>
        <w:rPr/>
        <w:t xml:space="preserve"> proceeds in respect of </w:t>
      </w:r>
      <w:r>
        <w:rPr>
          <w:strike/>
        </w:rPr>
        <w:t>&lt;the&gt;</w:t>
      </w:r>
      <w:r>
        <w:rPr/>
        <w:t xml:space="preserve"> </w:t>
      </w:r>
      <w:r>
        <w:rPr>
          <w:b/>
          <w:u w:val="double"/>
        </w:rPr>
        <w:t>such</w:t>
      </w:r>
      <w:r>
        <w:rPr/>
        <w:t xml:space="preserve"> loss, damage, or destruction </w:t>
      </w:r>
      <w:r>
        <w:rPr>
          <w:b/>
          <w:u w:val="double"/>
        </w:rPr>
        <w:t>are not made</w:t>
      </w:r>
      <w:r>
        <w:rPr/>
        <w:t xml:space="preserve"> available to </w:t>
      </w:r>
      <w:r>
        <w:rPr>
          <w:strike/>
        </w:rPr>
        <w:t>&lt;Contractor either prior to or shortly after such repairs are complete.&gt;</w:t>
      </w:r>
      <w:r>
        <w:rPr/>
        <w:t xml:space="preserve"> </w:t>
      </w:r>
      <w:r>
        <w:rPr>
          <w:b/>
          <w:u w:val="double"/>
        </w:rPr>
        <w:t>Contract or under any financing arrangement entered into by Owner with any Lender or under any consent to assignment or other instrument entered into between the Lenders and Contractor pursuant to Section 3.9.</w:t>
      </w:r>
    </w:p>
    <w:p>
      <w:pPr>
        <w:pStyle w:val="BodyText"/>
        <w:bidi w:val="0"/>
        <w:rPr>
          <w:rFonts w:ascii="Times New Roman" w:hAnsi="Times New Roman"/>
        </w:rPr>
      </w:pPr>
      <w:r>
        <w:rPr/>
      </w:r>
    </w:p>
    <w:p>
      <w:pPr>
        <w:pStyle w:val="Style2toc"/>
        <w:bidi w:val="0"/>
        <w:rPr>
          <w:rFonts w:ascii="Times New Roman" w:hAnsi="Times New Roman"/>
        </w:rPr>
      </w:pPr>
      <w:r>
        <w:rPr/>
        <w:t>8.3</w:t>
        <w:tab/>
      </w:r>
      <w:r>
        <w:rPr>
          <w:u w:val="single"/>
        </w:rPr>
        <w:t>Use by Owner</w:t>
      </w:r>
      <w:r>
        <w:fldChar w:fldCharType="begin"/>
      </w:r>
      <w:r>
        <w:rPr>
          <w:u w:val="single"/>
          <w:vanish/>
        </w:rPr>
        <w:instrText xml:space="preserve"> TC "8.3</w:instrText>
        <w:tab/>
        <w:instrText xml:space="preserve">Use by Owner672" \l 1 </w:instrText>
      </w:r>
      <w:r>
        <w:rPr>
          <w:u w:val="single"/>
          <w:vanish/>
        </w:rPr>
        <w:fldChar w:fldCharType="separate"/>
      </w:r>
      <w:bookmarkStart w:id="254" w:name="_Toc496784628"/>
      <w:bookmarkStart w:id="255" w:name="_Toc496784905"/>
      <w:bookmarkStart w:id="256" w:name="_Toc493577493"/>
      <w:bookmarkStart w:id="257" w:name="_Toc497198950"/>
      <w:bookmarkEnd w:id="254"/>
      <w:bookmarkEnd w:id="255"/>
      <w:bookmarkEnd w:id="256"/>
      <w:bookmarkEnd w:id="257"/>
      <w:r>
        <w:rPr>
          <w:vanish/>
          <w:u w:val="single"/>
        </w:rPr>
      </w:r>
      <w:r>
        <w:rPr>
          <w:u w:val="single"/>
          <w:vanish/>
        </w:rPr>
        <w:fldChar w:fldCharType="end"/>
      </w:r>
      <w:r>
        <w:rPr>
          <w:strike/>
        </w:rPr>
        <w:t>&lt;&lt;*&gt;&gt;</w:t>
      </w:r>
      <w:r>
        <w:rPr/>
        <w:t xml:space="preserve">. Owner may occupy or use any complete or partially completed portion of the </w:t>
      </w:r>
      <w:r>
        <w:rPr>
          <w:strike/>
        </w:rPr>
        <w:t>&lt;Work&gt;</w:t>
      </w:r>
      <w:r>
        <w:rPr/>
        <w:t xml:space="preserve"> </w:t>
      </w:r>
      <w:r>
        <w:rPr>
          <w:b/>
          <w:u w:val="double"/>
        </w:rPr>
        <w:t>Facility</w:t>
      </w:r>
      <w:r>
        <w:rPr/>
        <w:t xml:space="preserve"> at any stage, provided such occupancy or use is approved by the builders all risk and property insurer (unless the risk management departments of both Owner and Contractor confirm that such approval is not necessary) and provided such occupancy or use is in compliance with Law and is for the purpose that such portion of the </w:t>
      </w:r>
      <w:r>
        <w:rPr>
          <w:strike/>
        </w:rPr>
        <w:t>&lt;Work&gt;</w:t>
      </w:r>
      <w:r>
        <w:rPr/>
        <w:t xml:space="preserve"> </w:t>
      </w:r>
      <w:r>
        <w:rPr>
          <w:b/>
          <w:u w:val="double"/>
        </w:rPr>
        <w:t>Facility</w:t>
      </w:r>
      <w:r>
        <w:rPr/>
        <w:t xml:space="preserve"> was intended.    In the event of partial occupancy or use prior to Substantial Completion, Owner and Contractor shall amend this Agreement to allocate to Owner the care, custody, control and risk of loss and damage of such completed or partially completed portion of the </w:t>
      </w:r>
      <w:r>
        <w:rPr>
          <w:strike/>
        </w:rPr>
        <w:t>&lt;Work&gt;</w:t>
      </w:r>
      <w:r>
        <w:rPr/>
        <w:t xml:space="preserve"> </w:t>
      </w:r>
      <w:r>
        <w:rPr>
          <w:b/>
          <w:u w:val="double"/>
        </w:rPr>
        <w:t>Facility</w:t>
      </w:r>
      <w:r>
        <w:rPr/>
        <w:t xml:space="preserve">, to the extent reasonably required in connection with the nature of the </w:t>
      </w:r>
      <w:r>
        <w:rPr>
          <w:strike/>
        </w:rPr>
        <w:t>&lt;Work&gt;</w:t>
      </w:r>
      <w:r>
        <w:rPr/>
        <w:t xml:space="preserve"> </w:t>
      </w:r>
      <w:r>
        <w:rPr>
          <w:b/>
          <w:u w:val="double"/>
        </w:rPr>
        <w:t>Facility</w:t>
      </w:r>
      <w:r>
        <w:rPr/>
        <w:t xml:space="preserve"> Owner elects to partially occupy.</w:t>
      </w:r>
    </w:p>
    <w:p>
      <w:pPr>
        <w:pStyle w:val="BodyText"/>
        <w:bidi w:val="0"/>
        <w:rPr>
          <w:rFonts w:ascii="Times New Roman" w:hAnsi="Times New Roman"/>
        </w:rPr>
      </w:pPr>
      <w:r>
        <w:rPr/>
      </w:r>
    </w:p>
    <w:p>
      <w:pPr>
        <w:pStyle w:val="Style1toc"/>
        <w:bidi w:val="0"/>
        <w:rPr>
          <w:rFonts w:ascii="Times New Roman" w:hAnsi="Times New Roman"/>
        </w:rPr>
      </w:pPr>
      <w:r>
        <w:rPr/>
        <w:t>ARTICLE 9</w:t>
      </w:r>
      <w:r>
        <w:fldChar w:fldCharType="begin"/>
      </w:r>
      <w:r>
        <w:rPr>
          <w:vanish/>
        </w:rPr>
        <w:instrText xml:space="preserve"> TC "ARTICLE 9  INSURANCE671" \l 1 </w:instrText>
      </w:r>
      <w:r>
        <w:rPr>
          <w:vanish/>
        </w:rPr>
        <w:fldChar w:fldCharType="separate"/>
      </w:r>
      <w:bookmarkStart w:id="258" w:name="_Toc493577494"/>
      <w:bookmarkStart w:id="259" w:name="_Toc497198951"/>
      <w:bookmarkStart w:id="260" w:name="_Toc496784906"/>
      <w:bookmarkStart w:id="261" w:name="_Toc496784629"/>
      <w:bookmarkEnd w:id="258"/>
      <w:bookmarkEnd w:id="259"/>
      <w:bookmarkEnd w:id="260"/>
      <w:bookmarkEnd w:id="261"/>
      <w:r>
        <w:rPr>
          <w:vanish/>
        </w:rPr>
      </w:r>
      <w:r>
        <w:rPr>
          <w:vanish/>
        </w:rPr>
        <w:fldChar w:fldCharType="end"/>
      </w:r>
      <w:r>
        <w:rPr>
          <w:strike/>
        </w:rPr>
        <w:t>&lt;&lt;*&gt;&gt;</w:t>
      </w:r>
    </w:p>
    <w:p>
      <w:pPr>
        <w:pStyle w:val="Style1toc"/>
        <w:bidi w:val="0"/>
        <w:rPr>
          <w:rFonts w:ascii="Times New Roman" w:hAnsi="Times New Roman"/>
        </w:rPr>
      </w:pPr>
      <w:r>
        <w:rPr/>
        <w:t>INSURANCE</w:t>
      </w:r>
    </w:p>
    <w:p>
      <w:pPr>
        <w:pStyle w:val="Style1toc"/>
        <w:bidi w:val="0"/>
        <w:rPr>
          <w:rFonts w:ascii="Times New Roman" w:hAnsi="Times New Roman"/>
          <w:b/>
        </w:rPr>
      </w:pPr>
      <w:r>
        <w:rPr>
          <w:b/>
        </w:rPr>
      </w:r>
    </w:p>
    <w:p>
      <w:pPr>
        <w:pStyle w:val="Style1toc"/>
        <w:bidi w:val="0"/>
        <w:rPr>
          <w:rFonts w:ascii="Times New Roman" w:hAnsi="Times New Roman"/>
          <w:b/>
        </w:rPr>
      </w:pPr>
      <w:r>
        <w:rPr>
          <w:b/>
          <w:u w:val="double"/>
        </w:rPr>
        <w:t>[TO BE FURTHER REVIEWED AND REVISED AS APPROPRIATE]</w:t>
      </w:r>
    </w:p>
    <w:p>
      <w:pPr>
        <w:pStyle w:val="BodyText"/>
        <w:keepNext w:val="true"/>
        <w:bidi w:val="0"/>
        <w:rPr>
          <w:rFonts w:ascii="Times New Roman" w:hAnsi="Times New Roman"/>
        </w:rPr>
      </w:pPr>
      <w:r>
        <w:rPr/>
      </w:r>
    </w:p>
    <w:p>
      <w:pPr>
        <w:pStyle w:val="Style2toc"/>
        <w:bidi w:val="0"/>
        <w:rPr>
          <w:rFonts w:ascii="Times New Roman" w:hAnsi="Times New Roman"/>
        </w:rPr>
      </w:pPr>
      <w:r>
        <w:rPr/>
        <w:t>9.1</w:t>
        <w:tab/>
      </w:r>
      <w:r>
        <w:rPr>
          <w:u w:val="single"/>
        </w:rPr>
        <w:t>Contractor’s Insurance</w:t>
      </w:r>
      <w:r>
        <w:fldChar w:fldCharType="begin"/>
      </w:r>
      <w:r>
        <w:rPr>
          <w:u w:val="single"/>
          <w:vanish/>
        </w:rPr>
        <w:instrText xml:space="preserve"> TC "9.1</w:instrText>
        <w:tab/>
        <w:instrText xml:space="preserve">Contractor’s Insurance672" \l 1 </w:instrText>
      </w:r>
      <w:r>
        <w:rPr>
          <w:u w:val="single"/>
          <w:vanish/>
        </w:rPr>
        <w:fldChar w:fldCharType="separate"/>
      </w:r>
      <w:bookmarkStart w:id="262" w:name="_Toc493577495"/>
      <w:bookmarkStart w:id="263" w:name="_Toc497198952"/>
      <w:bookmarkStart w:id="264" w:name="_Toc496784907"/>
      <w:bookmarkStart w:id="265" w:name="_Toc496784630"/>
      <w:bookmarkEnd w:id="262"/>
      <w:bookmarkEnd w:id="263"/>
      <w:bookmarkEnd w:id="264"/>
      <w:bookmarkEnd w:id="265"/>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9.1.1</w:t>
        <w:tab/>
      </w:r>
      <w:r>
        <w:rPr>
          <w:u w:val="single"/>
        </w:rPr>
        <w:t>Required Coverages</w:t>
      </w:r>
      <w:r>
        <w:rPr/>
        <w:t xml:space="preserve">.    Commencing with the Notice to Proceed Effective Date, and thereafter until the end of the Warranty Period, Contractor will obtain and maintain at its expense the insurance described on </w:t>
      </w:r>
      <w:r>
        <w:rPr>
          <w:u w:val="single"/>
        </w:rPr>
        <w:t>Exhibit H-1</w:t>
      </w:r>
      <w:r>
        <w:rPr/>
        <w:t xml:space="preserve"> with (a) an insurance company or companies licensed to do business as required by applicable law and rated “A-XIII” or better by Best’s Insurance Guide and Key Ratings or equivalent, (b) an insurance company or companies which is or are not so rated provided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Owner.</w:t>
      </w:r>
    </w:p>
    <w:p>
      <w:pPr>
        <w:pStyle w:val="BodyText"/>
        <w:bidi w:val="0"/>
        <w:rPr>
          <w:rFonts w:ascii="Times New Roman" w:hAnsi="Times New Roman"/>
        </w:rPr>
      </w:pPr>
      <w:r>
        <w:rPr/>
      </w:r>
    </w:p>
    <w:p>
      <w:pPr>
        <w:pStyle w:val="BodyText"/>
        <w:bidi w:val="0"/>
        <w:rPr>
          <w:rFonts w:ascii="Times New Roman" w:hAnsi="Times New Roman"/>
        </w:rPr>
      </w:pPr>
      <w:r>
        <w:rPr/>
        <w:tab/>
        <w:t>9.1.2</w:t>
        <w:tab/>
      </w:r>
      <w:r>
        <w:rPr>
          <w:u w:val="single"/>
        </w:rPr>
        <w:t>Requirements of Contractor’s Insurance</w:t>
      </w:r>
      <w:r>
        <w:rPr/>
        <w:t xml:space="preserve">.    The insurance provided by Contractor </w:t>
      </w:r>
      <w:r>
        <w:rPr>
          <w:strike/>
        </w:rPr>
        <w:t>&lt;pursuant to&gt;</w:t>
      </w:r>
      <w:r>
        <w:rPr/>
        <w:t xml:space="preserve"> </w:t>
      </w:r>
      <w:r>
        <w:rPr>
          <w:b/>
          <w:u w:val="double"/>
        </w:rPr>
        <w:t>under</w:t>
      </w:r>
      <w:r>
        <w:rPr/>
        <w:t xml:space="preserve"> this Section 9.1 shall be primary unless stated otherwise in </w:t>
      </w:r>
      <w:r>
        <w:rPr>
          <w:u w:val="single"/>
        </w:rPr>
        <w:t>Exhibit H-1</w:t>
      </w:r>
      <w:r>
        <w:rPr/>
        <w:t xml:space="preserve"> as respects claims of its employees and of third parties arising out of Contractor’s performance of its obligations </w:t>
      </w:r>
      <w:r>
        <w:rPr>
          <w:strike/>
        </w:rPr>
        <w:t>&lt;hereunder&gt;</w:t>
      </w:r>
      <w:r>
        <w:rPr/>
        <w:t xml:space="preserve"> </w:t>
      </w:r>
      <w:r>
        <w:rPr>
          <w:b/>
          <w:u w:val="double"/>
        </w:rPr>
        <w:t>under this Agreement</w:t>
      </w:r>
      <w:r>
        <w:rPr/>
        <w:t xml:space="preserve">, and any similar insurance obtained and maintained by Owner, </w:t>
      </w:r>
      <w:r>
        <w:rPr>
          <w:b/>
          <w:u w:val="double"/>
        </w:rPr>
        <w:t>[Ground</w:t>
      </w:r>
      <w:r>
        <w:rPr>
          <w:b/>
        </w:rPr>
        <w:t xml:space="preserve"> Lessor</w:t>
      </w:r>
      <w:r>
        <w:rPr>
          <w:b/>
          <w:u w:val="double"/>
        </w:rPr>
        <w:t>]</w:t>
      </w:r>
      <w:r>
        <w:rPr/>
        <w:t xml:space="preserve"> or any Lender shall be excess of and shall not contribute with such insurance except as specifically stated herein.    In addition, all such insurance shall include those provisions set forth on </w:t>
      </w:r>
      <w:r>
        <w:rPr>
          <w:u w:val="single"/>
        </w:rPr>
        <w:t>Exhibit H-1</w:t>
      </w:r>
      <w:r>
        <w:rPr/>
        <w:t>.</w:t>
      </w:r>
    </w:p>
    <w:p>
      <w:pPr>
        <w:pStyle w:val="BodyText"/>
        <w:bidi w:val="0"/>
        <w:rPr>
          <w:rFonts w:ascii="Times New Roman" w:hAnsi="Times New Roman"/>
        </w:rPr>
      </w:pPr>
      <w:r>
        <w:rPr/>
      </w:r>
    </w:p>
    <w:p>
      <w:pPr>
        <w:pStyle w:val="BodyText"/>
        <w:bidi w:val="0"/>
        <w:rPr>
          <w:rFonts w:ascii="Times New Roman" w:hAnsi="Times New Roman"/>
        </w:rPr>
      </w:pPr>
      <w:r>
        <w:rPr/>
        <w:tab/>
        <w:t>9.1.3</w:t>
        <w:tab/>
      </w:r>
      <w:r>
        <w:rPr>
          <w:u w:val="single"/>
        </w:rPr>
        <w:t>Payment of Deductibles</w:t>
      </w:r>
      <w:r>
        <w:rPr/>
        <w:t xml:space="preserve">.    The insurance provided by Contractor </w:t>
      </w:r>
      <w:r>
        <w:rPr>
          <w:strike/>
        </w:rPr>
        <w:t>&lt;pursuant to&gt;</w:t>
      </w:r>
      <w:r>
        <w:rPr/>
        <w:t xml:space="preserve"> </w:t>
      </w:r>
      <w:r>
        <w:rPr>
          <w:b/>
          <w:u w:val="double"/>
        </w:rPr>
        <w:t>under</w:t>
      </w:r>
      <w:r>
        <w:rPr/>
        <w:t xml:space="preserve"> this Section 9.1 shall have the deductibles provided in </w:t>
      </w:r>
      <w:r>
        <w:rPr>
          <w:u w:val="single"/>
        </w:rPr>
        <w:t>Exhibit H-1</w:t>
      </w:r>
      <w:r>
        <w:rPr/>
        <w:t xml:space="preserve"> and Contractor shall be solely responsible for the payment of all such deductible amounts, unless the loss or damage is caused in whole or in part by the fault or negligence of Owner, in which case the deductible shall be </w:t>
      </w:r>
      <w:r>
        <w:rPr>
          <w:strike/>
        </w:rPr>
        <w:t>&lt;shared or&gt;</w:t>
      </w:r>
      <w:r>
        <w:rPr/>
        <w:t xml:space="preserve"> apportioned </w:t>
      </w:r>
      <w:r>
        <w:rPr>
          <w:strike/>
        </w:rPr>
        <w:t>&lt;as&gt;</w:t>
      </w:r>
      <w:r>
        <w:rPr/>
        <w:t xml:space="preserve"> between Contractor and Owner in proportion to the degree of fault of each.</w:t>
      </w:r>
    </w:p>
    <w:p>
      <w:pPr>
        <w:pStyle w:val="BodyText"/>
        <w:bidi w:val="0"/>
        <w:rPr>
          <w:rFonts w:ascii="Times New Roman" w:hAnsi="Times New Roman"/>
        </w:rPr>
      </w:pPr>
      <w:r>
        <w:rPr/>
      </w:r>
    </w:p>
    <w:p>
      <w:pPr>
        <w:pStyle w:val="Style2toc"/>
        <w:bidi w:val="0"/>
        <w:rPr>
          <w:rFonts w:ascii="Times New Roman" w:hAnsi="Times New Roman"/>
        </w:rPr>
      </w:pPr>
      <w:r>
        <w:rPr/>
        <w:t>9.2</w:t>
        <w:tab/>
      </w:r>
      <w:r>
        <w:rPr>
          <w:u w:val="single"/>
        </w:rPr>
        <w:t>Owner’s Insurance</w:t>
      </w:r>
      <w:r>
        <w:fldChar w:fldCharType="begin"/>
      </w:r>
      <w:r>
        <w:rPr>
          <w:u w:val="single"/>
          <w:vanish/>
        </w:rPr>
        <w:instrText xml:space="preserve"> TC "9.2</w:instrText>
        <w:tab/>
        <w:instrText xml:space="preserve">Owner’s Insurance672" \l 1 </w:instrText>
      </w:r>
      <w:r>
        <w:rPr>
          <w:u w:val="single"/>
          <w:vanish/>
        </w:rPr>
        <w:fldChar w:fldCharType="separate"/>
      </w:r>
      <w:bookmarkStart w:id="266" w:name="_Toc493577496"/>
      <w:bookmarkStart w:id="267" w:name="_Toc497198953"/>
      <w:bookmarkStart w:id="268" w:name="_Toc496784908"/>
      <w:bookmarkStart w:id="269" w:name="_Toc496784631"/>
      <w:bookmarkEnd w:id="266"/>
      <w:bookmarkEnd w:id="267"/>
      <w:bookmarkEnd w:id="268"/>
      <w:bookmarkEnd w:id="269"/>
      <w:r>
        <w:rPr>
          <w:vanish/>
          <w:u w:val="single"/>
        </w:rPr>
      </w:r>
      <w:r>
        <w:rPr>
          <w:u w:val="single"/>
          <w:vanish/>
        </w:rPr>
        <w:fldChar w:fldCharType="end"/>
      </w:r>
      <w:r>
        <w:rPr>
          <w:strike/>
        </w:rPr>
        <w:t>&lt;&lt;*&gt;&gt;</w:t>
      </w:r>
      <w:r>
        <w:rPr/>
        <w:t>.</w:t>
      </w:r>
    </w:p>
    <w:p>
      <w:pPr>
        <w:pStyle w:val="BodyText"/>
        <w:keepNext w:val="true"/>
        <w:bidi w:val="0"/>
        <w:rPr>
          <w:rFonts w:ascii="Times New Roman" w:hAnsi="Times New Roman"/>
        </w:rPr>
      </w:pPr>
      <w:r>
        <w:rPr/>
      </w:r>
    </w:p>
    <w:p>
      <w:pPr>
        <w:pStyle w:val="BodyText"/>
        <w:bidi w:val="0"/>
        <w:rPr>
          <w:rFonts w:ascii="Times New Roman" w:hAnsi="Times New Roman"/>
        </w:rPr>
      </w:pPr>
      <w:r>
        <w:rPr/>
        <w:tab/>
        <w:t>9.2.1</w:t>
        <w:tab/>
      </w:r>
      <w:r>
        <w:rPr>
          <w:u w:val="single"/>
        </w:rPr>
        <w:t>Required Coverage</w:t>
      </w:r>
      <w:r>
        <w:rPr/>
        <w:t xml:space="preserve">.    Commencing with the Notice to Proceed Effective Date, Work and thereafter until Substantial Completion, Owner shall obtain and maintain the insurance described in </w:t>
      </w:r>
      <w:r>
        <w:rPr>
          <w:u w:val="single"/>
        </w:rPr>
        <w:t>Exhibit H-2</w:t>
      </w:r>
      <w:r>
        <w:rPr/>
        <w:t xml:space="preserve"> with (a) an insurance company or companies licensed to do business as required by applicable law and rated “A-XIII” or better by Best’s Insurance Guide and Key Ratings or equivalent, (b) an insurance company or companies which is or are not so rated provided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w:t>
      </w:r>
    </w:p>
    <w:p>
      <w:pPr>
        <w:pStyle w:val="BodyText"/>
        <w:bidi w:val="0"/>
        <w:rPr>
          <w:rFonts w:ascii="Times New Roman" w:hAnsi="Times New Roman"/>
        </w:rPr>
      </w:pPr>
      <w:r>
        <w:rPr/>
      </w:r>
    </w:p>
    <w:p>
      <w:pPr>
        <w:pStyle w:val="BodyText"/>
        <w:bidi w:val="0"/>
        <w:rPr>
          <w:rFonts w:ascii="Times New Roman" w:hAnsi="Times New Roman"/>
        </w:rPr>
      </w:pPr>
      <w:r>
        <w:rPr/>
        <w:tab/>
        <w:t>9.2.2</w:t>
        <w:tab/>
      </w:r>
      <w:r>
        <w:rPr>
          <w:u w:val="single"/>
        </w:rPr>
        <w:t>Requirements of Owner’s Insurance</w:t>
      </w:r>
      <w:r>
        <w:rPr/>
        <w:t xml:space="preserve">.    The insurance provided by Owner </w:t>
      </w:r>
      <w:r>
        <w:rPr>
          <w:strike/>
        </w:rPr>
        <w:t>&lt;pursuant to&gt;</w:t>
      </w:r>
      <w:r>
        <w:rPr/>
        <w:t xml:space="preserve"> </w:t>
      </w:r>
      <w:r>
        <w:rPr>
          <w:b/>
          <w:u w:val="double"/>
        </w:rPr>
        <w:t>under this</w:t>
      </w:r>
      <w:r>
        <w:rPr/>
        <w:t xml:space="preserve"> Section 9.2 shall be primary, unless stated otherwise in </w:t>
      </w:r>
      <w:r>
        <w:rPr>
          <w:u w:val="single"/>
        </w:rPr>
        <w:t>Exhibit H-2</w:t>
      </w:r>
      <w:r>
        <w:rPr/>
        <w:t xml:space="preserve">, as respects loss of or damage to the Work or the Facility, and any similar insurance of Contractor or its Subcontractors shall be excess of and shall not contribute with such insurance.    In addition, all such insurance shall include those provisions set forth in </w:t>
      </w:r>
      <w:r>
        <w:rPr>
          <w:u w:val="single"/>
        </w:rPr>
        <w:t>Exhibit H-2</w:t>
      </w:r>
      <w:r>
        <w:rPr/>
        <w:t>.</w:t>
      </w:r>
    </w:p>
    <w:p>
      <w:pPr>
        <w:pStyle w:val="BodyText"/>
        <w:bidi w:val="0"/>
        <w:rPr>
          <w:rFonts w:ascii="Times New Roman" w:hAnsi="Times New Roman"/>
        </w:rPr>
      </w:pPr>
      <w:r>
        <w:rPr/>
      </w:r>
    </w:p>
    <w:p>
      <w:pPr>
        <w:pStyle w:val="BodyText"/>
        <w:bidi w:val="0"/>
        <w:rPr>
          <w:rFonts w:ascii="Times New Roman" w:hAnsi="Times New Roman"/>
        </w:rPr>
      </w:pPr>
      <w:r>
        <w:rPr/>
        <w:tab/>
        <w:t>9.2.3</w:t>
        <w:tab/>
      </w:r>
      <w:r>
        <w:rPr>
          <w:u w:val="single"/>
        </w:rPr>
        <w:t>Payment of Deductibles</w:t>
      </w:r>
      <w:r>
        <w:rPr/>
        <w:t xml:space="preserve">.    The insurance provided by Owner </w:t>
      </w:r>
      <w:r>
        <w:rPr>
          <w:strike/>
        </w:rPr>
        <w:t>&lt;pursuant to&gt;</w:t>
      </w:r>
      <w:r>
        <w:rPr/>
        <w:t xml:space="preserve"> </w:t>
      </w:r>
      <w:r>
        <w:rPr>
          <w:b/>
          <w:u w:val="double"/>
        </w:rPr>
        <w:t>under</w:t>
      </w:r>
      <w:r>
        <w:rPr/>
        <w:t xml:space="preserve"> Section 9.2 shall have the deductibles provided in </w:t>
      </w:r>
      <w:r>
        <w:rPr>
          <w:u w:val="single"/>
        </w:rPr>
        <w:t>Exhibit H-2</w:t>
      </w:r>
      <w:r>
        <w:rPr>
          <w:strike/>
          <w:u w:val="single"/>
        </w:rPr>
        <w:t>&lt;,&gt;</w:t>
      </w:r>
      <w:r>
        <w:rPr/>
        <w:t xml:space="preserve"> and Owner shall be solely responsible for the payment of all such deductible amounts, unless the loss or damage is caused in whole or in part by the fault or negligence of Contractor, in which case the deductible shall be </w:t>
      </w:r>
      <w:r>
        <w:rPr>
          <w:strike/>
        </w:rPr>
        <w:t>&lt;shared or&gt;</w:t>
      </w:r>
      <w:r>
        <w:rPr/>
        <w:t xml:space="preserve"> apportioned </w:t>
      </w:r>
      <w:r>
        <w:rPr>
          <w:strike/>
        </w:rPr>
        <w:t>&lt;as&gt;</w:t>
      </w:r>
      <w:r>
        <w:rPr/>
        <w:t xml:space="preserve"> between Contractor and Owner in proportion to the degree of fault of each.</w:t>
      </w:r>
    </w:p>
    <w:p>
      <w:pPr>
        <w:pStyle w:val="Style2toc"/>
        <w:bidi w:val="0"/>
        <w:rPr>
          <w:rFonts w:ascii="Times New Roman" w:hAnsi="Times New Roman"/>
        </w:rPr>
      </w:pPr>
      <w:r>
        <w:rPr/>
      </w:r>
    </w:p>
    <w:p>
      <w:pPr>
        <w:pStyle w:val="Style2toc"/>
        <w:bidi w:val="0"/>
        <w:rPr>
          <w:rFonts w:ascii="Times New Roman" w:hAnsi="Times New Roman"/>
        </w:rPr>
      </w:pPr>
      <w:r>
        <w:rPr/>
        <w:t>9.3</w:t>
        <w:tab/>
      </w:r>
      <w:r>
        <w:rPr>
          <w:u w:val="single"/>
        </w:rPr>
        <w:t>Certificates and Cancellations</w:t>
      </w:r>
      <w:r>
        <w:fldChar w:fldCharType="begin"/>
      </w:r>
      <w:r>
        <w:rPr>
          <w:u w:val="single"/>
          <w:vanish/>
        </w:rPr>
        <w:instrText xml:space="preserve"> TC "9.3</w:instrText>
        <w:tab/>
        <w:instrText xml:space="preserve">Certificates and Cancellations672" \l 1 </w:instrText>
      </w:r>
      <w:r>
        <w:rPr>
          <w:u w:val="single"/>
          <w:vanish/>
        </w:rPr>
        <w:fldChar w:fldCharType="separate"/>
      </w:r>
      <w:bookmarkStart w:id="270" w:name="_Toc496784632"/>
      <w:bookmarkStart w:id="271" w:name="_Toc496784909"/>
      <w:bookmarkStart w:id="272" w:name="_Toc493577497"/>
      <w:bookmarkStart w:id="273" w:name="_Toc497198954"/>
      <w:bookmarkEnd w:id="270"/>
      <w:bookmarkEnd w:id="271"/>
      <w:bookmarkEnd w:id="272"/>
      <w:bookmarkEnd w:id="273"/>
      <w:r>
        <w:rPr>
          <w:vanish/>
          <w:u w:val="single"/>
        </w:rPr>
      </w:r>
      <w:r>
        <w:rPr>
          <w:u w:val="single"/>
          <w:vanish/>
        </w:rPr>
        <w:fldChar w:fldCharType="end"/>
      </w:r>
      <w:r>
        <w:rPr>
          <w:strike/>
        </w:rPr>
        <w:t>&lt;&lt;*&gt;&gt;</w:t>
      </w:r>
      <w:r>
        <w:rPr/>
        <w:t>.</w:t>
      </w:r>
    </w:p>
    <w:p>
      <w:pPr>
        <w:pStyle w:val="BodyText"/>
        <w:keepNext w:val="true"/>
        <w:bidi w:val="0"/>
        <w:rPr>
          <w:rFonts w:ascii="Times New Roman" w:hAnsi="Times New Roman"/>
        </w:rPr>
      </w:pPr>
      <w:r>
        <w:rPr/>
      </w:r>
    </w:p>
    <w:p>
      <w:pPr>
        <w:pStyle w:val="BodyText"/>
        <w:bidi w:val="0"/>
        <w:rPr>
          <w:rFonts w:ascii="Times New Roman" w:hAnsi="Times New Roman"/>
        </w:rPr>
      </w:pPr>
      <w:r>
        <w:rPr/>
        <w:tab/>
        <w:t>9.3.1</w:t>
        <w:tab/>
      </w:r>
      <w:r>
        <w:rPr>
          <w:u w:val="single"/>
        </w:rPr>
        <w:t>Contractor Certificates</w:t>
      </w:r>
      <w:r>
        <w:rPr/>
        <w:t>.    Prior to commencement of activities on the Site, Contractor shall deliver to Owner certificates of insurance evidencing compliance with the requirements of Section 9.1.</w:t>
      </w:r>
    </w:p>
    <w:p>
      <w:pPr>
        <w:pStyle w:val="BodyText"/>
        <w:bidi w:val="0"/>
        <w:rPr>
          <w:rFonts w:ascii="Times New Roman" w:hAnsi="Times New Roman"/>
        </w:rPr>
      </w:pPr>
      <w:r>
        <w:rPr/>
      </w:r>
    </w:p>
    <w:p>
      <w:pPr>
        <w:pStyle w:val="BodyText"/>
        <w:bidi w:val="0"/>
        <w:rPr>
          <w:rFonts w:ascii="Times New Roman" w:hAnsi="Times New Roman"/>
        </w:rPr>
      </w:pPr>
      <w:r>
        <w:rPr/>
        <w:tab/>
        <w:t>9.3.2</w:t>
        <w:tab/>
      </w:r>
      <w:r>
        <w:rPr>
          <w:u w:val="single"/>
        </w:rPr>
        <w:t>Owner Certificates</w:t>
      </w:r>
      <w:r>
        <w:rPr/>
        <w:t>.    Prior to the start of Work, Owner shall deliver to Contractor certificates of insurance evidencing compliance with the requirements of Section 9.2.</w:t>
      </w:r>
    </w:p>
    <w:p>
      <w:pPr>
        <w:pStyle w:val="BodyText"/>
        <w:bidi w:val="0"/>
        <w:rPr>
          <w:rFonts w:ascii="Times New Roman" w:hAnsi="Times New Roman"/>
        </w:rPr>
      </w:pPr>
      <w:r>
        <w:rPr/>
      </w:r>
    </w:p>
    <w:p>
      <w:pPr>
        <w:pStyle w:val="BodyText"/>
        <w:bidi w:val="0"/>
        <w:rPr>
          <w:rFonts w:ascii="Times New Roman" w:hAnsi="Times New Roman"/>
        </w:rPr>
      </w:pPr>
      <w:r>
        <w:rPr/>
        <w:tab/>
        <w:t>9.3.3</w:t>
        <w:tab/>
      </w:r>
      <w:r>
        <w:rPr>
          <w:u w:val="single"/>
        </w:rPr>
        <w:t>Notice of Cancellation</w:t>
      </w:r>
      <w:r>
        <w:rPr/>
        <w:t>.</w:t>
      </w:r>
    </w:p>
    <w:p>
      <w:pPr>
        <w:pStyle w:val="BodyText"/>
        <w:bidi w:val="0"/>
        <w:rPr>
          <w:rFonts w:ascii="Times New Roman" w:hAnsi="Times New Roman"/>
        </w:rPr>
      </w:pPr>
      <w:r>
        <w:rPr/>
      </w:r>
    </w:p>
    <w:p>
      <w:pPr>
        <w:pStyle w:val="BodyTextIndent3"/>
        <w:bidi w:val="0"/>
        <w:ind w:firstLine="720" w:start="1440"/>
        <w:rPr>
          <w:rFonts w:ascii="Times New Roman" w:hAnsi="Times New Roman"/>
        </w:rPr>
      </w:pPr>
      <w:r>
        <w:rPr/>
        <w:t>9.3.3.1</w:t>
        <w:tab/>
        <w:t xml:space="preserve">All policies of insurance to be secured and maintained </w:t>
      </w:r>
      <w:r>
        <w:rPr>
          <w:strike/>
        </w:rPr>
        <w:t>&lt;hereunder&gt;</w:t>
      </w:r>
      <w:r>
        <w:rPr/>
        <w:t xml:space="preserve"> </w:t>
      </w:r>
      <w:r>
        <w:rPr>
          <w:b/>
          <w:u w:val="double"/>
        </w:rPr>
        <w:t>under this Agreement</w:t>
      </w:r>
      <w:r>
        <w:rPr/>
        <w:t xml:space="preserve"> shall provide, by endorsement, that the other party and any additional insured, where required in writing, shall be provided thirty (30) days prior written notice of any material policy changes or cancellations, and that no such cancellation or change shall be effective without such notice.</w:t>
      </w:r>
    </w:p>
    <w:p>
      <w:pPr>
        <w:pStyle w:val="BodyText"/>
        <w:bidi w:val="0"/>
        <w:rPr>
          <w:rFonts w:ascii="Times New Roman" w:hAnsi="Times New Roman"/>
        </w:rPr>
      </w:pPr>
      <w:r>
        <w:rPr/>
      </w:r>
    </w:p>
    <w:p>
      <w:pPr>
        <w:pStyle w:val="BodyTextIndent3"/>
        <w:bidi w:val="0"/>
        <w:ind w:firstLine="720" w:start="1440"/>
        <w:rPr>
          <w:rFonts w:ascii="Times New Roman" w:hAnsi="Times New Roman"/>
        </w:rPr>
      </w:pPr>
      <w:r>
        <w:rPr/>
        <w:t>9.3.3.2</w:t>
        <w:tab/>
        <w:t>Each party shall immediately notify the other regarding the occurrence of any of the following events with respect to the insurance to be carried by the notifying party under this Article 9: (a) any significant loss covered by insurance; (b) any significant dispute with an insurer; (c) the early cancellation of any insurance; (d) the failure to pay any premium payment; (e) the failure, for any reason, to maintain any insurance; and (f) any significant change in insurance coverage.</w:t>
      </w:r>
    </w:p>
    <w:p>
      <w:pPr>
        <w:pStyle w:val="BodyText"/>
        <w:bidi w:val="0"/>
        <w:rPr>
          <w:rFonts w:ascii="Times New Roman" w:hAnsi="Times New Roman"/>
        </w:rPr>
      </w:pPr>
      <w:r>
        <w:rPr/>
      </w:r>
    </w:p>
    <w:p>
      <w:pPr>
        <w:pStyle w:val="Style2toc"/>
        <w:bidi w:val="0"/>
        <w:rPr>
          <w:rFonts w:ascii="Times New Roman" w:hAnsi="Times New Roman"/>
        </w:rPr>
      </w:pPr>
      <w:r>
        <w:rPr/>
        <w:t>9.4</w:t>
        <w:tab/>
      </w:r>
      <w:r>
        <w:rPr>
          <w:u w:val="single"/>
        </w:rPr>
        <w:t>Failure to Pay</w:t>
      </w:r>
      <w:r>
        <w:fldChar w:fldCharType="begin"/>
      </w:r>
      <w:r>
        <w:rPr>
          <w:u w:val="single"/>
          <w:vanish/>
        </w:rPr>
        <w:instrText xml:space="preserve"> TC "9.4</w:instrText>
        <w:tab/>
        <w:instrText xml:space="preserve">Failure to Pay672" \l 1 </w:instrText>
      </w:r>
      <w:r>
        <w:rPr>
          <w:u w:val="single"/>
          <w:vanish/>
        </w:rPr>
        <w:fldChar w:fldCharType="separate"/>
      </w:r>
      <w:bookmarkStart w:id="274" w:name="_Toc493577498"/>
      <w:bookmarkStart w:id="275" w:name="_Toc497198955"/>
      <w:bookmarkStart w:id="276" w:name="_Toc496784910"/>
      <w:bookmarkStart w:id="277" w:name="_Toc496784633"/>
      <w:bookmarkEnd w:id="274"/>
      <w:bookmarkEnd w:id="275"/>
      <w:bookmarkEnd w:id="276"/>
      <w:bookmarkEnd w:id="277"/>
      <w:r>
        <w:rPr>
          <w:vanish/>
          <w:u w:val="single"/>
        </w:rPr>
      </w:r>
      <w:r>
        <w:rPr>
          <w:u w:val="single"/>
          <w:vanish/>
        </w:rPr>
        <w:fldChar w:fldCharType="end"/>
      </w:r>
      <w:r>
        <w:rPr>
          <w:strike/>
        </w:rPr>
        <w:t>&lt;&lt;*&gt;&gt;</w:t>
      </w:r>
      <w:r>
        <w:rPr/>
        <w:t xml:space="preserve">. Irrespective of the requirements for insurance to be secured and maintained </w:t>
      </w:r>
      <w:r>
        <w:rPr>
          <w:strike/>
        </w:rPr>
        <w:t>&lt;hereunder&gt;</w:t>
      </w:r>
      <w:r>
        <w:rPr/>
        <w:t xml:space="preserve"> </w:t>
      </w:r>
      <w:r>
        <w:rPr>
          <w:b/>
          <w:u w:val="double"/>
        </w:rPr>
        <w:t>under this Agreement</w:t>
      </w:r>
      <w:r>
        <w:rPr/>
        <w:t xml:space="preserve">, the insolvency, bankruptcy, or failure of any insurance company carrying insurance </w:t>
      </w:r>
      <w:r>
        <w:rPr>
          <w:strike/>
        </w:rPr>
        <w:t>&lt;of&gt;</w:t>
      </w:r>
      <w:r>
        <w:rPr/>
        <w:t xml:space="preserve"> </w:t>
      </w:r>
      <w:r>
        <w:rPr>
          <w:b/>
          <w:u w:val="double"/>
        </w:rPr>
        <w:t>for</w:t>
      </w:r>
      <w:r>
        <w:rPr/>
        <w:t xml:space="preserve"> any party, or the failure of any insurance company to pay claims accruing, shall not affect, negate or waive any of the provisions of this Agreement, including, without exception, the indemnity obligations of any party.</w:t>
      </w:r>
    </w:p>
    <w:p>
      <w:pPr>
        <w:pStyle w:val="BodyText"/>
        <w:bidi w:val="0"/>
        <w:rPr>
          <w:rFonts w:ascii="Times New Roman" w:hAnsi="Times New Roman"/>
        </w:rPr>
      </w:pPr>
      <w:r>
        <w:rPr/>
      </w:r>
    </w:p>
    <w:p>
      <w:pPr>
        <w:pStyle w:val="Style2toc"/>
        <w:bidi w:val="0"/>
        <w:rPr>
          <w:rFonts w:ascii="Times New Roman" w:hAnsi="Times New Roman"/>
        </w:rPr>
      </w:pPr>
      <w:r>
        <w:rPr/>
        <w:t>9.5</w:t>
        <w:tab/>
      </w:r>
      <w:r>
        <w:rPr>
          <w:u w:val="single"/>
        </w:rPr>
        <w:t>Miscellaneous</w:t>
      </w:r>
      <w:r>
        <w:fldChar w:fldCharType="begin"/>
      </w:r>
      <w:r>
        <w:rPr>
          <w:u w:val="single"/>
          <w:vanish/>
        </w:rPr>
        <w:instrText xml:space="preserve"> TC "9.5</w:instrText>
        <w:tab/>
        <w:instrText xml:space="preserve">Miscellaneous672" \l 1 </w:instrText>
      </w:r>
      <w:r>
        <w:rPr>
          <w:u w:val="single"/>
          <w:vanish/>
        </w:rPr>
        <w:fldChar w:fldCharType="separate"/>
      </w:r>
      <w:bookmarkStart w:id="278" w:name="_Toc496784634"/>
      <w:bookmarkStart w:id="279" w:name="_Toc496784911"/>
      <w:bookmarkStart w:id="280" w:name="_Toc497198956"/>
      <w:bookmarkStart w:id="281" w:name="_Toc493577499"/>
      <w:bookmarkEnd w:id="278"/>
      <w:bookmarkEnd w:id="279"/>
      <w:bookmarkEnd w:id="280"/>
      <w:bookmarkEnd w:id="281"/>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9.5.1</w:t>
        <w:tab/>
      </w:r>
      <w:r>
        <w:rPr>
          <w:u w:val="single"/>
        </w:rPr>
        <w:t>Non-waiver</w:t>
      </w:r>
      <w:r>
        <w:rPr/>
        <w:t>.    Failure of either party to comply with the foregoing insurance requirements shall in no way waive its obligations or liabilities under this Agreement or the rights of Owner hereunder against Contractor, or the rights of Contractor hereunder against Owner.</w:t>
      </w:r>
    </w:p>
    <w:p>
      <w:pPr>
        <w:pStyle w:val="BodyText"/>
        <w:bidi w:val="0"/>
        <w:rPr>
          <w:rFonts w:ascii="Times New Roman" w:hAnsi="Times New Roman"/>
        </w:rPr>
      </w:pPr>
      <w:r>
        <w:rPr/>
      </w:r>
    </w:p>
    <w:p>
      <w:pPr>
        <w:pStyle w:val="BodyText"/>
        <w:bidi w:val="0"/>
        <w:rPr>
          <w:rFonts w:ascii="Times New Roman" w:hAnsi="Times New Roman"/>
        </w:rPr>
      </w:pPr>
      <w:r>
        <w:rPr/>
        <w:tab/>
        <w:t>9.5.2</w:t>
        <w:tab/>
      </w:r>
      <w:r>
        <w:rPr>
          <w:u w:val="single"/>
        </w:rPr>
        <w:t>Right to Insure</w:t>
      </w:r>
      <w:r>
        <w:rPr/>
        <w:t>.    Should either party fail to provide or maintain any of the insurance coverage required under this Article 9, the other party shall have the right to provide or maintain such coverage at the failing party’s expense, either by direct charge or set-off.</w:t>
      </w:r>
    </w:p>
    <w:p>
      <w:pPr>
        <w:pStyle w:val="BodyText"/>
        <w:bidi w:val="0"/>
        <w:rPr>
          <w:rFonts w:ascii="Times New Roman" w:hAnsi="Times New Roman"/>
        </w:rPr>
      </w:pPr>
      <w:r>
        <w:rPr/>
      </w:r>
    </w:p>
    <w:p>
      <w:pPr>
        <w:pStyle w:val="BodyText"/>
        <w:bidi w:val="0"/>
        <w:rPr>
          <w:rFonts w:ascii="Times New Roman" w:hAnsi="Times New Roman"/>
        </w:rPr>
      </w:pPr>
      <w:r>
        <w:rPr/>
        <w:tab/>
        <w:t>9.5.3</w:t>
        <w:tab/>
      </w:r>
      <w:r>
        <w:rPr>
          <w:u w:val="single"/>
        </w:rPr>
        <w:t>Subcontractor Insurance</w:t>
      </w:r>
      <w:r>
        <w:rPr/>
        <w:t xml:space="preserve">.    Before permitting any Subcontractor to perform any Work, Contractor shall obtain a certificate of insurance from each such Subcontractor evidencing that such Subcontractor has obtained, from insurance carriers licensed to do business as required by applicable </w:t>
      </w:r>
      <w:r>
        <w:rPr>
          <w:strike/>
        </w:rPr>
        <w:t>&lt;law&gt;</w:t>
      </w:r>
      <w:r>
        <w:rPr/>
        <w:t xml:space="preserve"> </w:t>
      </w:r>
      <w:r>
        <w:rPr>
          <w:b/>
          <w:u w:val="double"/>
        </w:rPr>
        <w:t>Law,</w:t>
      </w:r>
      <w:r>
        <w:rPr/>
        <w:t xml:space="preserve"> insurance in such amounts and against such risks as is prudent in light of the </w:t>
      </w:r>
      <w:r>
        <w:rPr>
          <w:strike/>
        </w:rPr>
        <w:t>&lt;work&gt;</w:t>
      </w:r>
      <w:r>
        <w:rPr/>
        <w:t xml:space="preserve"> </w:t>
      </w:r>
      <w:r>
        <w:rPr>
          <w:b/>
          <w:u w:val="double"/>
        </w:rPr>
        <w:t>Work</w:t>
      </w:r>
      <w:r>
        <w:rPr/>
        <w:t xml:space="preserve"> to be performed by such Subcontractor, and subject to the commercial availability of such insurance and commensurate with normal practices in the location where such Work is performed.</w:t>
      </w:r>
    </w:p>
    <w:p>
      <w:pPr>
        <w:pStyle w:val="BodyText"/>
        <w:bidi w:val="0"/>
        <w:rPr>
          <w:rFonts w:ascii="Times New Roman" w:hAnsi="Times New Roman"/>
        </w:rPr>
      </w:pPr>
      <w:r>
        <w:rPr/>
      </w:r>
    </w:p>
    <w:p>
      <w:pPr>
        <w:pStyle w:val="BodyText"/>
        <w:bidi w:val="0"/>
        <w:rPr>
          <w:rFonts w:ascii="Times New Roman" w:hAnsi="Times New Roman"/>
        </w:rPr>
      </w:pPr>
      <w:r>
        <w:rPr/>
        <w:tab/>
        <w:t>9.5.4</w:t>
        <w:tab/>
      </w:r>
      <w:r>
        <w:rPr>
          <w:u w:val="single"/>
        </w:rPr>
        <w:t>Compliance with Insurance</w:t>
      </w:r>
      <w:r>
        <w:rPr/>
        <w:t xml:space="preserve">.    Each party and its directors, officers, representatives, agents, and employees shall comply with </w:t>
      </w:r>
      <w:r>
        <w:rPr>
          <w:strike/>
        </w:rPr>
        <w:t>&lt;all&gt;</w:t>
      </w:r>
      <w:r>
        <w:rPr/>
        <w:t xml:space="preserve"> the terms of the policies of insurance referred to in this Article 9, including the procedures for claims notification and administration under such insurance policies</w:t>
      </w:r>
      <w:r>
        <w:rPr>
          <w:b/>
          <w:u w:val="double"/>
        </w:rPr>
        <w:t>,</w:t>
      </w:r>
      <w:r>
        <w:rPr/>
        <w:t xml:space="preserve"> and shall not do or omit to do anything which might render </w:t>
      </w:r>
      <w:r>
        <w:rPr>
          <w:b/>
          <w:u w:val="double"/>
        </w:rPr>
        <w:t>policies</w:t>
      </w:r>
      <w:r>
        <w:rPr/>
        <w:t xml:space="preserve"> voidable </w:t>
      </w:r>
      <w:r>
        <w:rPr>
          <w:strike/>
        </w:rPr>
        <w:t>&lt;policies of insurance&gt;</w:t>
      </w:r>
      <w:r>
        <w:rPr/>
        <w:t xml:space="preserve"> or entitle insurers to avoid liability thereunder.    Contractor shall ensure that all Subcontracts in excess of </w:t>
      </w:r>
      <w:r>
        <w:rPr>
          <w:strike/>
        </w:rPr>
        <w:t>&lt;$1,000,000&gt;</w:t>
      </w:r>
      <w:r>
        <w:rPr/>
        <w:t xml:space="preserve"> </w:t>
      </w:r>
      <w:r>
        <w:rPr>
          <w:b/>
          <w:u w:val="double"/>
        </w:rPr>
        <w:t>$___________</w:t>
      </w:r>
      <w:r>
        <w:rPr/>
        <w:t xml:space="preserve"> shall include provisions similar to this Section 9.5.4.</w:t>
      </w:r>
    </w:p>
    <w:p>
      <w:pPr>
        <w:pStyle w:val="BodyText"/>
        <w:bidi w:val="0"/>
        <w:rPr>
          <w:rFonts w:ascii="Times New Roman" w:hAnsi="Times New Roman"/>
        </w:rPr>
      </w:pPr>
      <w:r>
        <w:rPr/>
      </w:r>
    </w:p>
    <w:p>
      <w:pPr>
        <w:pStyle w:val="BodyText2"/>
        <w:bidi w:val="0"/>
        <w:rPr>
          <w:rFonts w:ascii="Times New Roman" w:hAnsi="Times New Roman"/>
        </w:rPr>
      </w:pPr>
      <w:r>
        <w:rPr/>
        <w:t>9.5.5</w:t>
        <w:tab/>
      </w:r>
      <w:r>
        <w:rPr>
          <w:u w:val="single"/>
        </w:rPr>
        <w:t>Insurance Surveyor</w:t>
      </w:r>
      <w:r>
        <w:rPr/>
        <w:t>.</w:t>
        <w:tab/>
        <w:t xml:space="preserve">The costs of </w:t>
      </w:r>
      <w:r>
        <w:rPr>
          <w:strike/>
        </w:rPr>
        <w:t>&lt;the&gt;</w:t>
      </w:r>
      <w:r>
        <w:rPr/>
        <w:t xml:space="preserve"> </w:t>
      </w:r>
      <w:r>
        <w:rPr>
          <w:b/>
          <w:u w:val="double"/>
        </w:rPr>
        <w:t>any</w:t>
      </w:r>
      <w:r>
        <w:rPr/>
        <w:t xml:space="preserve"> insurance surveyor shall be paid by Owner.</w:t>
      </w:r>
    </w:p>
    <w:p>
      <w:pPr>
        <w:pStyle w:val="BodyText2"/>
        <w:bidi w:val="0"/>
        <w:rPr>
          <w:rFonts w:ascii="Times New Roman" w:hAnsi="Times New Roman"/>
        </w:rPr>
      </w:pPr>
      <w:r>
        <w:rPr/>
      </w:r>
    </w:p>
    <w:p>
      <w:pPr>
        <w:pStyle w:val="Style1toc"/>
        <w:keepNext w:val="true"/>
        <w:bidi w:val="0"/>
        <w:rPr>
          <w:rFonts w:ascii="Times New Roman" w:hAnsi="Times New Roman"/>
        </w:rPr>
      </w:pPr>
      <w:r>
        <w:rPr/>
        <w:t>ARTICLE 10</w:t>
      </w:r>
      <w:r>
        <w:fldChar w:fldCharType="begin"/>
      </w:r>
      <w:r>
        <w:rPr>
          <w:vanish/>
        </w:rPr>
        <w:instrText xml:space="preserve"> TC "ARTICLE 10  DOCUMENTATION671" \l 1 </w:instrText>
      </w:r>
      <w:r>
        <w:rPr>
          <w:vanish/>
        </w:rPr>
        <w:fldChar w:fldCharType="separate"/>
      </w:r>
      <w:bookmarkStart w:id="282" w:name="_Toc493577500"/>
      <w:bookmarkStart w:id="283" w:name="_Toc497198957"/>
      <w:bookmarkStart w:id="284" w:name="_Toc496784912"/>
      <w:bookmarkStart w:id="285" w:name="_Toc496784635"/>
      <w:bookmarkEnd w:id="282"/>
      <w:bookmarkEnd w:id="283"/>
      <w:bookmarkEnd w:id="284"/>
      <w:bookmarkEnd w:id="285"/>
      <w:r>
        <w:rPr>
          <w:vanish/>
        </w:rPr>
      </w:r>
      <w:r>
        <w:rPr>
          <w:vanish/>
        </w:rPr>
        <w:fldChar w:fldCharType="end"/>
      </w:r>
      <w:r>
        <w:rPr>
          <w:strike/>
        </w:rPr>
        <w:t>&lt;&lt;*&gt;&gt;</w:t>
      </w:r>
    </w:p>
    <w:p>
      <w:pPr>
        <w:pStyle w:val="Style1toc"/>
        <w:keepNext w:val="true"/>
        <w:bidi w:val="0"/>
        <w:rPr>
          <w:rFonts w:ascii="Times New Roman" w:hAnsi="Times New Roman"/>
        </w:rPr>
      </w:pPr>
      <w:r>
        <w:rPr/>
        <w:t>DOCUMENTATION</w:t>
      </w:r>
    </w:p>
    <w:p>
      <w:pPr>
        <w:pStyle w:val="Style2toc"/>
        <w:keepLines/>
        <w:bidi w:val="0"/>
        <w:rPr>
          <w:rFonts w:ascii="Times New Roman" w:hAnsi="Times New Roman"/>
        </w:rPr>
      </w:pPr>
      <w:r>
        <w:rPr/>
      </w:r>
    </w:p>
    <w:p>
      <w:pPr>
        <w:pStyle w:val="Style2toc"/>
        <w:bidi w:val="0"/>
        <w:rPr>
          <w:rFonts w:ascii="Times New Roman" w:hAnsi="Times New Roman"/>
        </w:rPr>
      </w:pPr>
      <w:r>
        <w:rPr/>
        <w:t>10.1</w:t>
        <w:tab/>
      </w:r>
      <w:r>
        <w:rPr>
          <w:u w:val="single"/>
        </w:rPr>
        <w:t>Delivery of Job Books</w:t>
      </w:r>
      <w:r>
        <w:fldChar w:fldCharType="begin"/>
      </w:r>
      <w:r>
        <w:rPr>
          <w:u w:val="single"/>
          <w:vanish/>
        </w:rPr>
        <w:instrText xml:space="preserve"> TC "10.1</w:instrText>
        <w:tab/>
        <w:instrText xml:space="preserve">Delivery of Job Books672" \l 1 </w:instrText>
      </w:r>
      <w:r>
        <w:rPr>
          <w:u w:val="single"/>
          <w:vanish/>
        </w:rPr>
        <w:fldChar w:fldCharType="separate"/>
      </w:r>
      <w:bookmarkStart w:id="286" w:name="_Toc493577501"/>
      <w:bookmarkStart w:id="287" w:name="_Toc497198958"/>
      <w:bookmarkStart w:id="288" w:name="_Toc496784913"/>
      <w:bookmarkStart w:id="289" w:name="_Toc496784636"/>
      <w:bookmarkEnd w:id="286"/>
      <w:bookmarkEnd w:id="287"/>
      <w:bookmarkEnd w:id="288"/>
      <w:bookmarkEnd w:id="289"/>
      <w:r>
        <w:rPr>
          <w:vanish/>
          <w:u w:val="single"/>
        </w:rPr>
      </w:r>
      <w:r>
        <w:rPr>
          <w:u w:val="single"/>
          <w:vanish/>
        </w:rPr>
        <w:fldChar w:fldCharType="end"/>
      </w:r>
      <w:r>
        <w:rPr>
          <w:strike/>
        </w:rPr>
        <w:t>&lt;&lt;*&gt;&gt;</w:t>
      </w:r>
      <w:r>
        <w:rPr/>
        <w:t xml:space="preserve">. At least sixty (60) days prior to commencement of commissioning of the first major Facility system, Contractor shall deliver to Owner eight (8) copies of the semifinal draft of the job books for the Facility (the “Job Books”) in the format and including the information and materials described in </w:t>
      </w:r>
      <w:r>
        <w:rPr>
          <w:u w:val="single"/>
        </w:rPr>
        <w:t>Exhibit R-1</w:t>
      </w:r>
      <w:r>
        <w:rPr/>
        <w:t xml:space="preserve">.    Such semifinal draft shall be without as-built drawings, but as reasonably complete as available information will allow, with sufficient information to permit the training of Owner’s operators and the normal operation and maintenance of the Facility by Persons generally familiar with plants similar to the Facility.    Within ninety (90) days after Substantial Completion, Contractor shall provide to Owner eight (8) copies of the final Job Books, including complete sets of as-built drawings, in accordance with the provisions of </w:t>
      </w:r>
      <w:r>
        <w:rPr>
          <w:u w:val="single"/>
        </w:rPr>
        <w:t>Exhibit R-1</w:t>
      </w:r>
      <w:r>
        <w:rPr/>
        <w:t>.    For any early start-up of an individual unit or system, Contractor shall provide on a timely basis the appropriate portions of the Job Books containing adequate information to enable proper orientation and training of qualified personnel to permit a safe, efficient</w:t>
      </w:r>
      <w:r>
        <w:rPr>
          <w:strike/>
        </w:rPr>
        <w:t>&lt;,&gt;</w:t>
      </w:r>
      <w:r>
        <w:rPr/>
        <w:t xml:space="preserve"> and effective start-up of such unit or system.</w:t>
      </w:r>
    </w:p>
    <w:p>
      <w:pPr>
        <w:pStyle w:val="BodyText"/>
        <w:bidi w:val="0"/>
        <w:rPr>
          <w:rFonts w:ascii="Times New Roman" w:hAnsi="Times New Roman"/>
        </w:rPr>
      </w:pPr>
      <w:r>
        <w:rPr/>
      </w:r>
    </w:p>
    <w:p>
      <w:pPr>
        <w:pStyle w:val="Style2toc"/>
        <w:bidi w:val="0"/>
        <w:rPr>
          <w:rFonts w:ascii="Times New Roman" w:hAnsi="Times New Roman"/>
        </w:rPr>
      </w:pPr>
      <w:r>
        <w:rPr/>
        <w:t>10.2</w:t>
        <w:tab/>
      </w:r>
      <w:r>
        <w:rPr>
          <w:u w:val="single"/>
        </w:rPr>
        <w:t>Project Manual</w:t>
      </w:r>
      <w:r>
        <w:fldChar w:fldCharType="begin"/>
      </w:r>
      <w:r>
        <w:rPr>
          <w:u w:val="single"/>
          <w:vanish/>
        </w:rPr>
        <w:instrText xml:space="preserve"> TC "10.2</w:instrText>
        <w:tab/>
        <w:instrText xml:space="preserve">Project Manual672" \l 1 </w:instrText>
      </w:r>
      <w:r>
        <w:rPr>
          <w:u w:val="single"/>
          <w:vanish/>
        </w:rPr>
        <w:fldChar w:fldCharType="separate"/>
      </w:r>
      <w:bookmarkStart w:id="290" w:name="_Toc496784637"/>
      <w:bookmarkStart w:id="291" w:name="_Toc493577502"/>
      <w:bookmarkStart w:id="292" w:name="_Toc497198959"/>
      <w:bookmarkStart w:id="293" w:name="_Toc496784914"/>
      <w:bookmarkEnd w:id="290"/>
      <w:bookmarkEnd w:id="291"/>
      <w:bookmarkEnd w:id="292"/>
      <w:bookmarkEnd w:id="293"/>
      <w:r>
        <w:rPr>
          <w:vanish/>
          <w:u w:val="single"/>
        </w:rPr>
      </w:r>
      <w:r>
        <w:rPr>
          <w:u w:val="single"/>
          <w:vanish/>
        </w:rPr>
        <w:fldChar w:fldCharType="end"/>
      </w:r>
      <w:r>
        <w:rPr>
          <w:strike/>
        </w:rPr>
        <w:t>&lt;&lt;*&gt;&gt;</w:t>
      </w:r>
      <w:r>
        <w:rPr/>
        <w:t xml:space="preserve">.    Contractor will provide within sixty (60) days after the </w:t>
      </w:r>
      <w:r>
        <w:rPr>
          <w:strike/>
        </w:rPr>
        <w:t>&lt;earlier of the Preliminary Notice to Proceed or&gt;</w:t>
      </w:r>
      <w:r>
        <w:rPr/>
        <w:t xml:space="preserve"> Notice to Proceed Effective Date, two (2) hard copy sets of the project execution plan </w:t>
      </w:r>
      <w:r>
        <w:rPr>
          <w:strike/>
        </w:rPr>
        <w:t>&lt;which&gt;</w:t>
      </w:r>
      <w:r>
        <w:rPr/>
        <w:t xml:space="preserve"> </w:t>
      </w:r>
      <w:r>
        <w:rPr>
          <w:b/>
          <w:u w:val="double"/>
        </w:rPr>
        <w:t>for Owner’s review, comment, and ultimate agreement by the parties.    The Project execution plan</w:t>
      </w:r>
      <w:r>
        <w:rPr/>
        <w:t xml:space="preserve"> shall include the following; provided that, any document specified below may be provided later so long as the same is provided within ten (10) days after the date it is due under this Agreement:</w:t>
      </w:r>
    </w:p>
    <w:p>
      <w:pPr>
        <w:pStyle w:val="NormalIndent"/>
        <w:bidi w:val="0"/>
        <w:ind w:hanging="0" w:start="2160"/>
        <w:jc w:val="both"/>
        <w:rPr>
          <w:rFonts w:ascii="Times New Roman" w:hAnsi="Times New Roman"/>
          <w:sz w:val="23"/>
        </w:rPr>
      </w:pPr>
      <w:r>
        <w:rPr>
          <w:sz w:val="23"/>
        </w:rPr>
        <w:t>Project organization details</w:t>
      </w:r>
    </w:p>
    <w:p>
      <w:pPr>
        <w:pStyle w:val="NormalIndent"/>
        <w:bidi w:val="0"/>
        <w:spacing w:before="0" w:after="0"/>
        <w:ind w:hanging="0" w:start="2160"/>
        <w:jc w:val="both"/>
        <w:rPr>
          <w:rFonts w:ascii="Times New Roman" w:hAnsi="Times New Roman"/>
          <w:sz w:val="23"/>
        </w:rPr>
      </w:pPr>
      <w:r>
        <w:rPr>
          <w:sz w:val="23"/>
        </w:rPr>
        <w:t>Administrative procedures for project execution</w:t>
      </w:r>
    </w:p>
    <w:p>
      <w:pPr>
        <w:pStyle w:val="NormalIndent"/>
        <w:bidi w:val="0"/>
        <w:spacing w:before="0" w:after="0"/>
        <w:ind w:hanging="0" w:start="2160"/>
        <w:jc w:val="both"/>
        <w:rPr>
          <w:rFonts w:ascii="Times New Roman" w:hAnsi="Times New Roman"/>
          <w:sz w:val="23"/>
        </w:rPr>
      </w:pPr>
      <w:r>
        <w:rPr>
          <w:sz w:val="23"/>
        </w:rPr>
        <w:t>Description of project report contents</w:t>
      </w:r>
    </w:p>
    <w:p>
      <w:pPr>
        <w:pStyle w:val="NormalIndent"/>
        <w:bidi w:val="0"/>
        <w:spacing w:before="0" w:after="0"/>
        <w:ind w:hanging="0" w:start="2160"/>
        <w:jc w:val="both"/>
        <w:rPr>
          <w:rFonts w:ascii="Times New Roman" w:hAnsi="Times New Roman"/>
          <w:sz w:val="23"/>
        </w:rPr>
      </w:pPr>
      <w:r>
        <w:rPr>
          <w:sz w:val="23"/>
        </w:rPr>
        <w:t>List of Key Subcontractors</w:t>
      </w:r>
    </w:p>
    <w:p>
      <w:pPr>
        <w:pStyle w:val="NormalIndent"/>
        <w:bidi w:val="0"/>
        <w:spacing w:before="0" w:after="0"/>
        <w:ind w:hanging="0" w:start="2160"/>
        <w:jc w:val="both"/>
        <w:rPr>
          <w:rFonts w:ascii="Times New Roman" w:hAnsi="Times New Roman"/>
          <w:sz w:val="23"/>
        </w:rPr>
      </w:pPr>
      <w:r>
        <w:rPr>
          <w:sz w:val="23"/>
        </w:rPr>
        <w:t>Safety regulations</w:t>
      </w:r>
    </w:p>
    <w:p>
      <w:pPr>
        <w:pStyle w:val="NormalIndent"/>
        <w:bidi w:val="0"/>
        <w:spacing w:before="0" w:after="0"/>
        <w:ind w:hanging="0" w:start="2160"/>
        <w:jc w:val="both"/>
        <w:rPr>
          <w:rFonts w:ascii="Times New Roman" w:hAnsi="Times New Roman"/>
          <w:sz w:val="23"/>
        </w:rPr>
      </w:pPr>
      <w:r>
        <w:rPr>
          <w:sz w:val="23"/>
        </w:rPr>
        <w:t>Safety Manuals</w:t>
      </w:r>
    </w:p>
    <w:p>
      <w:pPr>
        <w:pStyle w:val="NormalIndent"/>
        <w:bidi w:val="0"/>
        <w:spacing w:before="0" w:after="0"/>
        <w:ind w:hanging="0" w:start="2160"/>
        <w:jc w:val="both"/>
        <w:rPr>
          <w:rFonts w:ascii="Times New Roman" w:hAnsi="Times New Roman"/>
          <w:sz w:val="23"/>
        </w:rPr>
      </w:pPr>
      <w:r>
        <w:rPr>
          <w:sz w:val="23"/>
        </w:rPr>
        <w:t>Quality Assurance/Quality Control policies</w:t>
      </w:r>
    </w:p>
    <w:p>
      <w:pPr>
        <w:pStyle w:val="NormalIndent"/>
        <w:bidi w:val="0"/>
        <w:spacing w:before="0" w:after="0"/>
        <w:ind w:hanging="0" w:start="2160"/>
        <w:jc w:val="both"/>
        <w:rPr>
          <w:rFonts w:ascii="Times New Roman" w:hAnsi="Times New Roman"/>
          <w:sz w:val="23"/>
        </w:rPr>
      </w:pPr>
      <w:r>
        <w:rPr>
          <w:sz w:val="23"/>
        </w:rPr>
        <w:t>Inspection and test programs</w:t>
      </w:r>
    </w:p>
    <w:p>
      <w:pPr>
        <w:pStyle w:val="NormalIndent"/>
        <w:bidi w:val="0"/>
        <w:spacing w:before="0" w:after="0"/>
        <w:ind w:hanging="0" w:start="2160"/>
        <w:jc w:val="both"/>
        <w:rPr>
          <w:rFonts w:ascii="Times New Roman" w:hAnsi="Times New Roman"/>
          <w:sz w:val="23"/>
        </w:rPr>
      </w:pPr>
      <w:r>
        <w:rPr>
          <w:sz w:val="23"/>
        </w:rPr>
        <w:t>Procedures for test witnessing</w:t>
      </w:r>
    </w:p>
    <w:p>
      <w:pPr>
        <w:pStyle w:val="NormalIndent"/>
        <w:bidi w:val="0"/>
        <w:spacing w:before="0" w:after="0"/>
        <w:ind w:hanging="0" w:start="2160"/>
        <w:jc w:val="both"/>
        <w:rPr>
          <w:rFonts w:ascii="Times New Roman" w:hAnsi="Times New Roman"/>
          <w:sz w:val="23"/>
        </w:rPr>
      </w:pPr>
      <w:r>
        <w:rPr>
          <w:sz w:val="23"/>
        </w:rPr>
        <w:t>Witness and hold points</w:t>
      </w:r>
    </w:p>
    <w:p>
      <w:pPr>
        <w:pStyle w:val="Normal"/>
        <w:bidi w:val="0"/>
        <w:jc w:val="start"/>
        <w:rPr>
          <w:sz w:val="23"/>
        </w:rPr>
      </w:pPr>
      <w:r>
        <w:rPr>
          <w:strike/>
          <w:sz w:val="23"/>
        </w:rPr>
        <w:t>&lt;for Owner’s review, comment, and ultimate agreement by the parties.&gt;</w:t>
      </w:r>
    </w:p>
    <w:p>
      <w:pPr>
        <w:pStyle w:val="Style2toc"/>
        <w:bidi w:val="0"/>
        <w:rPr>
          <w:rFonts w:ascii="Times New Roman" w:hAnsi="Times New Roman"/>
        </w:rPr>
      </w:pPr>
      <w:r>
        <w:rPr/>
        <w:t>10.3</w:t>
        <w:tab/>
      </w:r>
      <w:r>
        <w:rPr>
          <w:u w:val="single"/>
        </w:rPr>
        <w:t>Machine Readable Information</w:t>
      </w:r>
      <w:r>
        <w:fldChar w:fldCharType="begin"/>
      </w:r>
      <w:r>
        <w:rPr>
          <w:u w:val="single"/>
          <w:vanish/>
        </w:rPr>
        <w:instrText xml:space="preserve"> TC "10.3</w:instrText>
        <w:tab/>
        <w:instrText xml:space="preserve">Machine Readable Information672" \l 1 </w:instrText>
      </w:r>
      <w:r>
        <w:rPr>
          <w:u w:val="single"/>
          <w:vanish/>
        </w:rPr>
        <w:fldChar w:fldCharType="separate"/>
      </w:r>
      <w:bookmarkStart w:id="294" w:name="_Toc493577503"/>
      <w:bookmarkStart w:id="295" w:name="_Toc497198960"/>
      <w:bookmarkStart w:id="296" w:name="_Toc496784915"/>
      <w:bookmarkStart w:id="297" w:name="_Toc496784638"/>
      <w:bookmarkEnd w:id="294"/>
      <w:bookmarkEnd w:id="295"/>
      <w:bookmarkEnd w:id="296"/>
      <w:bookmarkEnd w:id="297"/>
      <w:r>
        <w:rPr>
          <w:vanish/>
          <w:u w:val="single"/>
        </w:rPr>
      </w:r>
      <w:r>
        <w:rPr>
          <w:u w:val="single"/>
          <w:vanish/>
        </w:rPr>
        <w:fldChar w:fldCharType="end"/>
      </w:r>
      <w:r>
        <w:rPr>
          <w:strike/>
        </w:rPr>
        <w:t>&lt;&lt;*&gt;&gt;</w:t>
      </w:r>
      <w:r>
        <w:rPr/>
        <w:t xml:space="preserve">.    Where any of the information to be provided by Contractor to Owner </w:t>
      </w:r>
      <w:r>
        <w:rPr>
          <w:strike/>
        </w:rPr>
        <w:t>&lt;pursuant to&gt;</w:t>
      </w:r>
      <w:r>
        <w:rPr/>
        <w:t xml:space="preserve"> </w:t>
      </w:r>
      <w:r>
        <w:rPr>
          <w:b/>
          <w:u w:val="double"/>
        </w:rPr>
        <w:t>under</w:t>
      </w:r>
      <w:r>
        <w:rPr/>
        <w:t xml:space="preserve"> this Article 10 is produced on computer or is otherwise available in magnetic, optical, or other digital machine readable form, Contractor shall provide to Owner a machine readable copy of such information as well as a hard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w:t>
      </w:r>
      <w:r>
        <w:rPr>
          <w:strike/>
        </w:rPr>
        <w:t>&lt;inexactitudes,&gt;</w:t>
      </w:r>
      <w:r>
        <w:rPr/>
        <w:t xml:space="preserve"> anomalies</w:t>
      </w:r>
      <w:r>
        <w:rPr>
          <w:strike/>
        </w:rPr>
        <w:t>&lt;,&gt;</w:t>
      </w:r>
      <w:r>
        <w:rPr/>
        <w:t xml:space="preserve"> and errors, Owner shall use such information in machine readable form at its sole risk, and Contractor shall bear no liability for such use.    Contractor shall retain hard copy originals of all documentation delivered to Owner in machine readable form, which originals shall be referred to and shall govern in the event of any inconsistency between the two.</w:t>
      </w:r>
    </w:p>
    <w:p>
      <w:pPr>
        <w:pStyle w:val="Normal"/>
        <w:bidi w:val="0"/>
        <w:jc w:val="start"/>
        <w:rPr>
          <w:sz w:val="23"/>
        </w:rPr>
      </w:pPr>
      <w:r>
        <w:rPr>
          <w:sz w:val="23"/>
        </w:rPr>
      </w:r>
    </w:p>
    <w:p>
      <w:pPr>
        <w:pStyle w:val="Style2toc"/>
        <w:bidi w:val="0"/>
        <w:rPr>
          <w:rFonts w:ascii="Times New Roman" w:hAnsi="Times New Roman"/>
        </w:rPr>
      </w:pPr>
      <w:r>
        <w:rPr/>
        <w:t>10.4</w:t>
        <w:tab/>
      </w:r>
      <w:r>
        <w:rPr>
          <w:u w:val="single"/>
        </w:rPr>
        <w:t>QA/QC Shop and Site Records</w:t>
      </w:r>
      <w:r>
        <w:fldChar w:fldCharType="begin"/>
      </w:r>
      <w:r>
        <w:rPr>
          <w:u w:val="single"/>
          <w:vanish/>
        </w:rPr>
        <w:instrText xml:space="preserve"> TC "10.4</w:instrText>
        <w:tab/>
        <w:instrText xml:space="preserve">QA/QC Shop and Site Records672" \l 1 </w:instrText>
      </w:r>
      <w:r>
        <w:rPr>
          <w:u w:val="single"/>
          <w:vanish/>
        </w:rPr>
        <w:fldChar w:fldCharType="separate"/>
      </w:r>
      <w:bookmarkStart w:id="298" w:name="_Toc493577504"/>
      <w:bookmarkStart w:id="299" w:name="_Toc497198961"/>
      <w:bookmarkStart w:id="300" w:name="_Toc496784916"/>
      <w:bookmarkStart w:id="301" w:name="_Toc496784639"/>
      <w:bookmarkEnd w:id="298"/>
      <w:bookmarkEnd w:id="299"/>
      <w:bookmarkEnd w:id="300"/>
      <w:bookmarkEnd w:id="301"/>
      <w:r>
        <w:rPr>
          <w:vanish/>
          <w:u w:val="single"/>
        </w:rPr>
      </w:r>
      <w:r>
        <w:rPr>
          <w:u w:val="single"/>
          <w:vanish/>
        </w:rPr>
        <w:fldChar w:fldCharType="end"/>
      </w:r>
      <w:r>
        <w:rPr>
          <w:strike/>
        </w:rPr>
        <w:t>&lt;&lt;*&gt;&gt;</w:t>
      </w:r>
      <w:r>
        <w:rPr/>
        <w:t xml:space="preserve">.    </w:t>
      </w:r>
    </w:p>
    <w:p>
      <w:pPr>
        <w:pStyle w:val="bodytext3level"/>
        <w:keepNext w:val="true"/>
        <w:bidi w:val="0"/>
        <w:rPr>
          <w:rFonts w:ascii="Times New Roman" w:hAnsi="Times New Roman"/>
          <w:sz w:val="23"/>
        </w:rPr>
      </w:pPr>
      <w:r>
        <w:rPr>
          <w:color w:val="00007F"/>
          <w:sz w:val="23"/>
        </w:rPr>
        <w:tab/>
        <w:t>10.4.1</w:t>
        <w:tab/>
      </w:r>
      <w:r>
        <w:rPr>
          <w:color w:val="00007F"/>
          <w:sz w:val="23"/>
          <w:u w:val="single"/>
        </w:rPr>
        <w:t>Site QA/QC Records</w:t>
      </w:r>
      <w:r>
        <w:rPr>
          <w:color w:val="00007F"/>
          <w:sz w:val="23"/>
        </w:rPr>
        <w:t>.</w:t>
      </w:r>
      <w:r>
        <w:rPr>
          <w:sz w:val="23"/>
        </w:rPr>
        <w:t xml:space="preserve">    </w:t>
      </w:r>
    </w:p>
    <w:p>
      <w:pPr>
        <w:pStyle w:val="bodytext1"/>
        <w:bidi w:val="0"/>
        <w:spacing w:lineRule="atLeast" w:line="240"/>
        <w:ind w:hanging="0" w:start="1440"/>
        <w:jc w:val="both"/>
        <w:rPr>
          <w:rFonts w:ascii="Times New Roman" w:hAnsi="Times New Roman"/>
          <w:sz w:val="23"/>
        </w:rPr>
      </w:pPr>
      <w:r>
        <w:rPr>
          <w:sz w:val="23"/>
        </w:rPr>
        <w:t>Contractor shall submit to Owner two (2) hard copy sets of quality assurance and quality control records associated with construction within ninety (90) days after Substantial Completion.</w:t>
      </w:r>
    </w:p>
    <w:p>
      <w:pPr>
        <w:pStyle w:val="bodytext3level"/>
        <w:bidi w:val="0"/>
        <w:rPr>
          <w:rFonts w:ascii="Times New Roman" w:hAnsi="Times New Roman"/>
          <w:sz w:val="23"/>
        </w:rPr>
      </w:pPr>
      <w:r>
        <w:rPr>
          <w:color w:val="00007F"/>
          <w:sz w:val="23"/>
        </w:rPr>
        <w:tab/>
        <w:t>10.4.2</w:t>
        <w:tab/>
      </w:r>
      <w:r>
        <w:rPr>
          <w:color w:val="00007F"/>
          <w:sz w:val="23"/>
          <w:u w:val="single"/>
        </w:rPr>
        <w:t>One Documentation Set</w:t>
      </w:r>
      <w:r>
        <w:rPr>
          <w:color w:val="00007F"/>
          <w:sz w:val="23"/>
        </w:rPr>
        <w:t>.</w:t>
      </w:r>
      <w:r>
        <w:rPr>
          <w:sz w:val="23"/>
        </w:rPr>
        <w:t xml:space="preserve">    </w:t>
      </w:r>
    </w:p>
    <w:p>
      <w:pPr>
        <w:pStyle w:val="bodytext1"/>
        <w:bidi w:val="0"/>
        <w:spacing w:lineRule="atLeast" w:line="240"/>
        <w:ind w:hanging="0" w:start="1440"/>
        <w:jc w:val="both"/>
        <w:rPr>
          <w:rFonts w:ascii="Times New Roman" w:hAnsi="Times New Roman"/>
          <w:sz w:val="23"/>
        </w:rPr>
      </w:pPr>
      <w:r>
        <w:rPr>
          <w:sz w:val="23"/>
        </w:rPr>
        <w:t>The documentation described in Sections 10.1 and 10.5, and the QA/QC shop records as set forth in Section 10.4 (“Documentation”) shall be provided by    Contractor to Owner in a single documentation set as a condition to achieving Final Completion.</w:t>
      </w:r>
    </w:p>
    <w:p>
      <w:pPr>
        <w:pStyle w:val="Normal"/>
        <w:bidi w:val="0"/>
        <w:jc w:val="both"/>
        <w:rPr>
          <w:sz w:val="23"/>
        </w:rPr>
      </w:pPr>
      <w:r>
        <w:rPr>
          <w:sz w:val="23"/>
        </w:rPr>
      </w:r>
    </w:p>
    <w:p>
      <w:pPr>
        <w:pStyle w:val="Style2toc"/>
        <w:bidi w:val="0"/>
        <w:rPr>
          <w:rFonts w:ascii="Times New Roman" w:hAnsi="Times New Roman"/>
        </w:rPr>
      </w:pPr>
      <w:r>
        <w:rPr/>
        <w:t>10.5</w:t>
        <w:tab/>
      </w:r>
      <w:r>
        <w:rPr>
          <w:u w:val="single"/>
        </w:rPr>
        <w:t>Drawings</w:t>
      </w:r>
      <w:r>
        <w:fldChar w:fldCharType="begin"/>
      </w:r>
      <w:r>
        <w:rPr>
          <w:u w:val="single"/>
          <w:vanish/>
        </w:rPr>
        <w:instrText xml:space="preserve"> TC "10.5</w:instrText>
        <w:tab/>
        <w:instrText xml:space="preserve">Drawings672" \l 1 </w:instrText>
      </w:r>
      <w:r>
        <w:rPr>
          <w:u w:val="single"/>
          <w:vanish/>
        </w:rPr>
        <w:fldChar w:fldCharType="separate"/>
      </w:r>
      <w:bookmarkStart w:id="302" w:name="_Toc493577505"/>
      <w:bookmarkStart w:id="303" w:name="_Toc496784640"/>
      <w:bookmarkStart w:id="304" w:name="_Toc496784917"/>
      <w:bookmarkStart w:id="305" w:name="_Toc497198962"/>
      <w:bookmarkEnd w:id="302"/>
      <w:bookmarkEnd w:id="303"/>
      <w:bookmarkEnd w:id="304"/>
      <w:bookmarkEnd w:id="305"/>
      <w:r>
        <w:rPr>
          <w:vanish/>
          <w:u w:val="single"/>
        </w:rPr>
      </w:r>
      <w:r>
        <w:rPr>
          <w:u w:val="single"/>
          <w:vanish/>
        </w:rPr>
        <w:fldChar w:fldCharType="end"/>
      </w:r>
      <w:r>
        <w:rPr>
          <w:strike/>
        </w:rPr>
        <w:t>&lt;&lt;*&gt;&gt;</w:t>
      </w:r>
      <w:r>
        <w:rPr/>
        <w:t>.    Two (2) hard copy sets of preliminary drawings shall be provided by Contractor upon completion of said drawings, but not later than sixty (60) days prior to the start of the commissioning of the corresponding individual system or unit.</w:t>
      </w:r>
    </w:p>
    <w:p>
      <w:pPr>
        <w:pStyle w:val="bodytext1"/>
        <w:bidi w:val="0"/>
        <w:spacing w:lineRule="atLeast" w:line="240"/>
        <w:ind w:hanging="0" w:start="720"/>
        <w:jc w:val="both"/>
        <w:rPr>
          <w:rFonts w:ascii="Times New Roman" w:hAnsi="Times New Roman"/>
          <w:sz w:val="23"/>
        </w:rPr>
      </w:pPr>
      <w:r>
        <w:rPr>
          <w:sz w:val="23"/>
        </w:rPr>
        <w:t>Three (3) hard copy sets of the final updated reproducible “as-built” drawings shall be provided by Contractor    ninety (90) days after Substantial Completion.</w:t>
      </w:r>
    </w:p>
    <w:p>
      <w:pPr>
        <w:pStyle w:val="Style2toc"/>
        <w:bidi w:val="0"/>
        <w:spacing w:before="240" w:after="0"/>
        <w:rPr>
          <w:rFonts w:ascii="Times New Roman" w:hAnsi="Times New Roman"/>
        </w:rPr>
      </w:pPr>
      <w:r>
        <w:rPr>
          <w:color w:val="00007F"/>
        </w:rPr>
        <w:t>10.6</w:t>
        <w:tab/>
      </w:r>
      <w:r>
        <w:rPr>
          <w:color w:val="00007F"/>
          <w:u w:val="single"/>
        </w:rPr>
        <w:t>Document Submittals</w:t>
      </w:r>
      <w:r>
        <w:fldChar w:fldCharType="begin"/>
      </w:r>
      <w:r>
        <w:rPr>
          <w:u w:val="single"/>
          <w:vanish/>
          <w:color w:val="00007F"/>
        </w:rPr>
        <w:instrText xml:space="preserve"> TC "10.5</w:instrText>
        <w:tab/>
        <w:instrText xml:space="preserve">Document Submittals672" \l 1 </w:instrText>
      </w:r>
      <w:r>
        <w:rPr>
          <w:u w:val="single"/>
          <w:vanish/>
          <w:color w:val="00007F"/>
        </w:rPr>
        <w:fldChar w:fldCharType="separate"/>
      </w:r>
      <w:bookmarkStart w:id="306" w:name="_Toc493577506"/>
      <w:bookmarkStart w:id="307" w:name="_Toc497198963"/>
      <w:bookmarkStart w:id="308" w:name="_Toc496784918"/>
      <w:bookmarkStart w:id="309" w:name="_Toc496784641"/>
      <w:bookmarkEnd w:id="306"/>
      <w:bookmarkEnd w:id="307"/>
      <w:bookmarkEnd w:id="308"/>
      <w:bookmarkEnd w:id="309"/>
      <w:r>
        <w:rPr>
          <w:vanish/>
          <w:color w:val="00007F"/>
          <w:u w:val="single"/>
        </w:rPr>
      </w:r>
      <w:r>
        <w:rPr>
          <w:u w:val="single"/>
          <w:vanish/>
          <w:color w:val="00007F"/>
        </w:rPr>
        <w:fldChar w:fldCharType="end"/>
      </w:r>
      <w:r>
        <w:rPr>
          <w:strike/>
        </w:rPr>
        <w:t>&lt;&lt;*&gt;&gt;</w:t>
      </w:r>
    </w:p>
    <w:p>
      <w:pPr>
        <w:pStyle w:val="bodylevel4"/>
        <w:bidi w:val="0"/>
        <w:spacing w:lineRule="auto" w:line="240"/>
        <w:rPr>
          <w:rFonts w:ascii="Times New Roman" w:hAnsi="Times New Roman"/>
          <w:sz w:val="23"/>
        </w:rPr>
      </w:pPr>
      <w:r>
        <w:rPr>
          <w:sz w:val="23"/>
        </w:rPr>
        <w:t>(a)</w:t>
        <w:tab/>
        <w:t>Within ten (10) Business Days of receipt each item of Documentation, Owner shall review the same and provide to Contractor any comments.</w:t>
      </w:r>
    </w:p>
    <w:p>
      <w:pPr>
        <w:pStyle w:val="bodylevel4"/>
        <w:bidi w:val="0"/>
        <w:spacing w:lineRule="auto" w:line="240"/>
        <w:rPr>
          <w:rFonts w:ascii="Times New Roman" w:hAnsi="Times New Roman"/>
          <w:sz w:val="23"/>
        </w:rPr>
      </w:pPr>
      <w:r>
        <w:rPr>
          <w:sz w:val="23"/>
        </w:rPr>
        <w:t>(b)</w:t>
        <w:tab/>
        <w:t>Upon receipt of any comments from Owner, Contractor shall diligently work to correct and resubmit such returned documentation within ten (10) Business Days.</w:t>
      </w:r>
    </w:p>
    <w:p>
      <w:pPr>
        <w:pStyle w:val="bodytext1"/>
        <w:bidi w:val="0"/>
        <w:spacing w:lineRule="atLeast" w:line="240"/>
        <w:ind w:firstLine="720" w:start="720"/>
        <w:jc w:val="both"/>
        <w:rPr>
          <w:rFonts w:ascii="Times New Roman" w:hAnsi="Times New Roman"/>
          <w:sz w:val="23"/>
        </w:rPr>
      </w:pPr>
      <w:r>
        <w:rPr>
          <w:sz w:val="23"/>
        </w:rPr>
        <w:t>Owner’s review of any drawing or document hereunder shall not be construed as constituting approval of Contractor's Work, nor shall Owner’s failure to review or failure to comment be construed as approval or disapproval. Contractor at all times shall retain responsibility for Work that meets the requirements of this Agreement, regardless of whether Owner has reviewed Contractor's drawings or documents.</w:t>
      </w:r>
    </w:p>
    <w:p>
      <w:pPr>
        <w:pStyle w:val="Normal"/>
        <w:bidi w:val="0"/>
        <w:jc w:val="start"/>
        <w:rPr>
          <w:sz w:val="23"/>
        </w:rPr>
      </w:pPr>
      <w:r>
        <w:rPr>
          <w:sz w:val="23"/>
        </w:rPr>
      </w:r>
    </w:p>
    <w:p>
      <w:pPr>
        <w:pStyle w:val="Style1toc"/>
        <w:keepNext w:val="true"/>
        <w:bidi w:val="0"/>
        <w:rPr>
          <w:rFonts w:ascii="Times New Roman" w:hAnsi="Times New Roman"/>
        </w:rPr>
      </w:pPr>
      <w:r>
        <w:rPr/>
        <w:t>ARTICLE 11</w:t>
      </w:r>
      <w:r>
        <w:fldChar w:fldCharType="begin"/>
      </w:r>
      <w:r>
        <w:rPr>
          <w:vanish/>
        </w:rPr>
        <w:instrText xml:space="preserve"> TC "ARTICLE 11  COMPLETION671" \l 1 </w:instrText>
      </w:r>
      <w:r>
        <w:rPr>
          <w:vanish/>
        </w:rPr>
        <w:fldChar w:fldCharType="separate"/>
      </w:r>
      <w:bookmarkStart w:id="310" w:name="_Toc496784919"/>
      <w:bookmarkStart w:id="311" w:name="_Toc496784642"/>
      <w:bookmarkStart w:id="312" w:name="_Toc497198964"/>
      <w:bookmarkStart w:id="313" w:name="_Toc493577507"/>
      <w:bookmarkEnd w:id="310"/>
      <w:bookmarkEnd w:id="311"/>
      <w:bookmarkEnd w:id="312"/>
      <w:bookmarkEnd w:id="313"/>
      <w:r>
        <w:rPr>
          <w:vanish/>
        </w:rPr>
      </w:r>
      <w:r>
        <w:rPr>
          <w:vanish/>
        </w:rPr>
        <w:fldChar w:fldCharType="end"/>
      </w:r>
      <w:r>
        <w:rPr>
          <w:strike/>
        </w:rPr>
        <w:t>&lt;&lt;*&gt;&gt;</w:t>
      </w:r>
    </w:p>
    <w:p>
      <w:pPr>
        <w:pStyle w:val="Style1toc"/>
        <w:keepNext w:val="true"/>
        <w:bidi w:val="0"/>
        <w:rPr>
          <w:rFonts w:ascii="Times New Roman" w:hAnsi="Times New Roman"/>
        </w:rPr>
      </w:pPr>
      <w:r>
        <w:rPr/>
        <w:t>COMPLETION</w:t>
      </w:r>
    </w:p>
    <w:p>
      <w:pPr>
        <w:pStyle w:val="BodyText"/>
        <w:keepNext w:val="true"/>
        <w:bidi w:val="0"/>
        <w:rPr>
          <w:rFonts w:ascii="Times New Roman" w:hAnsi="Times New Roman"/>
        </w:rPr>
      </w:pPr>
      <w:r>
        <w:rPr/>
      </w:r>
    </w:p>
    <w:p>
      <w:pPr>
        <w:pStyle w:val="BodyText"/>
        <w:bidi w:val="0"/>
        <w:rPr>
          <w:rFonts w:ascii="Times New Roman" w:hAnsi="Times New Roman"/>
        </w:rPr>
      </w:pPr>
      <w:r>
        <w:rPr/>
        <w:t>11.1</w:t>
        <w:tab/>
      </w:r>
      <w:r>
        <w:rPr>
          <w:u w:val="single"/>
        </w:rPr>
        <w:t>Notices</w:t>
      </w:r>
      <w:r>
        <w:fldChar w:fldCharType="begin"/>
      </w:r>
      <w:r>
        <w:rPr>
          <w:u w:val="single"/>
          <w:vanish/>
        </w:rPr>
        <w:instrText xml:space="preserve"> TC "11.1</w:instrText>
        <w:tab/>
        <w:instrText xml:space="preserve">Notices672" \l 1 </w:instrText>
      </w:r>
      <w:r>
        <w:rPr>
          <w:u w:val="single"/>
          <w:vanish/>
        </w:rPr>
        <w:fldChar w:fldCharType="separate"/>
      </w:r>
      <w:bookmarkStart w:id="314" w:name="_Toc493577508"/>
      <w:bookmarkStart w:id="315" w:name="_Toc497198965"/>
      <w:bookmarkStart w:id="316" w:name="_Toc496784920"/>
      <w:bookmarkStart w:id="317" w:name="_Toc496784643"/>
      <w:bookmarkEnd w:id="314"/>
      <w:bookmarkEnd w:id="315"/>
      <w:bookmarkEnd w:id="316"/>
      <w:bookmarkEnd w:id="317"/>
      <w:r>
        <w:rPr>
          <w:vanish/>
          <w:u w:val="single"/>
        </w:rPr>
      </w:r>
      <w:r>
        <w:rPr>
          <w:u w:val="single"/>
          <w:vanish/>
        </w:rPr>
        <w:fldChar w:fldCharType="end"/>
      </w:r>
      <w:r>
        <w:rPr>
          <w:strike/>
        </w:rPr>
        <w:t>&lt;&lt;*&gt;&gt;</w:t>
      </w:r>
      <w:r>
        <w:rPr/>
        <w:t xml:space="preserve">. Contractor shall give Owner the notices of testing required by </w:t>
      </w:r>
      <w:r>
        <w:rPr>
          <w:u w:val="single"/>
        </w:rPr>
        <w:t>Exhibit E-3</w:t>
      </w:r>
      <w:r>
        <w:rPr/>
        <w:t>.</w:t>
      </w:r>
    </w:p>
    <w:p>
      <w:pPr>
        <w:pStyle w:val="BodyText"/>
        <w:bidi w:val="0"/>
        <w:rPr>
          <w:rFonts w:ascii="Times New Roman" w:hAnsi="Times New Roman"/>
        </w:rPr>
      </w:pPr>
      <w:r>
        <w:rPr/>
      </w:r>
    </w:p>
    <w:p>
      <w:pPr>
        <w:pStyle w:val="BodyText"/>
        <w:bidi w:val="0"/>
        <w:rPr>
          <w:rFonts w:ascii="Times New Roman" w:hAnsi="Times New Roman"/>
        </w:rPr>
      </w:pPr>
      <w:r>
        <w:rPr/>
        <w:tab/>
        <w:t>11.1.1</w:t>
        <w:tab/>
      </w:r>
      <w:r>
        <w:rPr>
          <w:color w:val="00007F"/>
          <w:u w:val="single"/>
        </w:rPr>
        <w:t>Mechanical Completion</w:t>
      </w:r>
      <w:r>
        <w:rPr>
          <w:color w:val="00007F"/>
        </w:rPr>
        <w:t>.</w:t>
      </w:r>
      <w:r>
        <w:rPr/>
        <w:t>    As a specific performance obligation, Contractor guarantees that it will cause the Facility to achieve Mechanical Completion.</w:t>
      </w:r>
    </w:p>
    <w:p>
      <w:pPr>
        <w:pStyle w:val="BodyText"/>
        <w:bidi w:val="0"/>
        <w:rPr>
          <w:rFonts w:ascii="Times New Roman" w:hAnsi="Times New Roman"/>
        </w:rPr>
      </w:pPr>
      <w:r>
        <w:rPr/>
      </w:r>
    </w:p>
    <w:p>
      <w:pPr>
        <w:pStyle w:val="BodyText"/>
        <w:bidi w:val="0"/>
        <w:rPr>
          <w:rFonts w:ascii="Times New Roman" w:hAnsi="Times New Roman"/>
        </w:rPr>
      </w:pPr>
      <w:r>
        <w:rPr/>
        <w:tab/>
        <w:t>11.1.2</w:t>
        <w:tab/>
      </w:r>
      <w:r>
        <w:rPr>
          <w:color w:val="00007F"/>
          <w:u w:val="single"/>
        </w:rPr>
        <w:t>Functional Testing</w:t>
      </w:r>
      <w:r>
        <w:rPr>
          <w:color w:val="00007F"/>
        </w:rPr>
        <w:t xml:space="preserve">.    </w:t>
      </w:r>
      <w:r>
        <w:rPr/>
        <w:t xml:space="preserve">As part of the start-up and commissioning process, each major system of the Facility will be subject to an operational test </w:t>
      </w:r>
      <w:r>
        <w:rPr>
          <w:strike/>
        </w:rPr>
        <w:t>&lt;(&gt;</w:t>
      </w:r>
      <w:r>
        <w:rPr/>
        <w:t xml:space="preserve">in accordance with the mutually agreed commissioning guidelines </w:t>
      </w:r>
      <w:r>
        <w:rPr>
          <w:strike/>
        </w:rPr>
        <w:t>&lt;which are in&gt;</w:t>
      </w:r>
      <w:r>
        <w:rPr>
          <w:b/>
          <w:u w:val="double"/>
        </w:rPr>
        <w:t>.    In</w:t>
      </w:r>
      <w:r>
        <w:rPr/>
        <w:t xml:space="preserve"> each case </w:t>
      </w:r>
      <w:r>
        <w:rPr>
          <w:strike/>
        </w:rPr>
        <w:t>&lt;to&gt;</w:t>
      </w:r>
      <w:r>
        <w:rPr/>
        <w:t xml:space="preserve"> </w:t>
      </w:r>
      <w:r>
        <w:rPr>
          <w:b/>
          <w:u w:val="double"/>
        </w:rPr>
        <w:t>the guidelines shall</w:t>
      </w:r>
      <w:r>
        <w:rPr/>
        <w:t xml:space="preserve"> be prepared by Contractor and submitted to Owner for review not later than thirty (30) days, and reviewed and commented on by Owner not later than ten (10) days, prior to the conduct of such test</w:t>
      </w:r>
      <w:r>
        <w:rPr>
          <w:strike/>
        </w:rPr>
        <w:t>&lt;). Such&gt;</w:t>
      </w:r>
      <w:r>
        <w:rPr>
          <w:b/>
          <w:u w:val="double"/>
        </w:rPr>
        <w:t>.    The</w:t>
      </w:r>
      <w:r>
        <w:rPr/>
        <w:t xml:space="preserve"> test is intended to verify that each system is safe to operate and capable of functioning at the level it was designed for, including cold and hot start up capability and operating over </w:t>
      </w:r>
      <w:r>
        <w:rPr>
          <w:b/>
          <w:u w:val="double"/>
        </w:rPr>
        <w:t>the</w:t>
      </w:r>
      <w:r>
        <w:rPr/>
        <w:t xml:space="preserve"> range of expected dispatch for the Facility (the “Functional Test”).    Each Functional Test will be conducted for a mutually agreed period of    time for each such system.    The Functional Tests may be conducted separately for the relevant system. </w:t>
      </w:r>
    </w:p>
    <w:p>
      <w:pPr>
        <w:pStyle w:val="BodyText"/>
        <w:bidi w:val="0"/>
        <w:rPr>
          <w:rFonts w:ascii="Times New Roman" w:hAnsi="Times New Roman"/>
        </w:rPr>
      </w:pPr>
      <w:r>
        <w:rPr/>
      </w:r>
    </w:p>
    <w:p>
      <w:pPr>
        <w:pStyle w:val="BodyText"/>
        <w:bidi w:val="0"/>
        <w:rPr>
          <w:rFonts w:ascii="Times New Roman" w:hAnsi="Times New Roman"/>
        </w:rPr>
      </w:pPr>
      <w:r>
        <w:rPr/>
        <w:t>11.2</w:t>
        <w:tab/>
      </w:r>
      <w:r>
        <w:rPr>
          <w:u w:val="single"/>
        </w:rPr>
        <w:t>Substantial Completion Certificates</w:t>
      </w:r>
      <w:r>
        <w:fldChar w:fldCharType="begin"/>
      </w:r>
      <w:r>
        <w:rPr>
          <w:u w:val="single"/>
          <w:vanish/>
        </w:rPr>
        <w:instrText xml:space="preserve"> TC "11.2</w:instrText>
        <w:tab/>
        <w:instrText xml:space="preserve">Substantial Completion Certificates672" \l 1 </w:instrText>
      </w:r>
      <w:r>
        <w:rPr>
          <w:u w:val="single"/>
          <w:vanish/>
        </w:rPr>
        <w:fldChar w:fldCharType="separate"/>
      </w:r>
      <w:bookmarkStart w:id="318" w:name="_Toc493577509"/>
      <w:bookmarkStart w:id="319" w:name="_Toc497198966"/>
      <w:bookmarkStart w:id="320" w:name="_Toc496784921"/>
      <w:bookmarkStart w:id="321" w:name="_Toc496784644"/>
      <w:bookmarkEnd w:id="318"/>
      <w:bookmarkEnd w:id="319"/>
      <w:bookmarkEnd w:id="320"/>
      <w:bookmarkEnd w:id="321"/>
      <w:r>
        <w:rPr>
          <w:vanish/>
          <w:u w:val="single"/>
        </w:rPr>
      </w:r>
      <w:r>
        <w:rPr>
          <w:u w:val="single"/>
          <w:vanish/>
        </w:rPr>
        <w:fldChar w:fldCharType="end"/>
      </w:r>
      <w:r>
        <w:rPr>
          <w:strike/>
        </w:rPr>
        <w:t>&lt;&lt;*&gt;&gt;</w:t>
      </w:r>
      <w:r>
        <w:rPr/>
        <w:t xml:space="preserve">. The Facility shall be considered substantially complete (“Substantial Completion”) upon receipt and acceptance by Owner of a certificate from an officer of Contractor substantially in the form of </w:t>
      </w:r>
      <w:r>
        <w:rPr>
          <w:u w:val="single"/>
        </w:rPr>
        <w:t>Exhibit J-1</w:t>
      </w:r>
      <w:r>
        <w:rPr/>
        <w:t xml:space="preserve"> (the “Substantial Completion Certificate”) certifying the following to be true and correct:</w:t>
      </w:r>
    </w:p>
    <w:p>
      <w:pPr>
        <w:pStyle w:val="BodyText"/>
        <w:bidi w:val="0"/>
        <w:rPr>
          <w:rFonts w:ascii="Times New Roman" w:hAnsi="Times New Roman"/>
        </w:rPr>
      </w:pPr>
      <w:r>
        <w:rPr/>
      </w:r>
    </w:p>
    <w:p>
      <w:pPr>
        <w:pStyle w:val="BodyText"/>
        <w:bidi w:val="0"/>
        <w:rPr>
          <w:rFonts w:ascii="Times New Roman" w:hAnsi="Times New Roman"/>
        </w:rPr>
      </w:pPr>
      <w:r>
        <w:rPr/>
        <w:tab/>
        <w:t>11.2.1</w:t>
        <w:tab/>
        <w:t>the Facility is substantially complete in accordance with the Scope of Work, the Specifications</w:t>
      </w:r>
      <w:r>
        <w:rPr>
          <w:strike/>
        </w:rPr>
        <w:t>&lt;,&gt;</w:t>
      </w:r>
      <w:r>
        <w:rPr/>
        <w:t xml:space="preserve"> and all applicable Governmental Authorizations and permits, and can be safely operated for its specified purpose;</w:t>
      </w:r>
    </w:p>
    <w:p>
      <w:pPr>
        <w:pStyle w:val="BodyText"/>
        <w:bidi w:val="0"/>
        <w:rPr>
          <w:rFonts w:ascii="Times New Roman" w:hAnsi="Times New Roman"/>
        </w:rPr>
      </w:pPr>
      <w:r>
        <w:rPr/>
      </w:r>
    </w:p>
    <w:p>
      <w:pPr>
        <w:pStyle w:val="BodyText"/>
        <w:bidi w:val="0"/>
        <w:rPr>
          <w:rFonts w:ascii="Times New Roman" w:hAnsi="Times New Roman"/>
        </w:rPr>
      </w:pPr>
      <w:r>
        <w:rPr/>
        <w:tab/>
        <w:t>11.2.2</w:t>
        <w:tab/>
        <w:t>all Work required to be furnished by Contractor for the Facility is substantially complete and all Equipment has been delivered to the Site and properly incorporated into the Facility, except for Punchlist Items;</w:t>
      </w:r>
    </w:p>
    <w:p>
      <w:pPr>
        <w:pStyle w:val="BodyText"/>
        <w:bidi w:val="0"/>
        <w:rPr>
          <w:rFonts w:ascii="Times New Roman" w:hAnsi="Times New Roman"/>
        </w:rPr>
      </w:pPr>
      <w:r>
        <w:rPr/>
      </w:r>
    </w:p>
    <w:p>
      <w:pPr>
        <w:pStyle w:val="BodyText"/>
        <w:bidi w:val="0"/>
        <w:rPr>
          <w:rFonts w:ascii="Times New Roman" w:hAnsi="Times New Roman"/>
        </w:rPr>
      </w:pPr>
      <w:r>
        <w:rPr/>
        <w:tab/>
        <w:t>11.2.3</w:t>
        <w:tab/>
        <w:t>the Performance Tests and all Functional Tests have been successfully completed and a certificate of the results has been received by Owner;</w:t>
      </w:r>
    </w:p>
    <w:p>
      <w:pPr>
        <w:pStyle w:val="BodyText"/>
        <w:bidi w:val="0"/>
        <w:rPr>
          <w:rFonts w:ascii="Times New Roman" w:hAnsi="Times New Roman"/>
        </w:rPr>
      </w:pPr>
      <w:r>
        <w:rPr/>
      </w:r>
    </w:p>
    <w:p>
      <w:pPr>
        <w:pStyle w:val="BodyText"/>
        <w:bidi w:val="0"/>
        <w:rPr>
          <w:rFonts w:ascii="Times New Roman" w:hAnsi="Times New Roman"/>
        </w:rPr>
      </w:pPr>
      <w:r>
        <w:rPr/>
        <w:tab/>
        <w:t>11.2.4</w:t>
        <w:tab/>
        <w:t>Contractor is current in paying all Delay Liquidated Damages (although Contractor does not thereby waive its right to dispute Delay Liquidated Damages under Article 19);</w:t>
      </w:r>
    </w:p>
    <w:p>
      <w:pPr>
        <w:pStyle w:val="BodyText"/>
        <w:bidi w:val="0"/>
        <w:rPr>
          <w:rFonts w:ascii="Times New Roman" w:hAnsi="Times New Roman"/>
        </w:rPr>
      </w:pPr>
      <w:r>
        <w:rPr/>
      </w:r>
    </w:p>
    <w:p>
      <w:pPr>
        <w:pStyle w:val="BodyText"/>
        <w:bidi w:val="0"/>
        <w:rPr>
          <w:rFonts w:ascii="Times New Roman" w:hAnsi="Times New Roman"/>
        </w:rPr>
      </w:pPr>
      <w:r>
        <w:rPr/>
        <w:tab/>
        <w:t>11.2.5</w:t>
        <w:tab/>
        <w:t>the Punchlist has been received and accepted by Owner;</w:t>
      </w:r>
    </w:p>
    <w:p>
      <w:pPr>
        <w:pStyle w:val="BodyText"/>
        <w:bidi w:val="0"/>
        <w:rPr>
          <w:rFonts w:ascii="Times New Roman" w:hAnsi="Times New Roman"/>
        </w:rPr>
      </w:pPr>
      <w:r>
        <w:rPr/>
      </w:r>
    </w:p>
    <w:p>
      <w:pPr>
        <w:pStyle w:val="BodyText"/>
        <w:bidi w:val="0"/>
        <w:rPr>
          <w:rFonts w:ascii="Times New Roman" w:hAnsi="Times New Roman"/>
        </w:rPr>
      </w:pPr>
      <w:r>
        <w:rPr/>
        <w:tab/>
        <w:t>11.2.6</w:t>
        <w:tab/>
        <w:t>Contractor has sufficiently completed the Facility so that it is capable of commercial operation;</w:t>
      </w:r>
    </w:p>
    <w:p>
      <w:pPr>
        <w:pStyle w:val="BodyText"/>
        <w:bidi w:val="0"/>
        <w:rPr>
          <w:rFonts w:ascii="Times New Roman" w:hAnsi="Times New Roman"/>
        </w:rPr>
      </w:pPr>
      <w:r>
        <w:rPr/>
      </w:r>
    </w:p>
    <w:p>
      <w:pPr>
        <w:pStyle w:val="BodyText"/>
        <w:bidi w:val="0"/>
        <w:rPr>
          <w:rFonts w:ascii="Times New Roman" w:hAnsi="Times New Roman"/>
        </w:rPr>
      </w:pPr>
      <w:r>
        <w:rPr/>
        <w:tab/>
        <w:t>11.2.7</w:t>
        <w:tab/>
        <w:t xml:space="preserve">the Facility has met all of the </w:t>
      </w:r>
      <w:r>
        <w:rPr>
          <w:strike/>
        </w:rPr>
        <w:t>&lt;Minimum&gt;</w:t>
      </w:r>
      <w:r>
        <w:rPr/>
        <w:t xml:space="preserve"> </w:t>
      </w:r>
      <w:r>
        <w:rPr>
          <w:b/>
          <w:u w:val="double"/>
        </w:rPr>
        <w:t>Specific</w:t>
      </w:r>
      <w:r>
        <w:rPr/>
        <w:t xml:space="preserve"> Performance Guarantees;</w:t>
      </w:r>
    </w:p>
    <w:p>
      <w:pPr>
        <w:pStyle w:val="BodyText"/>
        <w:bidi w:val="0"/>
        <w:rPr>
          <w:rFonts w:ascii="Times New Roman" w:hAnsi="Times New Roman"/>
        </w:rPr>
      </w:pPr>
      <w:r>
        <w:rPr/>
      </w:r>
    </w:p>
    <w:p>
      <w:pPr>
        <w:pStyle w:val="BodyText"/>
        <w:bidi w:val="0"/>
        <w:rPr>
          <w:rFonts w:ascii="Times New Roman" w:hAnsi="Times New Roman"/>
        </w:rPr>
      </w:pPr>
      <w:r>
        <w:rPr/>
        <w:tab/>
        <w:t>11.2.8</w:t>
        <w:tab/>
        <w:t>The Facility has either met all of the Performance Guarantees or Contractor has paid all Performance Liquidated Damages; and</w:t>
      </w:r>
    </w:p>
    <w:p>
      <w:pPr>
        <w:pStyle w:val="BodyText"/>
        <w:bidi w:val="0"/>
        <w:rPr>
          <w:rFonts w:ascii="Times New Roman" w:hAnsi="Times New Roman"/>
        </w:rPr>
      </w:pPr>
      <w:r>
        <w:rPr/>
      </w:r>
    </w:p>
    <w:p>
      <w:pPr>
        <w:pStyle w:val="BodyText"/>
        <w:bidi w:val="0"/>
        <w:rPr>
          <w:rFonts w:ascii="Times New Roman" w:hAnsi="Times New Roman"/>
        </w:rPr>
      </w:pPr>
      <w:r>
        <w:rPr/>
        <w:tab/>
        <w:t>11.2.9</w:t>
        <w:tab/>
        <w:t>Mechanical Completion has been achieved.</w:t>
      </w:r>
    </w:p>
    <w:p>
      <w:pPr>
        <w:pStyle w:val="BodyText"/>
        <w:bidi w:val="0"/>
        <w:rPr>
          <w:rFonts w:ascii="Times New Roman" w:hAnsi="Times New Roman"/>
        </w:rPr>
      </w:pPr>
      <w:r>
        <w:rPr/>
      </w:r>
    </w:p>
    <w:p>
      <w:pPr>
        <w:pStyle w:val="BodyText"/>
        <w:bidi w:val="0"/>
        <w:rPr>
          <w:rFonts w:ascii="Times New Roman" w:hAnsi="Times New Roman"/>
        </w:rPr>
      </w:pPr>
      <w:r>
        <w:rPr/>
        <w:t>Together with such certificate, Contractor shall deliver to Owner a written report with respect to the test requirements listed above and the status of the Work in sufficient detail to enable Owner to independently determine whether Substantial Completion has occurred.</w:t>
      </w:r>
    </w:p>
    <w:p>
      <w:pPr>
        <w:pStyle w:val="BodyText"/>
        <w:bidi w:val="0"/>
        <w:rPr>
          <w:rFonts w:ascii="Times New Roman" w:hAnsi="Times New Roman"/>
        </w:rPr>
      </w:pPr>
      <w:r>
        <w:rPr/>
      </w:r>
    </w:p>
    <w:p>
      <w:pPr>
        <w:pStyle w:val="Style2toc"/>
        <w:bidi w:val="0"/>
        <w:rPr>
          <w:rFonts w:ascii="Times New Roman" w:hAnsi="Times New Roman"/>
        </w:rPr>
      </w:pPr>
      <w:r>
        <w:rPr/>
        <w:t>11.3</w:t>
        <w:tab/>
      </w:r>
      <w:r>
        <w:rPr>
          <w:u w:val="single"/>
        </w:rPr>
        <w:t>Final Completion</w:t>
      </w:r>
      <w:r>
        <w:fldChar w:fldCharType="begin"/>
      </w:r>
      <w:r>
        <w:rPr>
          <w:u w:val="single"/>
          <w:vanish/>
        </w:rPr>
        <w:instrText xml:space="preserve"> TC "11.3</w:instrText>
        <w:tab/>
        <w:instrText xml:space="preserve">Final Completion672" \l 1 </w:instrText>
      </w:r>
      <w:r>
        <w:rPr>
          <w:u w:val="single"/>
          <w:vanish/>
        </w:rPr>
        <w:fldChar w:fldCharType="separate"/>
      </w:r>
      <w:bookmarkStart w:id="322" w:name="_Toc493577510"/>
      <w:bookmarkStart w:id="323" w:name="_Toc496784645"/>
      <w:bookmarkStart w:id="324" w:name="_Toc496784922"/>
      <w:bookmarkStart w:id="325" w:name="_Toc497198967"/>
      <w:bookmarkEnd w:id="322"/>
      <w:bookmarkEnd w:id="323"/>
      <w:bookmarkEnd w:id="324"/>
      <w:bookmarkEnd w:id="325"/>
      <w:r>
        <w:rPr>
          <w:vanish/>
          <w:u w:val="single"/>
        </w:rPr>
      </w:r>
      <w:r>
        <w:rPr>
          <w:u w:val="single"/>
          <w:vanish/>
        </w:rPr>
        <w:fldChar w:fldCharType="end"/>
      </w:r>
      <w:r>
        <w:rPr>
          <w:strike/>
        </w:rPr>
        <w:t>&lt;&lt;*&gt;&gt;</w:t>
      </w:r>
      <w:r>
        <w:rPr/>
        <w:t>.</w:t>
      </w:r>
    </w:p>
    <w:p>
      <w:pPr>
        <w:pStyle w:val="BodyText"/>
        <w:keepNext w:val="true"/>
        <w:bidi w:val="0"/>
        <w:rPr>
          <w:rFonts w:ascii="Times New Roman" w:hAnsi="Times New Roman"/>
        </w:rPr>
      </w:pPr>
      <w:r>
        <w:rPr/>
      </w:r>
    </w:p>
    <w:p>
      <w:pPr>
        <w:pStyle w:val="BodyText"/>
        <w:bidi w:val="0"/>
        <w:rPr>
          <w:rFonts w:ascii="Times New Roman" w:hAnsi="Times New Roman"/>
        </w:rPr>
      </w:pPr>
      <w:r>
        <w:rPr/>
        <w:tab/>
        <w:t xml:space="preserve">The Facility will be deemed to be finally complete (“Final Completion”) upon the receipt and acceptance by Owner of a certificate from an officer of Contractor substantially in the form set forth in </w:t>
      </w:r>
      <w:r>
        <w:rPr>
          <w:u w:val="single"/>
        </w:rPr>
        <w:t>Exhibit J-2</w:t>
      </w:r>
      <w:r>
        <w:rPr/>
        <w:t xml:space="preserve"> (the “Final Completion Certificate”) certifying each of the following to be true and correct:</w:t>
      </w:r>
    </w:p>
    <w:p>
      <w:pPr>
        <w:pStyle w:val="BodyText"/>
        <w:bidi w:val="0"/>
        <w:rPr>
          <w:rFonts w:ascii="Times New Roman" w:hAnsi="Times New Roman"/>
        </w:rPr>
      </w:pPr>
      <w:r>
        <w:rPr/>
      </w:r>
    </w:p>
    <w:p>
      <w:pPr>
        <w:pStyle w:val="BodyText"/>
        <w:bidi w:val="0"/>
        <w:rPr>
          <w:rFonts w:ascii="Times New Roman" w:hAnsi="Times New Roman"/>
        </w:rPr>
      </w:pPr>
      <w:r>
        <w:rPr/>
        <w:tab/>
        <w:t>11.3.1</w:t>
        <w:tab/>
        <w:t>Substantial Completion has occurred and all Punchlist Items have been completed;</w:t>
      </w:r>
    </w:p>
    <w:p>
      <w:pPr>
        <w:pStyle w:val="BodyText"/>
        <w:bidi w:val="0"/>
        <w:rPr>
          <w:rFonts w:ascii="Times New Roman" w:hAnsi="Times New Roman"/>
        </w:rPr>
      </w:pPr>
      <w:r>
        <w:rPr/>
      </w:r>
    </w:p>
    <w:p>
      <w:pPr>
        <w:pStyle w:val="BodyText"/>
        <w:bidi w:val="0"/>
        <w:rPr>
          <w:rFonts w:ascii="Times New Roman" w:hAnsi="Times New Roman"/>
        </w:rPr>
      </w:pPr>
      <w:r>
        <w:rPr/>
        <w:tab/>
        <w:t>11.3.2</w:t>
        <w:tab/>
        <w:t>Contractor’s obligations under Section 3.7 and Article 10 have been completed;</w:t>
      </w:r>
    </w:p>
    <w:p>
      <w:pPr>
        <w:pStyle w:val="BodyText"/>
        <w:bidi w:val="0"/>
        <w:rPr>
          <w:rFonts w:ascii="Times New Roman" w:hAnsi="Times New Roman"/>
        </w:rPr>
      </w:pPr>
      <w:r>
        <w:rPr/>
      </w:r>
    </w:p>
    <w:p>
      <w:pPr>
        <w:pStyle w:val="BodyText"/>
        <w:bidi w:val="0"/>
        <w:rPr>
          <w:rFonts w:ascii="Times New Roman" w:hAnsi="Times New Roman"/>
        </w:rPr>
      </w:pPr>
      <w:r>
        <w:rPr/>
        <w:tab/>
        <w:t>11.3.3</w:t>
        <w:tab/>
        <w:t>Contractor has provided and caused the Subcontractors to provide the releases and waivers required pursuant to Sections 7.2.5; and</w:t>
      </w:r>
    </w:p>
    <w:p>
      <w:pPr>
        <w:pStyle w:val="BodyText"/>
        <w:bidi w:val="0"/>
        <w:rPr>
          <w:rFonts w:ascii="Times New Roman" w:hAnsi="Times New Roman"/>
        </w:rPr>
      </w:pPr>
      <w:r>
        <w:rPr/>
      </w:r>
    </w:p>
    <w:p>
      <w:pPr>
        <w:pStyle w:val="BodyText"/>
        <w:bidi w:val="0"/>
        <w:rPr>
          <w:rFonts w:ascii="Times New Roman" w:hAnsi="Times New Roman"/>
        </w:rPr>
      </w:pPr>
      <w:r>
        <w:rPr/>
        <w:tab/>
        <w:t>11.3.4</w:t>
        <w:tab/>
        <w:t xml:space="preserve">Contractor has met all its obligations under this Agreement other than the warranty obligations under Article 12 and any </w:t>
      </w:r>
      <w:r>
        <w:rPr>
          <w:b/>
          <w:u w:val="double"/>
        </w:rPr>
        <w:t>other</w:t>
      </w:r>
      <w:r>
        <w:rPr/>
        <w:t xml:space="preserve"> obligations that survive </w:t>
      </w:r>
      <w:r>
        <w:rPr>
          <w:strike/>
        </w:rPr>
        <w:t>&lt;the&gt;</w:t>
      </w:r>
      <w:r>
        <w:rPr/>
        <w:t xml:space="preserve"> termination of this Agreement.</w:t>
      </w:r>
    </w:p>
    <w:p>
      <w:pPr>
        <w:pStyle w:val="BodyText"/>
        <w:bidi w:val="0"/>
        <w:rPr>
          <w:rFonts w:ascii="Times New Roman" w:hAnsi="Times New Roman"/>
        </w:rPr>
      </w:pPr>
      <w:r>
        <w:rPr/>
      </w:r>
    </w:p>
    <w:p>
      <w:pPr>
        <w:pStyle w:val="BodyText"/>
        <w:bidi w:val="0"/>
        <w:rPr>
          <w:rFonts w:ascii="Times New Roman" w:hAnsi="Times New Roman"/>
        </w:rPr>
      </w:pPr>
      <w:r>
        <w:rPr/>
        <w:t>11.4</w:t>
        <w:tab/>
      </w:r>
      <w:r>
        <w:rPr>
          <w:u w:val="single"/>
        </w:rPr>
        <w:t>Owner Acceptance of Completion Certificates</w:t>
      </w:r>
      <w:r>
        <w:fldChar w:fldCharType="begin"/>
      </w:r>
      <w:r>
        <w:rPr>
          <w:u w:val="single"/>
          <w:vanish/>
        </w:rPr>
        <w:instrText xml:space="preserve"> TC "11.4</w:instrText>
        <w:tab/>
        <w:instrText xml:space="preserve">Owner Acceptance of Completion Certificates672" \l 1 </w:instrText>
      </w:r>
      <w:r>
        <w:rPr>
          <w:u w:val="single"/>
          <w:vanish/>
        </w:rPr>
        <w:fldChar w:fldCharType="separate"/>
      </w:r>
      <w:bookmarkStart w:id="326" w:name="_Toc493577511"/>
      <w:bookmarkStart w:id="327" w:name="_Toc497198968"/>
      <w:bookmarkStart w:id="328" w:name="_Toc496784923"/>
      <w:bookmarkStart w:id="329" w:name="_Toc496784646"/>
      <w:bookmarkEnd w:id="326"/>
      <w:bookmarkEnd w:id="327"/>
      <w:bookmarkEnd w:id="328"/>
      <w:bookmarkEnd w:id="329"/>
      <w:r>
        <w:rPr>
          <w:vanish/>
          <w:u w:val="single"/>
        </w:rPr>
      </w:r>
      <w:r>
        <w:rPr>
          <w:u w:val="single"/>
          <w:vanish/>
        </w:rPr>
        <w:fldChar w:fldCharType="end"/>
      </w:r>
      <w:r>
        <w:rPr>
          <w:strike/>
        </w:rPr>
        <w:t>&lt;&lt;*&gt;&gt;</w:t>
      </w:r>
      <w:r>
        <w:rPr/>
        <w:t xml:space="preserve">.    Within (3) days after receipt of either a Substantial Completion Certificate or (7) days after receipt of the Final Completion Certificate, Owner shall either (a) notify Contractor of its acceptance of such certificate and acknowledge that Substantial Completion or Final Completion has occurred, or (b) if reasonable cause exists for doing so, notify Contractor in writing that Substantial Completion or Final Completion has not been achieved, stating in detail the reasons therefor.    In the event Owner determines that Substantial Completion or Final Completion has not been achieved, Contractor shall promptly take such action or perform such additional Work or other services as will achieve Substantial Completion or Final Completion and then issue to Owner another Certificate </w:t>
      </w:r>
      <w:r>
        <w:rPr>
          <w:strike/>
        </w:rPr>
        <w:t>&lt;pursuant to&gt;</w:t>
      </w:r>
      <w:r>
        <w:rPr/>
        <w:t xml:space="preserve"> </w:t>
      </w:r>
      <w:r>
        <w:rPr>
          <w:b/>
          <w:u w:val="double"/>
        </w:rPr>
        <w:t>under</w:t>
      </w:r>
      <w:r>
        <w:rPr/>
        <w:t xml:space="preserve"> Section 11.2 or 11.3.    Owner shall respond to any such subsequent certificate from Contractor within seven (7) days following receipt.    Such procedure shall be repeated until Owner has acknowledged Substantial Completion or Final Completion.    The failure of Owner to respond to any certificate submitted by Contractor within the time period required in this Section 11.4 shall extend the date for Substantial Completion and Final Completion by the period of Owner’s Delay.    The effective date of Substantial Completion and Final Completion shall be the date Substantial Completion or Final Completion was actually achieved, as evidenced by data set forth in the certificate ultimately accepted by Owner under this Section 11.4.</w:t>
      </w:r>
    </w:p>
    <w:p>
      <w:pPr>
        <w:pStyle w:val="BodyText"/>
        <w:bidi w:val="0"/>
        <w:rPr>
          <w:rFonts w:ascii="Times New Roman" w:hAnsi="Times New Roman"/>
        </w:rPr>
      </w:pPr>
      <w:r>
        <w:rPr/>
      </w:r>
    </w:p>
    <w:p>
      <w:pPr>
        <w:pStyle w:val="Style2toc"/>
        <w:bidi w:val="0"/>
        <w:rPr>
          <w:rFonts w:ascii="Times New Roman" w:hAnsi="Times New Roman"/>
        </w:rPr>
      </w:pPr>
      <w:r>
        <w:rPr/>
        <w:t>11.5</w:t>
        <w:tab/>
      </w:r>
      <w:r>
        <w:rPr>
          <w:u w:val="single"/>
        </w:rPr>
        <w:t>Punchlist</w:t>
      </w:r>
      <w:r>
        <w:fldChar w:fldCharType="begin"/>
      </w:r>
      <w:r>
        <w:rPr>
          <w:u w:val="single"/>
          <w:vanish/>
        </w:rPr>
        <w:instrText xml:space="preserve"> TC "11.5</w:instrText>
        <w:tab/>
        <w:instrText xml:space="preserve">Punchlist672" \l 1 </w:instrText>
      </w:r>
      <w:r>
        <w:rPr>
          <w:u w:val="single"/>
          <w:vanish/>
        </w:rPr>
        <w:fldChar w:fldCharType="separate"/>
      </w:r>
      <w:bookmarkStart w:id="330" w:name="_Toc493577512"/>
      <w:bookmarkStart w:id="331" w:name="_Toc496784647"/>
      <w:bookmarkStart w:id="332" w:name="_Toc497198969"/>
      <w:bookmarkStart w:id="333" w:name="_Toc496784924"/>
      <w:bookmarkEnd w:id="330"/>
      <w:bookmarkEnd w:id="331"/>
      <w:bookmarkEnd w:id="332"/>
      <w:bookmarkEnd w:id="333"/>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11.5.1</w:t>
        <w:tab/>
      </w:r>
      <w:r>
        <w:rPr>
          <w:u w:val="single"/>
        </w:rPr>
        <w:t>Punchlist Preparation</w:t>
      </w:r>
      <w:r>
        <w:rPr/>
        <w:t xml:space="preserve">.    Prior to Substantial Completion, Owner and Contractor shall    inspect the Facility and Contractor shall prepare a </w:t>
      </w:r>
      <w:r>
        <w:rPr>
          <w:strike/>
        </w:rPr>
        <w:t>&lt;listing&gt;</w:t>
      </w:r>
      <w:r>
        <w:rPr/>
        <w:t xml:space="preserve"> </w:t>
      </w:r>
      <w:r>
        <w:rPr>
          <w:b/>
          <w:u w:val="double"/>
        </w:rPr>
        <w:t>list</w:t>
      </w:r>
      <w:r>
        <w:rPr/>
        <w:t xml:space="preserve"> of the outstanding Punchlist Items (the “Punchlist”) and provide it to Owner together with an estimate of the cost and time to complete or correct each such Punchlist Item.    </w:t>
      </w:r>
      <w:r>
        <w:rPr>
          <w:strike/>
        </w:rPr>
        <w:t>&lt;In each case, such Punchlist Items shall not be grounds for not accepting the Substantial Completion Certificate.&gt;</w:t>
      </w:r>
      <w:r>
        <w:rPr/>
        <w:t xml:space="preserve"> The draft Punchlist shall be prepared in accordance with Contractor’s quality assurance manual and submitted to Owner for review.    Owner shall review and comment on the Punchlist not later than five (5) days after Owner’s receipt thereof, and Contractor shall issue a revised Punchlist to Owner that takes account of or responds to Owner’s comments not later than five (5) days after Contractor’s receipt of such comments. Any dispute between Owner and Contractor regarding the Punchlist shall be resolved in accordance with the procedure set forth in Section 19.2.    Owner reserves the right to add to the Punchlist those items that (a) were overlooked, for a period of fifteen (15) days after both parties have agreed on the initial Punchlist, and (b) first arose after the initial Punchlist was agreed upon, at the time such matters arise.    </w:t>
      </w:r>
    </w:p>
    <w:p>
      <w:pPr>
        <w:pStyle w:val="BodyText"/>
        <w:bidi w:val="0"/>
        <w:rPr>
          <w:rFonts w:ascii="Times New Roman" w:hAnsi="Times New Roman"/>
        </w:rPr>
      </w:pPr>
      <w:r>
        <w:rPr/>
      </w:r>
    </w:p>
    <w:p>
      <w:pPr>
        <w:pStyle w:val="BodyText"/>
        <w:bidi w:val="0"/>
        <w:rPr>
          <w:rFonts w:ascii="Times New Roman" w:hAnsi="Times New Roman"/>
        </w:rPr>
      </w:pPr>
      <w:r>
        <w:rPr/>
        <w:tab/>
        <w:t>11.5.2</w:t>
        <w:tab/>
      </w:r>
      <w:r>
        <w:rPr>
          <w:u w:val="single"/>
        </w:rPr>
        <w:t>Punchlist Withholding</w:t>
      </w:r>
      <w:r>
        <w:rPr/>
        <w:t xml:space="preserve">.    Owner shall withhold (the “Punchlist Withholding”) an amount equal to one hundred fifty percent (150%) of the estimated cost of correcting all outstanding Punchlist Items from the payment due to Contractor and retain such amount until the Punchlist Items are corrected or until a Retention Bond covering such Punchlist Withholding has been provided as set forth in Section 21.1.    </w:t>
      </w:r>
    </w:p>
    <w:p>
      <w:pPr>
        <w:pStyle w:val="BodyText"/>
        <w:bidi w:val="0"/>
        <w:rPr>
          <w:rFonts w:ascii="Times New Roman" w:hAnsi="Times New Roman"/>
        </w:rPr>
      </w:pPr>
      <w:r>
        <w:rPr/>
      </w:r>
    </w:p>
    <w:p>
      <w:pPr>
        <w:pStyle w:val="BodyText"/>
        <w:bidi w:val="0"/>
        <w:rPr>
          <w:rFonts w:ascii="Times New Roman" w:hAnsi="Times New Roman"/>
        </w:rPr>
      </w:pPr>
      <w:r>
        <w:rPr/>
        <w:tab/>
        <w:t>11.5.3</w:t>
        <w:tab/>
      </w:r>
      <w:r>
        <w:rPr>
          <w:u w:val="single"/>
        </w:rPr>
        <w:t>Correction of Punchlist Items</w:t>
      </w:r>
      <w:r>
        <w:rPr/>
        <w:t xml:space="preserve">.    Promptly after receipt by Owner of the revised Punchlist, Contractor and Owner shall agree upon a schedule for Contractor’s completion of the Punchlist Items that will allow Contractor to complete such Punchlist Items within a reasonable period of time without interfering with operation of the Facility.    Owner shall provide Contractor reasonable access to the Facility to perform such Work in accordance with </w:t>
      </w:r>
      <w:r>
        <w:rPr>
          <w:strike/>
        </w:rPr>
        <w:t>&lt;such&gt;</w:t>
      </w:r>
      <w:r>
        <w:rPr/>
        <w:t xml:space="preserve"> </w:t>
      </w:r>
      <w:r>
        <w:rPr>
          <w:b/>
          <w:u w:val="double"/>
        </w:rPr>
        <w:t>the</w:t>
      </w:r>
      <w:r>
        <w:rPr/>
        <w:t xml:space="preserve"> schedule to the extent such access does not interfere with operation of the Facility.</w:t>
      </w:r>
    </w:p>
    <w:p>
      <w:pPr>
        <w:pStyle w:val="BodyText"/>
        <w:bidi w:val="0"/>
        <w:rPr>
          <w:rFonts w:ascii="Times New Roman" w:hAnsi="Times New Roman"/>
        </w:rPr>
      </w:pPr>
      <w:r>
        <w:rPr/>
      </w:r>
    </w:p>
    <w:p>
      <w:pPr>
        <w:pStyle w:val="BodyText"/>
        <w:bidi w:val="0"/>
        <w:rPr>
          <w:rFonts w:ascii="Times New Roman" w:hAnsi="Times New Roman"/>
        </w:rPr>
      </w:pPr>
      <w:r>
        <w:rPr/>
        <w:tab/>
        <w:t>11.5.4</w:t>
        <w:tab/>
      </w:r>
      <w:r>
        <w:rPr>
          <w:u w:val="single"/>
        </w:rPr>
        <w:t>Owner’s Option to Accept Nonconforming or Defective Work</w:t>
      </w:r>
      <w:r>
        <w:rPr/>
        <w:t xml:space="preserve">.    Notwithstanding the above, Owner </w:t>
      </w:r>
      <w:r>
        <w:rPr>
          <w:strike/>
        </w:rPr>
        <w:t>&lt;may, at its option&gt;</w:t>
      </w:r>
      <w:r>
        <w:rPr/>
        <w:t xml:space="preserve">, by notice to Contractor, </w:t>
      </w:r>
      <w:r>
        <w:rPr>
          <w:b/>
          <w:u w:val="double"/>
        </w:rPr>
        <w:t>may</w:t>
      </w:r>
      <w:r>
        <w:rPr/>
        <w:t xml:space="preserve"> elect to accept nonconforming or defective Work instead of requiring its removal or correction, in which case the Contract Price shall be reduced by an amount equal to the cost to complete or correct the nonconforming or defective Work, as reasonably agreed by the parties.    Such election shall be exercised only by written notice to Contractor and shall not be implied by any action or inaction of Owner.</w:t>
      </w:r>
    </w:p>
    <w:p>
      <w:pPr>
        <w:pStyle w:val="BodyText"/>
        <w:bidi w:val="0"/>
        <w:rPr>
          <w:rFonts w:ascii="Times New Roman" w:hAnsi="Times New Roman"/>
        </w:rPr>
      </w:pPr>
      <w:r>
        <w:rPr/>
      </w:r>
    </w:p>
    <w:p>
      <w:pPr>
        <w:pStyle w:val="BodyText"/>
        <w:bidi w:val="0"/>
        <w:rPr>
          <w:rFonts w:ascii="Times New Roman" w:hAnsi="Times New Roman"/>
        </w:rPr>
      </w:pPr>
      <w:r>
        <w:rPr/>
        <w:t>11.6</w:t>
        <w:tab/>
      </w:r>
      <w:r>
        <w:rPr>
          <w:u w:val="single"/>
        </w:rPr>
        <w:t>Right of Waiver</w:t>
      </w:r>
      <w:r>
        <w:fldChar w:fldCharType="begin"/>
      </w:r>
      <w:r>
        <w:rPr>
          <w:u w:val="single"/>
          <w:vanish/>
        </w:rPr>
        <w:instrText xml:space="preserve"> TC "11.6</w:instrText>
        <w:tab/>
        <w:instrText xml:space="preserve">Right of Waiver672" \l 1 </w:instrText>
      </w:r>
      <w:r>
        <w:rPr>
          <w:u w:val="single"/>
          <w:vanish/>
        </w:rPr>
        <w:fldChar w:fldCharType="separate"/>
      </w:r>
      <w:bookmarkStart w:id="334" w:name="_Toc493577513"/>
      <w:bookmarkStart w:id="335" w:name="_Toc497198970"/>
      <w:bookmarkStart w:id="336" w:name="_Toc496784925"/>
      <w:bookmarkStart w:id="337" w:name="_Toc496784648"/>
      <w:bookmarkEnd w:id="334"/>
      <w:bookmarkEnd w:id="335"/>
      <w:bookmarkEnd w:id="336"/>
      <w:bookmarkEnd w:id="337"/>
      <w:r>
        <w:rPr>
          <w:vanish/>
          <w:u w:val="single"/>
        </w:rPr>
      </w:r>
      <w:r>
        <w:rPr>
          <w:u w:val="single"/>
          <w:vanish/>
        </w:rPr>
        <w:fldChar w:fldCharType="end"/>
      </w:r>
      <w:r>
        <w:rPr>
          <w:strike/>
        </w:rPr>
        <w:t>&lt;&lt;*&gt;&gt;</w:t>
      </w:r>
      <w:r>
        <w:rPr/>
        <w:t>. Owner shall have the right, but shall have no obligation, to waive, defer, or reduce any of the requirements stated in this Article 11 at any time.    However, Owner’s exercise of any rights hereunder shall apply only to such requirements as Owner may specify in writing and shall in no event relieve Contractor of any requirements or other obligations not so specified.</w:t>
      </w:r>
    </w:p>
    <w:p>
      <w:pPr>
        <w:pStyle w:val="BodyText"/>
        <w:bidi w:val="0"/>
        <w:rPr>
          <w:rFonts w:ascii="Times New Roman" w:hAnsi="Times New Roman"/>
        </w:rPr>
      </w:pPr>
      <w:r>
        <w:rPr/>
      </w:r>
    </w:p>
    <w:p>
      <w:pPr>
        <w:pStyle w:val="BodyText"/>
        <w:bidi w:val="0"/>
        <w:rPr>
          <w:rFonts w:ascii="Times New Roman" w:hAnsi="Times New Roman"/>
        </w:rPr>
      </w:pPr>
      <w:r>
        <w:rPr/>
        <w:t>11.7</w:t>
        <w:tab/>
      </w:r>
      <w:r>
        <w:rPr>
          <w:u w:val="single"/>
        </w:rPr>
        <w:t>Long-Term Obligations</w:t>
      </w:r>
      <w:r>
        <w:fldChar w:fldCharType="begin"/>
      </w:r>
      <w:r>
        <w:rPr>
          <w:u w:val="single"/>
          <w:vanish/>
        </w:rPr>
        <w:instrText xml:space="preserve"> TC "11.7</w:instrText>
        <w:tab/>
        <w:instrText xml:space="preserve">Long-Term Obligations672" \l 1 </w:instrText>
      </w:r>
      <w:r>
        <w:rPr>
          <w:u w:val="single"/>
          <w:vanish/>
        </w:rPr>
        <w:fldChar w:fldCharType="separate"/>
      </w:r>
      <w:bookmarkStart w:id="338" w:name="_Toc493577514"/>
      <w:bookmarkStart w:id="339" w:name="_Toc497198971"/>
      <w:bookmarkStart w:id="340" w:name="_Toc496784926"/>
      <w:bookmarkStart w:id="341" w:name="_Toc496784649"/>
      <w:bookmarkEnd w:id="338"/>
      <w:bookmarkEnd w:id="339"/>
      <w:bookmarkEnd w:id="340"/>
      <w:bookmarkEnd w:id="341"/>
      <w:r>
        <w:rPr>
          <w:vanish/>
          <w:u w:val="single"/>
        </w:rPr>
      </w:r>
      <w:r>
        <w:rPr>
          <w:u w:val="single"/>
          <w:vanish/>
        </w:rPr>
        <w:fldChar w:fldCharType="end"/>
      </w:r>
      <w:r>
        <w:rPr>
          <w:strike/>
        </w:rPr>
        <w:t>&lt;&lt;*&gt;&gt;</w:t>
      </w:r>
      <w:r>
        <w:rPr/>
        <w:t>. It is expressly understood and agreed by the parties that nothing in this Article 11 shall in any way modify or alter Contractor’s obligations or Owner’s rights under Articles 12 and 13.</w:t>
      </w:r>
    </w:p>
    <w:p>
      <w:pPr>
        <w:pStyle w:val="BodyText"/>
        <w:bidi w:val="0"/>
        <w:rPr>
          <w:rFonts w:ascii="Times New Roman" w:hAnsi="Times New Roman"/>
        </w:rPr>
      </w:pPr>
      <w:r>
        <w:rPr/>
      </w:r>
    </w:p>
    <w:p>
      <w:pPr>
        <w:pStyle w:val="Style1toc"/>
        <w:keepNext w:val="true"/>
        <w:bidi w:val="0"/>
        <w:rPr>
          <w:rFonts w:ascii="Times New Roman" w:hAnsi="Times New Roman"/>
        </w:rPr>
      </w:pPr>
      <w:r>
        <w:rPr/>
        <w:t>ARTICLE 12</w:t>
      </w:r>
      <w:r>
        <w:fldChar w:fldCharType="begin"/>
      </w:r>
      <w:r>
        <w:rPr>
          <w:vanish/>
        </w:rPr>
        <w:instrText xml:space="preserve"> TC "ARTICLE 12  WARRANTY671" \l 1 </w:instrText>
      </w:r>
      <w:r>
        <w:rPr>
          <w:vanish/>
        </w:rPr>
        <w:fldChar w:fldCharType="separate"/>
      </w:r>
      <w:bookmarkStart w:id="342" w:name="_Toc493577515"/>
      <w:bookmarkStart w:id="343" w:name="_Toc496784650"/>
      <w:bookmarkStart w:id="344" w:name="_Toc496784927"/>
      <w:bookmarkStart w:id="345" w:name="_Toc497198972"/>
      <w:bookmarkEnd w:id="342"/>
      <w:bookmarkEnd w:id="343"/>
      <w:bookmarkEnd w:id="344"/>
      <w:bookmarkEnd w:id="345"/>
      <w:r>
        <w:rPr>
          <w:vanish/>
        </w:rPr>
      </w:r>
      <w:r>
        <w:rPr>
          <w:vanish/>
        </w:rPr>
        <w:fldChar w:fldCharType="end"/>
      </w:r>
      <w:r>
        <w:rPr>
          <w:strike/>
        </w:rPr>
        <w:t>&lt;&lt;*&gt;&gt;</w:t>
      </w:r>
    </w:p>
    <w:p>
      <w:pPr>
        <w:pStyle w:val="Style1toc"/>
        <w:keepNext w:val="true"/>
        <w:bidi w:val="0"/>
        <w:rPr>
          <w:rFonts w:ascii="Times New Roman" w:hAnsi="Times New Roman"/>
        </w:rPr>
      </w:pPr>
      <w:r>
        <w:rPr/>
        <w:t>WARRANTY</w:t>
      </w:r>
    </w:p>
    <w:p>
      <w:pPr>
        <w:pStyle w:val="BodyText"/>
        <w:keepNext w:val="true"/>
        <w:bidi w:val="0"/>
        <w:rPr>
          <w:rFonts w:ascii="Times New Roman" w:hAnsi="Times New Roman"/>
        </w:rPr>
      </w:pPr>
      <w:r>
        <w:rPr/>
      </w:r>
    </w:p>
    <w:p>
      <w:pPr>
        <w:pStyle w:val="BodyText"/>
        <w:bidi w:val="0"/>
        <w:rPr>
          <w:rFonts w:ascii="Times New Roman" w:hAnsi="Times New Roman"/>
        </w:rPr>
      </w:pPr>
      <w:r>
        <w:rPr/>
        <w:t>12.1</w:t>
        <w:tab/>
      </w:r>
      <w:r>
        <w:rPr>
          <w:u w:val="single"/>
        </w:rPr>
        <w:t>General Warranty</w:t>
      </w:r>
      <w:r>
        <w:fldChar w:fldCharType="begin"/>
      </w:r>
      <w:r>
        <w:rPr>
          <w:u w:val="single"/>
          <w:vanish/>
        </w:rPr>
        <w:instrText xml:space="preserve"> TC "12.1</w:instrText>
        <w:tab/>
        <w:instrText xml:space="preserve">General Warranty672" \l 1 </w:instrText>
      </w:r>
      <w:r>
        <w:rPr>
          <w:u w:val="single"/>
          <w:vanish/>
        </w:rPr>
        <w:fldChar w:fldCharType="separate"/>
      </w:r>
      <w:bookmarkStart w:id="346" w:name="_Toc493577516"/>
      <w:bookmarkStart w:id="347" w:name="_Toc497198973"/>
      <w:bookmarkStart w:id="348" w:name="_Toc496784928"/>
      <w:bookmarkStart w:id="349" w:name="_Toc496784651"/>
      <w:bookmarkEnd w:id="346"/>
      <w:bookmarkEnd w:id="347"/>
      <w:bookmarkEnd w:id="348"/>
      <w:bookmarkEnd w:id="349"/>
      <w:r>
        <w:rPr>
          <w:vanish/>
          <w:u w:val="single"/>
        </w:rPr>
      </w:r>
      <w:r>
        <w:rPr>
          <w:u w:val="single"/>
          <w:vanish/>
        </w:rPr>
        <w:fldChar w:fldCharType="end"/>
      </w:r>
      <w:r>
        <w:rPr>
          <w:strike/>
        </w:rPr>
        <w:t>&lt;&lt;*&gt;&gt;</w:t>
      </w:r>
      <w:r>
        <w:rPr/>
        <w:t>. Contractor represents and warrants that it is and will be at all times fully qualified and capable of performing the Work to complete the Facility in accordance with the terms of this Agreement. Contractor warrants that all services provided and procedures followed by Contractor hereunder shall be in accordance with the manufacturer or vendors’ warranty requirements, GIP</w:t>
      </w:r>
      <w:r>
        <w:rPr>
          <w:strike/>
        </w:rPr>
        <w:t>&lt;,&gt;</w:t>
      </w:r>
      <w:r>
        <w:rPr/>
        <w:t xml:space="preserve"> and all requirements of this Agreement.    Contractor warrants that the Facility shall be designed, engineered, and constructed to meet the requirements of this Agreement so that the Facility, when operated and maintained in accordance with the vendor operating manuals, will be capable of operating in accordance with the technical requirements of the Specifications, GIP and the    vendor operating manuals.    Contractor further warrants that the </w:t>
      </w:r>
      <w:r>
        <w:rPr>
          <w:strike/>
        </w:rPr>
        <w:t>&lt;Work&gt;</w:t>
      </w:r>
      <w:r>
        <w:rPr/>
        <w:t xml:space="preserve"> </w:t>
      </w:r>
      <w:r>
        <w:rPr>
          <w:b/>
          <w:u w:val="double"/>
        </w:rPr>
        <w:t>Facility</w:t>
      </w:r>
      <w:r>
        <w:rPr/>
        <w:t xml:space="preserve">, including each item of Equipment and other items furnished by Contractor, shall be new and of good quality, </w:t>
      </w:r>
      <w:r>
        <w:rPr>
          <w:strike/>
        </w:rPr>
        <w:t>&lt;shall be&gt;</w:t>
      </w:r>
      <w:r>
        <w:rPr/>
        <w:t xml:space="preserve"> free from defects in design and engineering, materials, construction, and workmanship, and shall conform in all respects with all applicable Laws and Governmental Authorizations in effect at Substantial Completion, the Specifications, Scope of Work, and all other requirements of this Agreement.</w:t>
      </w:r>
    </w:p>
    <w:p>
      <w:pPr>
        <w:pStyle w:val="BodyText"/>
        <w:bidi w:val="0"/>
        <w:rPr>
          <w:rFonts w:ascii="Times New Roman" w:hAnsi="Times New Roman"/>
        </w:rPr>
      </w:pPr>
      <w:r>
        <w:rPr/>
      </w:r>
    </w:p>
    <w:p>
      <w:pPr>
        <w:pStyle w:val="BodyText"/>
        <w:bidi w:val="0"/>
        <w:rPr>
          <w:rFonts w:ascii="Times New Roman" w:hAnsi="Times New Roman"/>
        </w:rPr>
      </w:pPr>
      <w:r>
        <w:rPr/>
        <w:t>12.2</w:t>
        <w:tab/>
      </w:r>
      <w:r>
        <w:rPr>
          <w:u w:val="single"/>
        </w:rPr>
        <w:t>Warranty Period</w:t>
      </w:r>
      <w:r>
        <w:fldChar w:fldCharType="begin"/>
      </w:r>
      <w:r>
        <w:rPr>
          <w:u w:val="single"/>
          <w:vanish/>
        </w:rPr>
        <w:instrText xml:space="preserve"> TC "12.2</w:instrText>
        <w:tab/>
        <w:instrText xml:space="preserve">Warranty Period672" \l 1 </w:instrText>
      </w:r>
      <w:r>
        <w:rPr>
          <w:u w:val="single"/>
          <w:vanish/>
        </w:rPr>
        <w:fldChar w:fldCharType="separate"/>
      </w:r>
      <w:bookmarkStart w:id="350" w:name="_Toc493577517"/>
      <w:bookmarkStart w:id="351" w:name="_Toc496784652"/>
      <w:bookmarkStart w:id="352" w:name="_Toc496784929"/>
      <w:bookmarkStart w:id="353" w:name="_Toc497198974"/>
      <w:bookmarkEnd w:id="350"/>
      <w:bookmarkEnd w:id="351"/>
      <w:bookmarkEnd w:id="352"/>
      <w:bookmarkEnd w:id="353"/>
      <w:r>
        <w:rPr>
          <w:vanish/>
          <w:u w:val="single"/>
        </w:rPr>
      </w:r>
      <w:r>
        <w:rPr>
          <w:u w:val="single"/>
          <w:vanish/>
        </w:rPr>
        <w:fldChar w:fldCharType="end"/>
      </w:r>
      <w:r>
        <w:rPr>
          <w:strike/>
        </w:rPr>
        <w:t>&lt;&lt;*&gt;&gt;</w:t>
      </w:r>
      <w:r>
        <w:rPr/>
        <w:t>. The warranty set forth in Section 12.1 shall extend for a period of twelve (12) months following Substantial Completion (the “Warranty Period”).    The Warranty Period with respect to any Work or Equipment that is repaired, replaced, modified, or otherwise altered or corrected after Substantial Completion shall extend for twelve (12) months from the date of completion of such repair, replacement, modification, correction, or alteration, provided that in no event shall the Warranty Period extend beyond twenty-four (24) months from Substantial Completion</w:t>
      </w:r>
      <w:r>
        <w:rPr>
          <w:strike/>
        </w:rPr>
        <w:t>&lt;; provided that, as to the Power Island&gt;</w:t>
      </w:r>
      <w:r>
        <w:rPr>
          <w:b/>
          <w:u w:val="double"/>
        </w:rPr>
        <w:t>.    However, as to Owner Supplied</w:t>
      </w:r>
      <w:r>
        <w:rPr/>
        <w:t xml:space="preserve"> Equipment, Contractor’s warranty period under this Agreement </w:t>
      </w:r>
      <w:r>
        <w:rPr>
          <w:b/>
          <w:u w:val="double"/>
        </w:rPr>
        <w:t>with respect to any particular item of Owner Supplied Equipment</w:t>
      </w:r>
      <w:r>
        <w:rPr/>
        <w:t xml:space="preserve"> shall be the same as the warranty period provided under the </w:t>
      </w:r>
      <w:r>
        <w:rPr>
          <w:strike/>
        </w:rPr>
        <w:t>&lt;GE&gt;</w:t>
      </w:r>
      <w:r>
        <w:rPr/>
        <w:t xml:space="preserve"> </w:t>
      </w:r>
      <w:r>
        <w:rPr>
          <w:b/>
          <w:u w:val="double"/>
        </w:rPr>
        <w:t>applicable Equipment Vendor</w:t>
      </w:r>
      <w:r>
        <w:rPr/>
        <w:t xml:space="preserve"> Contract </w:t>
      </w:r>
      <w:r>
        <w:rPr>
          <w:b/>
          <w:u w:val="double"/>
        </w:rPr>
        <w:t>for such item of Owner Supplied Equipment</w:t>
      </w:r>
      <w:r>
        <w:rPr/>
        <w:t>.</w:t>
      </w:r>
    </w:p>
    <w:p>
      <w:pPr>
        <w:pStyle w:val="BodyText"/>
        <w:bidi w:val="0"/>
        <w:rPr>
          <w:rFonts w:ascii="Times New Roman" w:hAnsi="Times New Roman"/>
        </w:rPr>
      </w:pPr>
      <w:r>
        <w:rPr/>
      </w:r>
    </w:p>
    <w:p>
      <w:pPr>
        <w:pStyle w:val="BodyText"/>
        <w:bidi w:val="0"/>
        <w:rPr>
          <w:rFonts w:ascii="Times New Roman" w:hAnsi="Times New Roman"/>
        </w:rPr>
      </w:pPr>
      <w:r>
        <w:rPr/>
        <w:t>12.3</w:t>
        <w:tab/>
      </w:r>
      <w:r>
        <w:rPr>
          <w:u w:val="single"/>
        </w:rPr>
        <w:t>Remedy</w:t>
      </w:r>
      <w:r>
        <w:fldChar w:fldCharType="begin"/>
      </w:r>
      <w:r>
        <w:rPr>
          <w:u w:val="single"/>
          <w:vanish/>
        </w:rPr>
        <w:instrText xml:space="preserve"> TC "12.3</w:instrText>
        <w:tab/>
        <w:instrText xml:space="preserve">Remedy672" \l 1 </w:instrText>
      </w:r>
      <w:r>
        <w:rPr>
          <w:u w:val="single"/>
          <w:vanish/>
        </w:rPr>
        <w:fldChar w:fldCharType="separate"/>
      </w:r>
      <w:bookmarkStart w:id="354" w:name="_Toc493577518"/>
      <w:bookmarkStart w:id="355" w:name="_Toc497198975"/>
      <w:bookmarkStart w:id="356" w:name="_Toc496784930"/>
      <w:bookmarkStart w:id="357" w:name="_Toc496784653"/>
      <w:bookmarkEnd w:id="354"/>
      <w:bookmarkEnd w:id="355"/>
      <w:bookmarkEnd w:id="356"/>
      <w:bookmarkEnd w:id="357"/>
      <w:r>
        <w:rPr>
          <w:vanish/>
          <w:u w:val="single"/>
        </w:rPr>
      </w:r>
      <w:r>
        <w:rPr>
          <w:u w:val="single"/>
          <w:vanish/>
        </w:rPr>
        <w:fldChar w:fldCharType="end"/>
      </w:r>
      <w:r>
        <w:rPr>
          <w:strike/>
        </w:rPr>
        <w:t>&lt;&lt;*&gt;&gt;</w:t>
      </w:r>
      <w:r>
        <w:rPr/>
        <w:t xml:space="preserve">. Owner shall promptly give notice to Contractor of the discovery during the Warranty Period of any breach of Contractor’s warranties under Section 12.1.    Owner’s failure to give prompt notice shall not impair Contractor’s obligations with respect to the warranty; provided, however that if the cost of completing the repairs is increased because of Owner’s failure to give timely notice then Owner shall be liable for the amount of the cost increase caused by Owner’s Delay.    Contractor, on an expedited basis if so requested by Owner, shall correct or replace the applicable Work or Equipment (and any other Work or Equipment that is damaged or destroyed as a result of the correction or replacement) at no cost to Owner.    Promptly after </w:t>
      </w:r>
      <w:r>
        <w:rPr>
          <w:b/>
          <w:u w:val="double"/>
        </w:rPr>
        <w:t>Contractor’s</w:t>
      </w:r>
      <w:r>
        <w:rPr/>
        <w:t xml:space="preserve"> receipt </w:t>
      </w:r>
      <w:r>
        <w:rPr>
          <w:strike/>
        </w:rPr>
        <w:t>&lt;by Contractor&gt;</w:t>
      </w:r>
      <w:r>
        <w:rPr/>
        <w:t xml:space="preserve"> of such notice, Contractor and Owner shall agree upon a schedule for Contractor’s performance of its warranty obligations which will allow Contractor to complete </w:t>
      </w:r>
      <w:r>
        <w:rPr>
          <w:strike/>
        </w:rPr>
        <w:t>&lt;such&gt;</w:t>
      </w:r>
      <w:r>
        <w:rPr/>
        <w:t xml:space="preserve"> </w:t>
      </w:r>
      <w:r>
        <w:rPr>
          <w:b/>
          <w:u w:val="double"/>
        </w:rPr>
        <w:t>the</w:t>
      </w:r>
      <w:r>
        <w:rPr/>
        <w:t xml:space="preserve"> work within a reasonable period of time without unreasonably interfering with operation of the Facility.    Owner shall provide Contractor with reasonable access to the Facility to perform such warranty obligations in accordance with such schedule, to the extent such access does not interfere with operation of the Facility.    Any change to the Work that would alter the Scope of Work or the Specifications may be made only with </w:t>
      </w:r>
      <w:r>
        <w:rPr>
          <w:b/>
          <w:u w:val="double"/>
        </w:rPr>
        <w:t>Owner’s</w:t>
      </w:r>
      <w:r>
        <w:rPr/>
        <w:t xml:space="preserve"> prior written approval </w:t>
      </w:r>
      <w:r>
        <w:rPr>
          <w:strike/>
        </w:rPr>
        <w:t>&lt;of Owner&gt;</w:t>
      </w:r>
      <w:r>
        <w:rPr/>
        <w:t xml:space="preserve"> in accordance with the terms of Article 6.    If, after notification of such defect, Contractor </w:t>
      </w:r>
      <w:r>
        <w:rPr>
          <w:strike/>
        </w:rPr>
        <w:t>&lt;shall&gt;</w:t>
      </w:r>
      <w:r>
        <w:rPr/>
        <w:t xml:space="preserve"> unreasonably </w:t>
      </w:r>
      <w:r>
        <w:rPr>
          <w:strike/>
        </w:rPr>
        <w:t>&lt;delay&gt;</w:t>
      </w:r>
      <w:r>
        <w:rPr/>
        <w:t xml:space="preserve"> </w:t>
      </w:r>
      <w:r>
        <w:rPr>
          <w:b/>
          <w:u w:val="double"/>
        </w:rPr>
        <w:t>delays</w:t>
      </w:r>
      <w:r>
        <w:rPr/>
        <w:t xml:space="preserve"> in commencing, continuing, or completing the remedying of such defect in accordance with the agreed schedule, then Owner may correct such defect </w:t>
      </w:r>
      <w:r>
        <w:rPr>
          <w:strike/>
        </w:rPr>
        <w:t>&lt;and&gt;</w:t>
      </w:r>
      <w:r>
        <w:rPr>
          <w:b/>
          <w:u w:val="double"/>
        </w:rPr>
        <w:t>.</w:t>
      </w:r>
      <w:r>
        <w:rPr/>
        <w:t>    Contractor shall be liable for all reasonable costs</w:t>
      </w:r>
      <w:r>
        <w:rPr>
          <w:strike/>
        </w:rPr>
        <w:t>&lt;, charges,&gt;</w:t>
      </w:r>
      <w:r>
        <w:rPr/>
        <w:t xml:space="preserve"> and expenses incurred by Owner in connection with such repair or replacement and shall immediately pay to Owner an amount equal to such costs</w:t>
      </w:r>
      <w:r>
        <w:rPr>
          <w:strike/>
        </w:rPr>
        <w:t>&lt;, charges,&gt;</w:t>
      </w:r>
      <w:r>
        <w:rPr/>
        <w:t xml:space="preserve"> and expenses upon receipt of invoices from Owner; furthermore, the Warranty Period shall be extended </w:t>
      </w:r>
      <w:r>
        <w:rPr>
          <w:strike/>
        </w:rPr>
        <w:t>&lt;pursuant to the terms of&gt;</w:t>
      </w:r>
      <w:r>
        <w:rPr/>
        <w:t xml:space="preserve"> </w:t>
      </w:r>
      <w:r>
        <w:rPr>
          <w:b/>
          <w:u w:val="double"/>
        </w:rPr>
        <w:t>under</w:t>
      </w:r>
      <w:r>
        <w:rPr/>
        <w:t xml:space="preserve"> Section 12.2 as though Contractor had made the repair.</w:t>
      </w:r>
    </w:p>
    <w:p>
      <w:pPr>
        <w:pStyle w:val="BodyText"/>
        <w:bidi w:val="0"/>
        <w:rPr>
          <w:rFonts w:ascii="Times New Roman" w:hAnsi="Times New Roman"/>
        </w:rPr>
      </w:pPr>
      <w:r>
        <w:rPr/>
      </w:r>
    </w:p>
    <w:p>
      <w:pPr>
        <w:pStyle w:val="BodyText"/>
        <w:bidi w:val="0"/>
        <w:rPr>
          <w:rFonts w:ascii="Times New Roman" w:hAnsi="Times New Roman"/>
        </w:rPr>
      </w:pPr>
      <w:r>
        <w:rPr/>
        <w:t>12.4</w:t>
        <w:tab/>
      </w:r>
      <w:r>
        <w:rPr>
          <w:u w:val="single"/>
        </w:rPr>
        <w:t>Subcontractor Warranties</w:t>
      </w:r>
      <w:r>
        <w:fldChar w:fldCharType="begin"/>
      </w:r>
      <w:r>
        <w:rPr>
          <w:u w:val="single"/>
          <w:vanish/>
        </w:rPr>
        <w:instrText xml:space="preserve"> TC "12.4</w:instrText>
        <w:tab/>
        <w:instrText xml:space="preserve">Subcontractor Warranties672" \l 1 </w:instrText>
      </w:r>
      <w:r>
        <w:rPr>
          <w:u w:val="single"/>
          <w:vanish/>
        </w:rPr>
        <w:fldChar w:fldCharType="separate"/>
      </w:r>
      <w:bookmarkStart w:id="358" w:name="_Toc493577519"/>
      <w:bookmarkStart w:id="359" w:name="_Toc497198976"/>
      <w:bookmarkStart w:id="360" w:name="_Toc496784931"/>
      <w:bookmarkStart w:id="361" w:name="_Toc496784654"/>
      <w:bookmarkEnd w:id="358"/>
      <w:bookmarkEnd w:id="359"/>
      <w:bookmarkEnd w:id="360"/>
      <w:bookmarkEnd w:id="361"/>
      <w:r>
        <w:rPr>
          <w:vanish/>
          <w:u w:val="single"/>
        </w:rPr>
      </w:r>
      <w:r>
        <w:rPr>
          <w:u w:val="single"/>
          <w:vanish/>
        </w:rPr>
        <w:fldChar w:fldCharType="end"/>
      </w:r>
      <w:r>
        <w:rPr>
          <w:strike/>
        </w:rPr>
        <w:t>&lt;&lt;*&gt;&gt;</w:t>
      </w:r>
      <w:r>
        <w:rPr/>
        <w:t>. Contractor shall use reasonable efforts to obtain standard vendor warranties for the benefit of Contractor and Owner for all Equipment with warranty periods equal to or longer than the Warranty Period.    If such warranties extend beyond the Warranty Period, then they shall be transferred to Owner at the end of the Warranty Period, together with an assignment to Owner, or other acceptable provision for Owner enforcement</w:t>
      </w:r>
      <w:r>
        <w:rPr>
          <w:b/>
          <w:u w:val="double"/>
        </w:rPr>
        <w:t>,</w:t>
      </w:r>
      <w:r>
        <w:rPr/>
        <w:t xml:space="preserve"> or Contractor enforcement on behalf of Owner</w:t>
      </w:r>
      <w:r>
        <w:rPr>
          <w:b/>
          <w:u w:val="double"/>
        </w:rPr>
        <w:t>,</w:t>
      </w:r>
      <w:r>
        <w:rPr/>
        <w:t xml:space="preserve"> of any security, bond or other performance guarantee with respect to such warranties</w:t>
      </w:r>
      <w:r>
        <w:rPr>
          <w:strike/>
        </w:rPr>
        <w:t>&lt;, and&gt;</w:t>
      </w:r>
      <w:r>
        <w:rPr>
          <w:b/>
          <w:u w:val="double"/>
        </w:rPr>
        <w:t>.</w:t>
      </w:r>
      <w:r>
        <w:rPr/>
        <w:t>    Contractor shall act as liaison for Owner with such vendors in prosecuting any warranty claims.</w:t>
      </w:r>
    </w:p>
    <w:p>
      <w:pPr>
        <w:pStyle w:val="BodyText"/>
        <w:bidi w:val="0"/>
        <w:rPr>
          <w:rFonts w:ascii="Times New Roman" w:hAnsi="Times New Roman"/>
        </w:rPr>
      </w:pPr>
      <w:r>
        <w:rPr/>
      </w:r>
    </w:p>
    <w:p>
      <w:pPr>
        <w:pStyle w:val="BodyText"/>
        <w:bidi w:val="0"/>
        <w:rPr>
          <w:rFonts w:ascii="Times New Roman" w:hAnsi="Times New Roman"/>
        </w:rPr>
      </w:pPr>
      <w:r>
        <w:rPr/>
        <w:t>12.5</w:t>
        <w:tab/>
      </w:r>
      <w:r>
        <w:rPr>
          <w:u w:val="single"/>
        </w:rPr>
        <w:t>Warranty Exclusions</w:t>
      </w:r>
      <w:r>
        <w:fldChar w:fldCharType="begin"/>
      </w:r>
      <w:r>
        <w:rPr>
          <w:u w:val="single"/>
          <w:vanish/>
        </w:rPr>
        <w:instrText xml:space="preserve"> TC "12.5</w:instrText>
        <w:tab/>
        <w:instrText xml:space="preserve">Warranty Exclusions672" \l 1 </w:instrText>
      </w:r>
      <w:r>
        <w:rPr>
          <w:u w:val="single"/>
          <w:vanish/>
        </w:rPr>
        <w:fldChar w:fldCharType="separate"/>
      </w:r>
      <w:bookmarkStart w:id="362" w:name="_Toc493577520"/>
      <w:bookmarkStart w:id="363" w:name="_Toc497198977"/>
      <w:bookmarkStart w:id="364" w:name="_Toc496784932"/>
      <w:bookmarkStart w:id="365" w:name="_Toc496784655"/>
      <w:bookmarkEnd w:id="362"/>
      <w:bookmarkEnd w:id="363"/>
      <w:bookmarkEnd w:id="364"/>
      <w:bookmarkEnd w:id="365"/>
      <w:r>
        <w:rPr>
          <w:vanish/>
          <w:u w:val="single"/>
        </w:rPr>
      </w:r>
      <w:r>
        <w:rPr>
          <w:u w:val="single"/>
          <w:vanish/>
        </w:rPr>
        <w:fldChar w:fldCharType="end"/>
      </w:r>
      <w:r>
        <w:rPr>
          <w:strike/>
        </w:rPr>
        <w:t>&lt;&lt;*&gt;&gt;</w:t>
      </w:r>
      <w:r>
        <w:rPr/>
        <w:t>. The duties, liabilities and obligations of Contractor under this Article 12 do not extend to any repairs, adjustments, alterations, replacements, or maintenance which may be required as a result of normal wear and tear in the operation of the Facility, normal degradation in the performance of Equipment, or as a result of Owner’s failure to operate or maintain the Facility in accordance with the vendor operating manuals.</w:t>
      </w:r>
    </w:p>
    <w:p>
      <w:pPr>
        <w:pStyle w:val="BodyText"/>
        <w:bidi w:val="0"/>
        <w:rPr>
          <w:rFonts w:ascii="Times New Roman" w:hAnsi="Times New Roman"/>
        </w:rPr>
      </w:pPr>
      <w:r>
        <w:rPr/>
      </w:r>
    </w:p>
    <w:p>
      <w:pPr>
        <w:pStyle w:val="BodyText"/>
        <w:bidi w:val="0"/>
        <w:rPr>
          <w:rFonts w:ascii="Times New Roman" w:hAnsi="Times New Roman"/>
        </w:rPr>
      </w:pPr>
      <w:r>
        <w:rPr/>
        <w:t>12.6</w:t>
        <w:tab/>
      </w:r>
      <w:r>
        <w:rPr>
          <w:u w:val="single"/>
        </w:rPr>
        <w:t>No Implied Warranties</w:t>
      </w:r>
      <w:r>
        <w:fldChar w:fldCharType="begin"/>
      </w:r>
      <w:r>
        <w:rPr>
          <w:u w:val="single"/>
          <w:vanish/>
        </w:rPr>
        <w:instrText xml:space="preserve"> TC "12.6</w:instrText>
        <w:tab/>
        <w:instrText xml:space="preserve">No Implied Warranties672" \l 1 </w:instrText>
      </w:r>
      <w:r>
        <w:rPr>
          <w:u w:val="single"/>
          <w:vanish/>
        </w:rPr>
        <w:fldChar w:fldCharType="separate"/>
      </w:r>
      <w:bookmarkStart w:id="366" w:name="_Toc493577521"/>
      <w:bookmarkStart w:id="367" w:name="_Toc496784656"/>
      <w:bookmarkStart w:id="368" w:name="_Toc497198978"/>
      <w:bookmarkStart w:id="369" w:name="_Toc496784933"/>
      <w:bookmarkEnd w:id="366"/>
      <w:bookmarkEnd w:id="367"/>
      <w:bookmarkEnd w:id="368"/>
      <w:bookmarkEnd w:id="369"/>
      <w:r>
        <w:rPr>
          <w:vanish/>
          <w:u w:val="single"/>
        </w:rPr>
      </w:r>
      <w:r>
        <w:rPr>
          <w:u w:val="single"/>
          <w:vanish/>
        </w:rPr>
        <w:fldChar w:fldCharType="end"/>
      </w:r>
      <w:r>
        <w:rPr>
          <w:strike/>
        </w:rPr>
        <w:t>&lt;&lt;*&gt;&gt;</w:t>
      </w:r>
      <w:r>
        <w:rPr/>
        <w:t>. THE EXPRESS WARRANTIES SET FORTH IN THIS AGREEMENT ARE EXCLUSIVE AND NO OTHER WARRANTIES OF ANY KIND, WHETHER STATUTORY, WRITTEN, ORAL, EXPRESS OR IMPLIED (INCLUDING WARRANTIES OF FITNESS FOR A PARTICULAR PURPOSE OR MERCHANTABILITY AND IMPLIED WARRANTIES OF CUSTOM OR USAGE) SHALL APPLY.</w:t>
      </w:r>
    </w:p>
    <w:p>
      <w:pPr>
        <w:pStyle w:val="BodyText"/>
        <w:bidi w:val="0"/>
        <w:rPr>
          <w:rFonts w:ascii="Times New Roman" w:hAnsi="Times New Roman"/>
        </w:rPr>
      </w:pPr>
      <w:r>
        <w:rPr/>
      </w:r>
    </w:p>
    <w:p>
      <w:pPr>
        <w:pStyle w:val="BodyText2"/>
        <w:bidi w:val="0"/>
        <w:ind w:hanging="0" w:start="720"/>
        <w:rPr>
          <w:rFonts w:ascii="Times New Roman" w:hAnsi="Times New Roman"/>
        </w:rPr>
      </w:pPr>
      <w:r>
        <w:rPr/>
        <w:t>12.7</w:t>
        <w:tab/>
      </w:r>
      <w:r>
        <w:rPr>
          <w:u w:val="single"/>
        </w:rPr>
        <w:t>Post Repair Testing</w:t>
      </w:r>
      <w:r>
        <w:fldChar w:fldCharType="begin"/>
      </w:r>
      <w:r>
        <w:rPr>
          <w:u w:val="single"/>
          <w:vanish/>
        </w:rPr>
        <w:instrText xml:space="preserve"> TC "12.7</w:instrText>
        <w:tab/>
        <w:instrText xml:space="preserve">Post Repair Testing672" \l 1 </w:instrText>
      </w:r>
      <w:r>
        <w:rPr>
          <w:u w:val="single"/>
          <w:vanish/>
        </w:rPr>
        <w:fldChar w:fldCharType="separate"/>
      </w:r>
      <w:bookmarkStart w:id="370" w:name="_Toc497198979"/>
      <w:bookmarkStart w:id="371" w:name="_Toc493577522"/>
      <w:bookmarkStart w:id="372" w:name="_Toc496784657"/>
      <w:bookmarkStart w:id="373" w:name="_Toc496784934"/>
      <w:bookmarkEnd w:id="370"/>
      <w:bookmarkEnd w:id="371"/>
      <w:bookmarkEnd w:id="372"/>
      <w:bookmarkEnd w:id="373"/>
      <w:r>
        <w:rPr>
          <w:vanish/>
          <w:u w:val="single"/>
        </w:rPr>
      </w:r>
      <w:r>
        <w:rPr>
          <w:u w:val="single"/>
          <w:vanish/>
        </w:rPr>
        <w:fldChar w:fldCharType="end"/>
      </w:r>
      <w:r>
        <w:rPr>
          <w:strike/>
        </w:rPr>
        <w:t>&lt;&lt;*&gt;&gt;</w:t>
      </w:r>
      <w:r>
        <w:rPr/>
        <w:t>.    Contractor shall reasonably demonstrate that the performance of the Facility has not been adversely affected by any work performed to correct a defect or other failure to meet the warranty requirements set forth in this Agreement.</w:t>
      </w:r>
    </w:p>
    <w:p>
      <w:pPr>
        <w:pStyle w:val="BodyText"/>
        <w:bidi w:val="0"/>
        <w:rPr>
          <w:rFonts w:ascii="Times New Roman" w:hAnsi="Times New Roman"/>
        </w:rPr>
      </w:pPr>
      <w:r>
        <w:rPr/>
      </w:r>
    </w:p>
    <w:p>
      <w:pPr>
        <w:pStyle w:val="Style1toc"/>
        <w:keepNext w:val="true"/>
        <w:bidi w:val="0"/>
        <w:rPr>
          <w:rFonts w:ascii="Times New Roman" w:hAnsi="Times New Roman"/>
        </w:rPr>
      </w:pPr>
      <w:r>
        <w:rPr/>
        <w:t>ARTICLE 13</w:t>
      </w:r>
      <w:r>
        <w:fldChar w:fldCharType="begin"/>
      </w:r>
      <w:r>
        <w:rPr>
          <w:vanish/>
        </w:rPr>
        <w:instrText xml:space="preserve"> TC "ARTICLE 13  SCHEDULE GUARANTEES671" \l 1 </w:instrText>
      </w:r>
      <w:r>
        <w:rPr>
          <w:vanish/>
        </w:rPr>
        <w:fldChar w:fldCharType="separate"/>
      </w:r>
      <w:bookmarkStart w:id="374" w:name="_Toc493577523"/>
      <w:bookmarkStart w:id="375" w:name="_Toc497198980"/>
      <w:bookmarkStart w:id="376" w:name="_Toc496784935"/>
      <w:bookmarkStart w:id="377" w:name="_Toc496784658"/>
      <w:bookmarkEnd w:id="374"/>
      <w:bookmarkEnd w:id="375"/>
      <w:bookmarkEnd w:id="376"/>
      <w:bookmarkEnd w:id="377"/>
      <w:r>
        <w:rPr>
          <w:vanish/>
        </w:rPr>
      </w:r>
      <w:r>
        <w:rPr>
          <w:vanish/>
        </w:rPr>
        <w:fldChar w:fldCharType="end"/>
      </w:r>
      <w:r>
        <w:rPr>
          <w:strike/>
        </w:rPr>
        <w:t>&lt;&lt;*&gt;&gt;</w:t>
      </w:r>
    </w:p>
    <w:p>
      <w:pPr>
        <w:pStyle w:val="Style1toc"/>
        <w:keepNext w:val="true"/>
        <w:bidi w:val="0"/>
        <w:rPr>
          <w:rFonts w:ascii="Times New Roman" w:hAnsi="Times New Roman"/>
        </w:rPr>
      </w:pPr>
      <w:r>
        <w:rPr/>
        <w:t>SCHEDULE GUARANTEES</w:t>
      </w:r>
    </w:p>
    <w:p>
      <w:pPr>
        <w:pStyle w:val="BodyText"/>
        <w:keepNext w:val="true"/>
        <w:bidi w:val="0"/>
        <w:rPr>
          <w:rFonts w:ascii="Times New Roman" w:hAnsi="Times New Roman"/>
        </w:rPr>
      </w:pPr>
      <w:r>
        <w:rPr/>
      </w:r>
    </w:p>
    <w:p>
      <w:pPr>
        <w:pStyle w:val="BodyText"/>
        <w:bidi w:val="0"/>
        <w:rPr>
          <w:rFonts w:ascii="Times New Roman" w:hAnsi="Times New Roman"/>
          <w:b/>
        </w:rPr>
      </w:pPr>
      <w:r>
        <w:rPr/>
        <w:t>13.1</w:t>
        <w:tab/>
      </w:r>
      <w:r>
        <w:rPr>
          <w:u w:val="single"/>
        </w:rPr>
        <w:t>Guarantee of Timely Completion</w:t>
      </w:r>
      <w:r>
        <w:fldChar w:fldCharType="begin"/>
      </w:r>
      <w:r>
        <w:rPr>
          <w:u w:val="single"/>
          <w:vanish/>
        </w:rPr>
        <w:instrText xml:space="preserve"> TC "13.1</w:instrText>
        <w:tab/>
        <w:instrText xml:space="preserve">Guarantee of Timely Completion672" \l 1 </w:instrText>
      </w:r>
      <w:r>
        <w:rPr>
          <w:u w:val="single"/>
          <w:vanish/>
        </w:rPr>
        <w:fldChar w:fldCharType="separate"/>
      </w:r>
      <w:bookmarkStart w:id="378" w:name="_Toc493577524"/>
      <w:bookmarkStart w:id="379" w:name="_Toc497198981"/>
      <w:bookmarkStart w:id="380" w:name="_Toc496784936"/>
      <w:bookmarkStart w:id="381" w:name="_Toc496784659"/>
      <w:bookmarkEnd w:id="378"/>
      <w:bookmarkEnd w:id="379"/>
      <w:bookmarkEnd w:id="380"/>
      <w:bookmarkEnd w:id="381"/>
      <w:r>
        <w:rPr>
          <w:vanish/>
          <w:u w:val="single"/>
        </w:rPr>
      </w:r>
      <w:r>
        <w:rPr>
          <w:u w:val="single"/>
          <w:vanish/>
        </w:rPr>
        <w:fldChar w:fldCharType="end"/>
      </w:r>
      <w:r>
        <w:rPr>
          <w:strike/>
        </w:rPr>
        <w:t>&lt;&lt;*&gt;&gt;</w:t>
      </w:r>
      <w:r>
        <w:rPr/>
        <w:t xml:space="preserve">.    Contractor shall administer and perform the Work in accordance with the Project Schedule and guarantees </w:t>
      </w:r>
      <w:r>
        <w:rPr>
          <w:b/>
          <w:u w:val="double"/>
        </w:rPr>
        <w:t>that</w:t>
      </w:r>
      <w:r>
        <w:rPr/>
        <w:t xml:space="preserve"> Substantial Completion shall occur on or before </w:t>
      </w:r>
      <w:r>
        <w:rPr>
          <w:strike/>
        </w:rPr>
        <w:t>&lt;June 1, 2003&gt;</w:t>
      </w:r>
      <w:r>
        <w:rPr>
          <w:b/>
          <w:u w:val="double"/>
        </w:rPr>
        <w:t>_______, 200__</w:t>
      </w:r>
      <w:r>
        <w:rPr/>
        <w:t xml:space="preserve"> (the "Guaranteed Completion Date") and Final Completion shall occur by the “End Date”, which shall be the date </w:t>
      </w:r>
      <w:r>
        <w:rPr>
          <w:b/>
          <w:u w:val="double"/>
        </w:rPr>
        <w:t>[</w:t>
      </w:r>
      <w:r>
        <w:rPr>
          <w:b/>
        </w:rPr>
        <w:t>ninety (90)</w:t>
      </w:r>
      <w:r>
        <w:rPr>
          <w:b/>
          <w:u w:val="double"/>
        </w:rPr>
        <w:t>]</w:t>
      </w:r>
      <w:r>
        <w:rPr/>
        <w:t xml:space="preserve"> days after the Guaranteed Completion Date.    Time is of the essence in this Agreement with respect to the Guaranteed Completion Date and the End Date.    If progress on the Work is significantly delayed other than as a result of either Force Majeure or Owner Delays </w:t>
      </w:r>
      <w:r>
        <w:rPr>
          <w:strike/>
        </w:rPr>
        <w:t>&lt;in the Project Schedule&gt;</w:t>
      </w:r>
      <w:r>
        <w:rPr/>
        <w:t>, Contractor shall take reasonable actions, including</w:t>
      </w:r>
      <w:r>
        <w:rPr>
          <w:strike/>
        </w:rPr>
        <w:t>&lt;,&gt;</w:t>
      </w:r>
      <w:r>
        <w:rPr/>
        <w:t xml:space="preserve"> without limitation</w:t>
      </w:r>
      <w:r>
        <w:rPr>
          <w:strike/>
        </w:rPr>
        <w:t>&lt;,&gt;</w:t>
      </w:r>
      <w:r>
        <w:rPr/>
        <w:t xml:space="preserve"> working overtime, weekends, or holidays, or adding additional personnel, equipment, or work spreads, at no cost to Owner, to cause Substantial Completion to occur by the Guaranteed Completion Date.</w:t>
      </w:r>
      <w:r>
        <w:rPr>
          <w:b/>
          <w:u w:val="double"/>
        </w:rPr>
        <w:t>    [Under review by EGF.]</w:t>
      </w:r>
    </w:p>
    <w:p>
      <w:pPr>
        <w:pStyle w:val="BodyText"/>
        <w:bidi w:val="0"/>
        <w:rPr>
          <w:rFonts w:ascii="Times New Roman" w:hAnsi="Times New Roman"/>
        </w:rPr>
      </w:pPr>
      <w:r>
        <w:rPr/>
      </w:r>
    </w:p>
    <w:p>
      <w:pPr>
        <w:pStyle w:val="BodyText"/>
        <w:bidi w:val="0"/>
        <w:rPr>
          <w:rFonts w:ascii="Times New Roman" w:hAnsi="Times New Roman"/>
        </w:rPr>
      </w:pPr>
      <w:r>
        <w:rPr/>
        <w:t>13.2</w:t>
        <w:tab/>
      </w:r>
      <w:r>
        <w:rPr>
          <w:u w:val="single"/>
        </w:rPr>
        <w:t>Completion</w:t>
      </w:r>
      <w:r>
        <w:fldChar w:fldCharType="begin"/>
      </w:r>
      <w:r>
        <w:rPr>
          <w:u w:val="single"/>
          <w:vanish/>
        </w:rPr>
        <w:instrText xml:space="preserve"> TC "13.2</w:instrText>
        <w:tab/>
        <w:instrText xml:space="preserve">Completion672" \l 1 </w:instrText>
      </w:r>
      <w:r>
        <w:rPr>
          <w:u w:val="single"/>
          <w:vanish/>
        </w:rPr>
        <w:fldChar w:fldCharType="separate"/>
      </w:r>
      <w:bookmarkStart w:id="382" w:name="_Toc493577525"/>
      <w:bookmarkStart w:id="383" w:name="_Toc497198982"/>
      <w:bookmarkStart w:id="384" w:name="_Toc496784937"/>
      <w:bookmarkStart w:id="385" w:name="_Toc496784660"/>
      <w:bookmarkEnd w:id="382"/>
      <w:bookmarkEnd w:id="383"/>
      <w:bookmarkEnd w:id="384"/>
      <w:bookmarkEnd w:id="385"/>
      <w:r>
        <w:rPr>
          <w:vanish/>
          <w:u w:val="single"/>
        </w:rPr>
      </w:r>
      <w:r>
        <w:rPr>
          <w:u w:val="single"/>
          <w:vanish/>
        </w:rPr>
        <w:fldChar w:fldCharType="end"/>
      </w:r>
      <w:r>
        <w:rPr>
          <w:strike/>
        </w:rPr>
        <w:t>&lt;&lt;*&gt;&gt;</w:t>
      </w:r>
      <w:r>
        <w:rPr/>
        <w:t xml:space="preserve">.    Contractor shall design the Facility such that the Facility when constructed in accordance with that conceptual design shall meet the </w:t>
      </w:r>
      <w:r>
        <w:rPr>
          <w:strike/>
        </w:rPr>
        <w:t>&lt;Minimum&gt;</w:t>
      </w:r>
      <w:r>
        <w:rPr/>
        <w:t xml:space="preserve"> </w:t>
      </w:r>
      <w:r>
        <w:rPr>
          <w:b/>
          <w:u w:val="double"/>
        </w:rPr>
        <w:t>Specific</w:t>
      </w:r>
      <w:r>
        <w:rPr/>
        <w:t xml:space="preserve"> Performance Guarantees.</w:t>
      </w:r>
    </w:p>
    <w:p>
      <w:pPr>
        <w:pStyle w:val="BodyText"/>
        <w:bidi w:val="0"/>
        <w:rPr>
          <w:rFonts w:ascii="Times New Roman" w:hAnsi="Times New Roman"/>
        </w:rPr>
      </w:pPr>
      <w:r>
        <w:rPr/>
      </w:r>
    </w:p>
    <w:p>
      <w:pPr>
        <w:pStyle w:val="Style2toc"/>
        <w:bidi w:val="0"/>
        <w:rPr>
          <w:rFonts w:ascii="Times New Roman" w:hAnsi="Times New Roman"/>
        </w:rPr>
      </w:pPr>
      <w:r>
        <w:rPr/>
        <w:t>13.3</w:t>
        <w:tab/>
      </w:r>
      <w:r>
        <w:rPr>
          <w:u w:val="single"/>
        </w:rPr>
        <w:t>Delay Liquidated Damages</w:t>
      </w:r>
      <w:r>
        <w:fldChar w:fldCharType="begin"/>
      </w:r>
      <w:r>
        <w:rPr>
          <w:u w:val="single"/>
          <w:vanish/>
        </w:rPr>
        <w:instrText xml:space="preserve"> TC "13.3</w:instrText>
        <w:tab/>
        <w:instrText xml:space="preserve">Delay Liquidated Damages672" \l 1 </w:instrText>
      </w:r>
      <w:r>
        <w:rPr>
          <w:u w:val="single"/>
          <w:vanish/>
        </w:rPr>
        <w:fldChar w:fldCharType="separate"/>
      </w:r>
      <w:bookmarkStart w:id="386" w:name="_Toc496784661"/>
      <w:bookmarkStart w:id="387" w:name="_Toc497198983"/>
      <w:bookmarkStart w:id="388" w:name="_Toc496784938"/>
      <w:bookmarkStart w:id="389" w:name="_Toc493577526"/>
      <w:bookmarkEnd w:id="386"/>
      <w:bookmarkEnd w:id="387"/>
      <w:bookmarkEnd w:id="388"/>
      <w:bookmarkEnd w:id="389"/>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 xml:space="preserve">In the event Contractor fails to achieve Substantial Completion on or before the Guaranteed Completion Date, Owner may invoice Contractor on a monthly basis for the applicable Delay Liquidated Damages at the rate set forth on </w:t>
      </w:r>
      <w:r>
        <w:rPr>
          <w:u w:val="single"/>
        </w:rPr>
        <w:t>Exhibit C-4</w:t>
      </w:r>
      <w:r>
        <w:rPr/>
        <w:t xml:space="preserve">.    Contractor shall pay each invoice within ten (10) days following submission, but Contractor does not thereby waive its right to dispute the validity of Delay Liquidated Damages </w:t>
      </w:r>
      <w:r>
        <w:rPr>
          <w:strike/>
        </w:rPr>
        <w:t>&lt;pursuant to&gt;</w:t>
      </w:r>
      <w:r>
        <w:rPr/>
        <w:t xml:space="preserve"> </w:t>
      </w:r>
      <w:r>
        <w:rPr>
          <w:b/>
          <w:u w:val="double"/>
        </w:rPr>
        <w:t>under</w:t>
      </w:r>
      <w:r>
        <w:rPr/>
        <w:t xml:space="preserve"> Article 19.    Owner may offset any such amounts in whole or in part against amounts due to Contractor under this Agreement.</w:t>
      </w:r>
    </w:p>
    <w:p>
      <w:pPr>
        <w:pStyle w:val="BodyText"/>
        <w:bidi w:val="0"/>
        <w:rPr>
          <w:rFonts w:ascii="Times New Roman" w:hAnsi="Times New Roman"/>
          <w:strike/>
        </w:rPr>
      </w:pPr>
      <w:r>
        <w:rPr>
          <w:strike/>
        </w:rPr>
        <w:t>&lt;To the extent that Owner receives (a) proceeds under any Delay in Start-Up insurance which Owner may obtain and such proceeds are directly related to an insured loss or damage which caused Contractor to fail to achieve Substantial Completion prior to the Guaranteed Completion Date or (b) net revenues from operation of the Facility prior to the Guaranteed Completion Date, the amount of Contractor’s Delay Liquidated Damages shall be reduced on a dollar for dollar basis. The insurance proceeds shall not be applied to any cap on Delay Liquidated Damages or the Liquidated Limit, and the reduction shall not apply to any period of delay subject to a deductible under the Delay in Start-Up insurance, nor to any GE Contract’ Damages.</w:t>
      </w:r>
    </w:p>
    <w:p>
      <w:pPr>
        <w:pStyle w:val="BodyText"/>
        <w:bidi w:val="0"/>
        <w:rPr>
          <w:rFonts w:ascii="Times New Roman" w:hAnsi="Times New Roman"/>
        </w:rPr>
      </w:pPr>
      <w:r>
        <w:rPr>
          <w:strike/>
        </w:rPr>
        <w:t>&gt;</w:t>
      </w:r>
    </w:p>
    <w:p>
      <w:pPr>
        <w:pStyle w:val="Style2toc"/>
        <w:bidi w:val="0"/>
        <w:rPr>
          <w:rFonts w:ascii="Times New Roman" w:hAnsi="Times New Roman"/>
        </w:rPr>
      </w:pPr>
      <w:r>
        <w:rPr/>
        <w:t>13.4</w:t>
        <w:tab/>
      </w:r>
      <w:r>
        <w:rPr>
          <w:u w:val="single"/>
        </w:rPr>
        <w:t>Performance Guarantees and Liquidated Damages</w:t>
      </w:r>
      <w:r>
        <w:fldChar w:fldCharType="begin"/>
      </w:r>
      <w:r>
        <w:rPr>
          <w:u w:val="single"/>
          <w:vanish/>
        </w:rPr>
        <w:instrText xml:space="preserve"> TC "13.4</w:instrText>
        <w:tab/>
        <w:instrText xml:space="preserve">Performance Guarantees and Liquidated Damages352" \l 1 </w:instrText>
      </w:r>
      <w:r>
        <w:rPr>
          <w:u w:val="single"/>
          <w:vanish/>
        </w:rPr>
        <w:fldChar w:fldCharType="separate"/>
      </w:r>
      <w:bookmarkStart w:id="390" w:name="_Toc493577527"/>
      <w:bookmarkStart w:id="391" w:name="_Toc497198984"/>
      <w:bookmarkStart w:id="392" w:name="_Toc496784939"/>
      <w:bookmarkStart w:id="393" w:name="_Toc496784662"/>
      <w:bookmarkEnd w:id="390"/>
      <w:bookmarkEnd w:id="391"/>
      <w:bookmarkEnd w:id="392"/>
      <w:bookmarkEnd w:id="393"/>
      <w:r>
        <w:rPr>
          <w:vanish/>
          <w:u w:val="single"/>
        </w:rPr>
      </w:r>
      <w:r>
        <w:rPr>
          <w:u w:val="single"/>
          <w:vanish/>
        </w:rPr>
        <w:fldChar w:fldCharType="end"/>
      </w:r>
      <w:r>
        <w:rPr>
          <w:strike/>
        </w:rPr>
        <w:t>&lt;&lt;*&gt;&gt;</w:t>
      </w:r>
      <w:r>
        <w:rPr/>
        <w:t xml:space="preserve">.    </w:t>
      </w:r>
    </w:p>
    <w:p>
      <w:pPr>
        <w:pStyle w:val="bodytext1"/>
        <w:bidi w:val="0"/>
        <w:spacing w:lineRule="atLeast" w:line="240"/>
        <w:ind w:hanging="0" w:start="720"/>
        <w:jc w:val="both"/>
        <w:rPr>
          <w:rFonts w:ascii="Times New Roman" w:hAnsi="Times New Roman"/>
          <w:sz w:val="23"/>
        </w:rPr>
      </w:pPr>
      <w:r>
        <w:rPr>
          <w:color w:val="00007F"/>
          <w:sz w:val="23"/>
        </w:rPr>
        <w:tab/>
        <w:t xml:space="preserve">13.4.1    </w:t>
      </w:r>
      <w:r>
        <w:rPr>
          <w:color w:val="00007F"/>
          <w:sz w:val="23"/>
          <w:u w:val="single"/>
        </w:rPr>
        <w:t>Performance Guarantees</w:t>
      </w:r>
      <w:r>
        <w:rPr>
          <w:color w:val="00007F"/>
          <w:sz w:val="23"/>
        </w:rPr>
        <w:t xml:space="preserve">.    </w:t>
      </w:r>
      <w:r>
        <w:rPr>
          <w:sz w:val="23"/>
        </w:rPr>
        <w:t>Contractor guarantees that the Facility will meet the Performance Guarantees during the relevant Performance Tests.</w:t>
      </w:r>
    </w:p>
    <w:p>
      <w:pPr>
        <w:pStyle w:val="bodytext1"/>
        <w:bidi w:val="0"/>
        <w:spacing w:lineRule="atLeast" w:line="240"/>
        <w:ind w:hanging="0" w:start="720"/>
        <w:jc w:val="both"/>
        <w:rPr>
          <w:rFonts w:ascii="Times New Roman" w:hAnsi="Times New Roman"/>
          <w:sz w:val="23"/>
        </w:rPr>
      </w:pPr>
      <w:r>
        <w:rPr>
          <w:color w:val="00007F"/>
          <w:sz w:val="23"/>
        </w:rPr>
        <w:tab/>
        <w:t xml:space="preserve">13.4.2    </w:t>
      </w:r>
      <w:r>
        <w:rPr>
          <w:color w:val="00007F"/>
          <w:sz w:val="23"/>
          <w:u w:val="single"/>
        </w:rPr>
        <w:t>Performance Liquidated Damages</w:t>
      </w:r>
      <w:r>
        <w:rPr>
          <w:color w:val="00007F"/>
          <w:sz w:val="23"/>
        </w:rPr>
        <w:t xml:space="preserve">.    </w:t>
      </w:r>
      <w:r>
        <w:rPr>
          <w:sz w:val="23"/>
        </w:rPr>
        <w:t xml:space="preserve">Contractor agrees to pay Owner the Performance Liquidated Damages, to the extent that the Facility does not meet the Performance Guarantees during the relevant Performance Tests.    The Facility shall, however, meet the </w:t>
      </w:r>
      <w:r>
        <w:rPr>
          <w:strike/>
          <w:sz w:val="23"/>
        </w:rPr>
        <w:t>&lt;Minimum&gt;</w:t>
      </w:r>
      <w:r>
        <w:rPr>
          <w:sz w:val="23"/>
        </w:rPr>
        <w:t xml:space="preserve"> </w:t>
      </w:r>
      <w:r>
        <w:rPr>
          <w:b/>
          <w:sz w:val="23"/>
          <w:u w:val="double"/>
        </w:rPr>
        <w:t>Specific</w:t>
      </w:r>
      <w:r>
        <w:rPr>
          <w:sz w:val="23"/>
        </w:rPr>
        <w:t xml:space="preserve"> Performance Guarantees.    With respect to the </w:t>
      </w:r>
      <w:r>
        <w:rPr>
          <w:strike/>
          <w:sz w:val="23"/>
        </w:rPr>
        <w:t>&lt;Minimum&gt;</w:t>
      </w:r>
      <w:r>
        <w:rPr>
          <w:sz w:val="23"/>
        </w:rPr>
        <w:t xml:space="preserve"> </w:t>
      </w:r>
      <w:r>
        <w:rPr>
          <w:b/>
          <w:sz w:val="23"/>
          <w:u w:val="double"/>
        </w:rPr>
        <w:t>Specific</w:t>
      </w:r>
      <w:r>
        <w:rPr>
          <w:sz w:val="23"/>
        </w:rPr>
        <w:t xml:space="preserve"> Performance Guarantees, Contractor has covenanted and agreed that such </w:t>
      </w:r>
      <w:r>
        <w:rPr>
          <w:strike/>
          <w:sz w:val="23"/>
        </w:rPr>
        <w:t>&lt;Minimum&gt;</w:t>
      </w:r>
      <w:r>
        <w:rPr>
          <w:sz w:val="23"/>
        </w:rPr>
        <w:t xml:space="preserve"> </w:t>
      </w:r>
      <w:r>
        <w:rPr>
          <w:b/>
          <w:sz w:val="23"/>
          <w:u w:val="double"/>
        </w:rPr>
        <w:t>Specific</w:t>
      </w:r>
      <w:r>
        <w:rPr>
          <w:sz w:val="23"/>
        </w:rPr>
        <w:t xml:space="preserve"> Performance Guarantees shall be demonstrated and met in their entirety prior to Substantial Completion, regardless of the cost or effort required to correct any deficiency or failure, and Contractor shall not be relieved of a failure to meet any </w:t>
      </w:r>
      <w:r>
        <w:rPr>
          <w:strike/>
          <w:sz w:val="23"/>
        </w:rPr>
        <w:t>&lt;Minimum&gt;</w:t>
      </w:r>
      <w:r>
        <w:rPr>
          <w:sz w:val="23"/>
        </w:rPr>
        <w:t xml:space="preserve"> </w:t>
      </w:r>
      <w:r>
        <w:rPr>
          <w:b/>
          <w:sz w:val="23"/>
          <w:u w:val="double"/>
        </w:rPr>
        <w:t>Specific</w:t>
      </w:r>
      <w:r>
        <w:rPr>
          <w:sz w:val="23"/>
        </w:rPr>
        <w:t xml:space="preserve"> Performance Guarantee by the payment of any damages.    </w:t>
      </w:r>
      <w:r>
        <w:rPr>
          <w:b/>
          <w:sz w:val="23"/>
          <w:u w:val="double"/>
        </w:rPr>
        <w:t>[Consider in defining Cost of the Work]</w:t>
      </w:r>
    </w:p>
    <w:p>
      <w:pPr>
        <w:pStyle w:val="bodytext1"/>
        <w:bidi w:val="0"/>
        <w:spacing w:lineRule="atLeast" w:line="240"/>
        <w:ind w:hanging="0" w:start="720"/>
        <w:jc w:val="both"/>
        <w:rPr>
          <w:rFonts w:ascii="Times New Roman" w:hAnsi="Times New Roman"/>
          <w:sz w:val="23"/>
        </w:rPr>
      </w:pPr>
      <w:r>
        <w:rPr>
          <w:color w:val="00007F"/>
          <w:sz w:val="23"/>
        </w:rPr>
        <w:tab/>
        <w:t xml:space="preserve">13.4.3    </w:t>
      </w:r>
      <w:r>
        <w:rPr>
          <w:color w:val="00007F"/>
          <w:sz w:val="23"/>
          <w:u w:val="single"/>
        </w:rPr>
        <w:t>Payment of Performance Liquidated Damages</w:t>
      </w:r>
      <w:r>
        <w:rPr>
          <w:color w:val="00007F"/>
          <w:sz w:val="23"/>
        </w:rPr>
        <w:t xml:space="preserve">.    </w:t>
      </w:r>
      <w:r>
        <w:rPr>
          <w:sz w:val="23"/>
        </w:rPr>
        <w:t xml:space="preserve">Contractor shall pay any Performance Liquidated Damages due to Owner upon Contractor’s submission of the Substantial Completion Certificate.    Each such payment shall be made by wire transfer of immediately available funds to a bank account designated by Owner.    Owner may offset any such amounts in whole or in part against amounts due to Contractor under this Agreement.    All Performance Liquidated Damages not paid on or before the date due shall accrue interest at the Default Rate from the date due until </w:t>
      </w:r>
      <w:r>
        <w:rPr>
          <w:b/>
          <w:sz w:val="23"/>
          <w:u w:val="double"/>
        </w:rPr>
        <w:t>and including</w:t>
      </w:r>
      <w:r>
        <w:rPr>
          <w:sz w:val="23"/>
        </w:rPr>
        <w:t xml:space="preserve"> the date paid.</w:t>
      </w:r>
    </w:p>
    <w:p>
      <w:pPr>
        <w:pStyle w:val="BodyText"/>
        <w:bidi w:val="0"/>
        <w:rPr>
          <w:rFonts w:ascii="Times New Roman" w:hAnsi="Times New Roman"/>
        </w:rPr>
      </w:pPr>
      <w:r>
        <w:rPr/>
      </w:r>
    </w:p>
    <w:p>
      <w:pPr>
        <w:pStyle w:val="BodyText"/>
        <w:bidi w:val="0"/>
        <w:rPr>
          <w:rFonts w:ascii="Times New Roman" w:hAnsi="Times New Roman"/>
        </w:rPr>
      </w:pPr>
      <w:r>
        <w:rPr/>
        <w:t>13.5</w:t>
        <w:tab/>
      </w:r>
      <w:r>
        <w:rPr>
          <w:u w:val="single"/>
        </w:rPr>
        <w:t>Performance Tests</w:t>
      </w:r>
      <w:r>
        <w:fldChar w:fldCharType="begin"/>
      </w:r>
      <w:r>
        <w:rPr>
          <w:u w:val="single"/>
          <w:vanish/>
        </w:rPr>
        <w:instrText xml:space="preserve"> TC "13.5</w:instrText>
        <w:tab/>
        <w:instrText xml:space="preserve">Performance Tests672" \l 1 </w:instrText>
      </w:r>
      <w:r>
        <w:rPr>
          <w:u w:val="single"/>
          <w:vanish/>
        </w:rPr>
        <w:fldChar w:fldCharType="separate"/>
      </w:r>
      <w:bookmarkStart w:id="394" w:name="_Toc493577528"/>
      <w:bookmarkStart w:id="395" w:name="_Toc497198985"/>
      <w:bookmarkStart w:id="396" w:name="_Toc496784940"/>
      <w:bookmarkStart w:id="397" w:name="_Toc496784663"/>
      <w:bookmarkEnd w:id="394"/>
      <w:bookmarkEnd w:id="395"/>
      <w:bookmarkEnd w:id="396"/>
      <w:bookmarkEnd w:id="397"/>
      <w:r>
        <w:rPr>
          <w:vanish/>
          <w:u w:val="single"/>
        </w:rPr>
      </w:r>
      <w:r>
        <w:rPr>
          <w:u w:val="single"/>
          <w:vanish/>
        </w:rPr>
        <w:fldChar w:fldCharType="end"/>
      </w:r>
      <w:r>
        <w:rPr>
          <w:strike/>
        </w:rPr>
        <w:t>&lt;&lt;*&gt;&gt;</w:t>
      </w:r>
      <w:r>
        <w:rPr/>
        <w:t xml:space="preserve">.    Contractor is responsible for conducting and supervising the Performance Tests as part of the Work </w:t>
      </w:r>
      <w:r>
        <w:rPr>
          <w:strike/>
        </w:rPr>
        <w:t>&lt;and such&gt;</w:t>
      </w:r>
      <w:r>
        <w:rPr>
          <w:b/>
          <w:u w:val="double"/>
        </w:rPr>
        <w:t>.    Such</w:t>
      </w:r>
      <w:r>
        <w:rPr/>
        <w:t xml:space="preserve"> tests may be witnessed by Owner and its designated representatives.    The notices required, the procedures to be followed and the method of evaluation of the results of such Performance Tests shall be as provided in </w:t>
      </w:r>
      <w:r>
        <w:rPr>
          <w:u w:val="single"/>
        </w:rPr>
        <w:t>Exhibit E-3</w:t>
      </w:r>
      <w:r>
        <w:rPr/>
        <w:t xml:space="preserve">.    The detailed test procedures shall be developed by Contractor and approved by Owner.    In the event the Performance Tests conducted </w:t>
      </w:r>
      <w:r>
        <w:rPr>
          <w:strike/>
        </w:rPr>
        <w:t>&lt;pursuant to&gt;</w:t>
      </w:r>
      <w:r>
        <w:rPr/>
        <w:t xml:space="preserve"> </w:t>
      </w:r>
      <w:r>
        <w:rPr>
          <w:b/>
          <w:u w:val="double"/>
        </w:rPr>
        <w:t>under</w:t>
      </w:r>
      <w:r>
        <w:rPr/>
        <w:t xml:space="preserve"> this Section 13.5 do not yield results meeting the required values for such tests, then Contractor (a) shall repair, redesign, correct or modify the Work to meet the required values, and (b) shall be entitled to conduct additional Performance Tests in accordance with </w:t>
      </w:r>
      <w:r>
        <w:rPr>
          <w:u w:val="single"/>
        </w:rPr>
        <w:t>Exhibit E-3</w:t>
      </w:r>
      <w:r>
        <w:rPr/>
        <w:t xml:space="preserve"> until the earlier of (i) the required values have been demonstrated and met or (ii) Owner has accepted payment of liquidated damages in lieu of demonstration of the required values through the Performance Tests.</w:t>
      </w:r>
    </w:p>
    <w:p>
      <w:pPr>
        <w:pStyle w:val="BodyText"/>
        <w:bidi w:val="0"/>
        <w:rPr>
          <w:rFonts w:ascii="Times New Roman" w:hAnsi="Times New Roman"/>
        </w:rPr>
      </w:pPr>
      <w:r>
        <w:rPr/>
      </w:r>
    </w:p>
    <w:p>
      <w:pPr>
        <w:pStyle w:val="Style1toc"/>
        <w:keepNext w:val="true"/>
        <w:bidi w:val="0"/>
        <w:rPr>
          <w:rFonts w:ascii="Times New Roman" w:hAnsi="Times New Roman"/>
        </w:rPr>
      </w:pPr>
      <w:r>
        <w:rPr/>
        <w:t>ARTICLE 14</w:t>
      </w:r>
      <w:r>
        <w:fldChar w:fldCharType="begin"/>
      </w:r>
      <w:r>
        <w:rPr>
          <w:vanish/>
        </w:rPr>
        <w:instrText xml:space="preserve"> TC "ARTICLE 14  LIMITATION OF LIABILITY671" \l 1 </w:instrText>
      </w:r>
      <w:r>
        <w:rPr>
          <w:vanish/>
        </w:rPr>
        <w:fldChar w:fldCharType="separate"/>
      </w:r>
      <w:bookmarkStart w:id="398" w:name="_Toc493577529"/>
      <w:bookmarkStart w:id="399" w:name="_Toc497198986"/>
      <w:bookmarkStart w:id="400" w:name="_Toc496784941"/>
      <w:bookmarkStart w:id="401" w:name="_Toc496784664"/>
      <w:bookmarkEnd w:id="398"/>
      <w:bookmarkEnd w:id="399"/>
      <w:bookmarkEnd w:id="400"/>
      <w:bookmarkEnd w:id="401"/>
      <w:r>
        <w:rPr>
          <w:vanish/>
        </w:rPr>
      </w:r>
      <w:r>
        <w:rPr>
          <w:vanish/>
        </w:rPr>
        <w:fldChar w:fldCharType="end"/>
      </w:r>
      <w:r>
        <w:rPr>
          <w:strike/>
        </w:rPr>
        <w:t>&lt;&lt;*&gt;&gt;</w:t>
      </w:r>
    </w:p>
    <w:p>
      <w:pPr>
        <w:pStyle w:val="Style1toc"/>
        <w:keepNext w:val="true"/>
        <w:bidi w:val="0"/>
        <w:rPr>
          <w:rFonts w:ascii="Times New Roman" w:hAnsi="Times New Roman"/>
        </w:rPr>
      </w:pPr>
      <w:r>
        <w:rPr/>
        <w:t>LIMITATION OF LIABILITY</w:t>
      </w:r>
    </w:p>
    <w:p>
      <w:pPr>
        <w:pStyle w:val="BodyText"/>
        <w:keepNext w:val="true"/>
        <w:bidi w:val="0"/>
        <w:rPr>
          <w:rFonts w:ascii="Times New Roman" w:hAnsi="Times New Roman"/>
        </w:rPr>
      </w:pPr>
      <w:r>
        <w:rPr/>
      </w:r>
    </w:p>
    <w:p>
      <w:pPr>
        <w:pStyle w:val="BodyText"/>
        <w:bidi w:val="0"/>
        <w:rPr>
          <w:rFonts w:ascii="Times New Roman" w:hAnsi="Times New Roman"/>
        </w:rPr>
      </w:pPr>
      <w:r>
        <w:rPr/>
        <w:t>14.1</w:t>
        <w:tab/>
      </w:r>
      <w:r>
        <w:rPr>
          <w:u w:val="single"/>
        </w:rPr>
        <w:t>Maximum Liability</w:t>
      </w:r>
      <w:r>
        <w:fldChar w:fldCharType="begin"/>
      </w:r>
      <w:r>
        <w:rPr>
          <w:u w:val="single"/>
          <w:vanish/>
        </w:rPr>
        <w:instrText xml:space="preserve"> TC "14.1</w:instrText>
        <w:tab/>
        <w:instrText xml:space="preserve">Maximum Liability672" \l 1 </w:instrText>
      </w:r>
      <w:r>
        <w:rPr>
          <w:u w:val="single"/>
          <w:vanish/>
        </w:rPr>
        <w:fldChar w:fldCharType="separate"/>
      </w:r>
      <w:bookmarkStart w:id="402" w:name="_Toc496784665"/>
      <w:bookmarkStart w:id="403" w:name="_Toc496784942"/>
      <w:bookmarkStart w:id="404" w:name="_Toc493577530"/>
      <w:bookmarkStart w:id="405" w:name="_Toc497198987"/>
      <w:bookmarkEnd w:id="402"/>
      <w:bookmarkEnd w:id="403"/>
      <w:bookmarkEnd w:id="404"/>
      <w:bookmarkEnd w:id="405"/>
      <w:r>
        <w:rPr>
          <w:vanish/>
          <w:u w:val="single"/>
        </w:rPr>
      </w:r>
      <w:r>
        <w:rPr>
          <w:u w:val="single"/>
          <w:vanish/>
        </w:rPr>
        <w:fldChar w:fldCharType="end"/>
      </w:r>
      <w:r>
        <w:rPr>
          <w:strike/>
        </w:rPr>
        <w:t>&lt;&lt;*&gt;&gt;</w:t>
      </w:r>
      <w:r>
        <w:rPr/>
        <w:t xml:space="preserve">.    Prior to Substantial Completion, Contractor’s maximum aggregate limit of liability for its performance or non-performance under this Agreement, which limit includes but is not limited to liquidated damages, tort (including negligence and strict liability) and breach of contract (including any breach resulting in termination) is </w:t>
      </w:r>
      <w:r>
        <w:rPr>
          <w:strike/>
        </w:rPr>
        <w:t>&lt;one hundred&gt;</w:t>
      </w:r>
      <w:r>
        <w:rPr>
          <w:b/>
          <w:u w:val="double"/>
        </w:rPr>
        <w:t>______</w:t>
      </w:r>
      <w:r>
        <w:rPr/>
        <w:t xml:space="preserve"> percent </w:t>
      </w:r>
      <w:r>
        <w:rPr>
          <w:strike/>
        </w:rPr>
        <w:t>&lt;(100%)&gt;</w:t>
      </w:r>
      <w:r>
        <w:rPr>
          <w:b/>
          <w:u w:val="double"/>
        </w:rPr>
        <w:t>(__%)</w:t>
      </w:r>
      <w:r>
        <w:rPr/>
        <w:t xml:space="preserve"> of the Contract Price </w:t>
      </w:r>
      <w:r>
        <w:rPr>
          <w:strike/>
        </w:rPr>
        <w:t>&lt;plus all amounts paid to Contractor by the supplier of the Power Island Equipment under the GE Contract as liquidated or other damages (the “GE Contract Damages”)&gt;</w:t>
      </w:r>
      <w:r>
        <w:rPr/>
        <w:t xml:space="preserve">.    After Substantial </w:t>
      </w:r>
      <w:r>
        <w:rPr>
          <w:strike/>
        </w:rPr>
        <w:t>&lt;Completion until Final&gt;</w:t>
      </w:r>
      <w:r>
        <w:rPr/>
        <w:t xml:space="preserve"> Completion, Contractor’s limit of liability shall be reduced to </w:t>
      </w:r>
      <w:r>
        <w:rPr>
          <w:strike/>
        </w:rPr>
        <w:t>&lt;___&gt;</w:t>
      </w:r>
      <w:r>
        <w:rPr>
          <w:b/>
          <w:u w:val="double"/>
        </w:rPr>
        <w:t>_______</w:t>
      </w:r>
      <w:r>
        <w:rPr/>
        <w:t xml:space="preserve"> percent </w:t>
      </w:r>
      <w:r>
        <w:rPr>
          <w:strike/>
        </w:rPr>
        <w:t>&lt;(__%)&gt;</w:t>
      </w:r>
      <w:r>
        <w:rPr>
          <w:b/>
          <w:u w:val="double"/>
        </w:rPr>
        <w:t>(___%)</w:t>
      </w:r>
      <w:r>
        <w:rPr/>
        <w:t xml:space="preserve"> of the Contract Price </w:t>
      </w:r>
      <w:r>
        <w:rPr>
          <w:strike/>
        </w:rPr>
        <w:t>&lt;plus the GE Contract Damages. After Final Completion, Contractor’s limit of liability shall be reduced to __ percent (__%) of the Contract Price plus the GE Contract Damages&gt;</w:t>
      </w:r>
      <w:r>
        <w:rPr/>
        <w:t xml:space="preserve">.    Contractor’s maximum liability for liquidated damages as well as Contractor’s maximum liability for specific categories of    liquidated damages are set forth in </w:t>
      </w:r>
      <w:r>
        <w:rPr>
          <w:u w:val="single"/>
        </w:rPr>
        <w:t>Exhibit C-4</w:t>
      </w:r>
      <w:r>
        <w:rPr/>
        <w:t>.</w:t>
      </w:r>
    </w:p>
    <w:p>
      <w:pPr>
        <w:pStyle w:val="BodyText"/>
        <w:bidi w:val="0"/>
        <w:rPr>
          <w:rFonts w:ascii="Times New Roman" w:hAnsi="Times New Roman"/>
        </w:rPr>
      </w:pPr>
      <w:r>
        <w:rPr/>
      </w:r>
    </w:p>
    <w:p>
      <w:pPr>
        <w:pStyle w:val="BodyText"/>
        <w:bidi w:val="0"/>
        <w:rPr>
          <w:rFonts w:ascii="Times New Roman" w:hAnsi="Times New Roman"/>
        </w:rPr>
      </w:pPr>
      <w:r>
        <w:rPr/>
        <w:tab/>
        <w:t xml:space="preserve">The maximum amount of liquidated damages payable for Contractor’s failure to meet the Guaranteed Completion Date (the “Delay Limit”), shall be limited to </w:t>
      </w:r>
      <w:r>
        <w:rPr>
          <w:strike/>
        </w:rPr>
        <w:t>&lt;twenty&gt;</w:t>
      </w:r>
      <w:r>
        <w:rPr>
          <w:b/>
          <w:u w:val="double"/>
        </w:rPr>
        <w:t>_________</w:t>
      </w:r>
      <w:r>
        <w:rPr/>
        <w:t xml:space="preserve"> percent </w:t>
      </w:r>
      <w:r>
        <w:rPr>
          <w:strike/>
        </w:rPr>
        <w:t>&lt;(20%)&gt;</w:t>
      </w:r>
      <w:r>
        <w:rPr>
          <w:b/>
          <w:u w:val="double"/>
        </w:rPr>
        <w:t>(___%)</w:t>
      </w:r>
      <w:r>
        <w:rPr/>
        <w:t xml:space="preserve"> of the Contract Price </w:t>
      </w:r>
      <w:r>
        <w:rPr>
          <w:strike/>
        </w:rPr>
        <w:t>&lt;plus the GE Contract Damages&gt;</w:t>
      </w:r>
      <w:r>
        <w:rPr/>
        <w:t xml:space="preserve">.    The maximum amount of liquidated damages payable for Contractor’s failure to meet the Heat Rate Guaranty (the “Heat Rate Limit”), shall be limited to </w:t>
      </w:r>
      <w:r>
        <w:rPr>
          <w:strike/>
        </w:rPr>
        <w:t>&lt;ten&gt;</w:t>
      </w:r>
      <w:r>
        <w:rPr>
          <w:b/>
          <w:u w:val="double"/>
        </w:rPr>
        <w:t>_____</w:t>
      </w:r>
      <w:r>
        <w:rPr/>
        <w:t xml:space="preserve"> percent </w:t>
      </w:r>
      <w:r>
        <w:rPr>
          <w:strike/>
        </w:rPr>
        <w:t>&lt;(10%)&gt;</w:t>
      </w:r>
      <w:r>
        <w:rPr>
          <w:b/>
          <w:u w:val="double"/>
        </w:rPr>
        <w:t>(____%)</w:t>
      </w:r>
      <w:r>
        <w:rPr/>
        <w:t xml:space="preserve"> of the Contract Price </w:t>
      </w:r>
      <w:r>
        <w:rPr>
          <w:strike/>
        </w:rPr>
        <w:t>&lt;plus the GE Contract Damages&gt;</w:t>
      </w:r>
      <w:r>
        <w:rPr/>
        <w:t xml:space="preserve">.    The maximum amount of liquidated damages payable for Contractor’s failure to meet the Net Electrical Output Guaranty (the “Net Electrical Output Limit”), shall be limited to </w:t>
      </w:r>
      <w:r>
        <w:rPr>
          <w:strike/>
        </w:rPr>
        <w:t>&lt;ten&gt;</w:t>
      </w:r>
      <w:r>
        <w:rPr>
          <w:b/>
          <w:u w:val="double"/>
        </w:rPr>
        <w:t>________</w:t>
      </w:r>
      <w:r>
        <w:rPr/>
        <w:t xml:space="preserve"> percent </w:t>
      </w:r>
      <w:r>
        <w:rPr>
          <w:strike/>
        </w:rPr>
        <w:t>&lt;(10%)&gt;</w:t>
      </w:r>
      <w:r>
        <w:rPr>
          <w:b/>
          <w:u w:val="double"/>
        </w:rPr>
        <w:t>(___%)</w:t>
      </w:r>
      <w:r>
        <w:rPr/>
        <w:t xml:space="preserve"> of the Contract Price </w:t>
      </w:r>
      <w:r>
        <w:rPr>
          <w:strike/>
        </w:rPr>
        <w:t>&lt;plus the GE Contract Damages&gt;</w:t>
      </w:r>
      <w:r>
        <w:rPr/>
        <w:t xml:space="preserve">.    The aggregate amount of liquidated damages payable for failure to meet the Heat Rate Guaranty, Net Electrical Output Guaranty and Guaranteed Completion Date (the “Liquidated Limit”), shall not exceed </w:t>
      </w:r>
      <w:r>
        <w:rPr>
          <w:strike/>
        </w:rPr>
        <w:t>&lt;thirty&gt;</w:t>
      </w:r>
      <w:r>
        <w:rPr>
          <w:b/>
          <w:u w:val="double"/>
        </w:rPr>
        <w:t>_________</w:t>
      </w:r>
      <w:r>
        <w:rPr/>
        <w:t xml:space="preserve"> percent </w:t>
      </w:r>
      <w:r>
        <w:rPr>
          <w:strike/>
        </w:rPr>
        <w:t>&lt;(30%)&gt;</w:t>
      </w:r>
      <w:r>
        <w:rPr>
          <w:b/>
          <w:u w:val="double"/>
        </w:rPr>
        <w:t>(___%)</w:t>
      </w:r>
      <w:r>
        <w:rPr/>
        <w:t xml:space="preserve"> of the Contract Price </w:t>
      </w:r>
      <w:r>
        <w:rPr>
          <w:strike/>
        </w:rPr>
        <w:t>&lt;plus the GE Contract Damages&gt;</w:t>
      </w:r>
      <w:r>
        <w:rPr/>
        <w:t>.</w:t>
      </w:r>
    </w:p>
    <w:p>
      <w:pPr>
        <w:pStyle w:val="BodyText"/>
        <w:bidi w:val="0"/>
        <w:rPr>
          <w:rFonts w:ascii="Times New Roman" w:hAnsi="Times New Roman"/>
        </w:rPr>
      </w:pPr>
      <w:r>
        <w:rPr/>
      </w:r>
    </w:p>
    <w:p>
      <w:pPr>
        <w:pStyle w:val="BodyText"/>
        <w:bidi w:val="0"/>
        <w:rPr>
          <w:rFonts w:ascii="Times New Roman" w:hAnsi="Times New Roman"/>
        </w:rPr>
      </w:pPr>
      <w:r>
        <w:rPr/>
        <w:tab/>
        <w:t xml:space="preserve">The foregoing limitations of liability shall not apply to Contractor’s liability for breach of its obligations under Section 3.17 (No Liens), Section 3.18 (Hazardous Materials), Article 8 (Title), Article 9 (obligation to maintain insurance) and Article 18 (Indemnities), nor to the gross negligence or willful misconduct of Contractor or its Subcontractors.    Contractor expressly acknowledges and agrees that any of its liability covered by the proceeds of the insurance maintained </w:t>
      </w:r>
      <w:r>
        <w:rPr>
          <w:strike/>
        </w:rPr>
        <w:t>&lt;pursuant to&gt;</w:t>
      </w:r>
      <w:r>
        <w:rPr/>
        <w:t xml:space="preserve"> </w:t>
      </w:r>
      <w:r>
        <w:rPr>
          <w:b/>
          <w:u w:val="double"/>
        </w:rPr>
        <w:t>under</w:t>
      </w:r>
      <w:r>
        <w:rPr/>
        <w:t xml:space="preserve"> Article 9 shall not reduce or be applied against any limit of liability.</w:t>
      </w:r>
    </w:p>
    <w:p>
      <w:pPr>
        <w:pStyle w:val="BodyText"/>
        <w:bidi w:val="0"/>
        <w:rPr>
          <w:rFonts w:ascii="Times New Roman" w:hAnsi="Times New Roman"/>
        </w:rPr>
      </w:pPr>
      <w:r>
        <w:rPr/>
      </w:r>
    </w:p>
    <w:p>
      <w:pPr>
        <w:pStyle w:val="BodyText"/>
        <w:bidi w:val="0"/>
        <w:rPr>
          <w:rFonts w:ascii="Times New Roman" w:hAnsi="Times New Roman"/>
        </w:rPr>
      </w:pPr>
      <w:r>
        <w:rPr/>
        <w:t>14.2</w:t>
        <w:tab/>
      </w:r>
      <w:r>
        <w:rPr>
          <w:u w:val="single"/>
        </w:rPr>
        <w:t>Consequential Damages</w:t>
      </w:r>
      <w:r>
        <w:fldChar w:fldCharType="begin"/>
      </w:r>
      <w:r>
        <w:rPr>
          <w:u w:val="single"/>
          <w:vanish/>
        </w:rPr>
        <w:instrText xml:space="preserve"> TC "14.2</w:instrText>
        <w:tab/>
        <w:instrText xml:space="preserve">Consequential Damages672" \l 1 </w:instrText>
      </w:r>
      <w:r>
        <w:rPr>
          <w:u w:val="single"/>
          <w:vanish/>
        </w:rPr>
        <w:fldChar w:fldCharType="separate"/>
      </w:r>
      <w:bookmarkStart w:id="406" w:name="_Toc493577531"/>
      <w:bookmarkStart w:id="407" w:name="_Toc497198988"/>
      <w:bookmarkStart w:id="408" w:name="_Toc496784943"/>
      <w:bookmarkStart w:id="409" w:name="_Toc496784666"/>
      <w:bookmarkEnd w:id="406"/>
      <w:bookmarkEnd w:id="407"/>
      <w:bookmarkEnd w:id="408"/>
      <w:bookmarkEnd w:id="409"/>
      <w:r>
        <w:rPr>
          <w:vanish/>
          <w:u w:val="single"/>
        </w:rPr>
      </w:r>
      <w:r>
        <w:rPr>
          <w:u w:val="single"/>
          <w:vanish/>
        </w:rPr>
        <w:fldChar w:fldCharType="end"/>
      </w:r>
      <w:r>
        <w:rPr>
          <w:strike/>
        </w:rPr>
        <w:t>&lt;&lt;*&gt;&gt;</w:t>
      </w:r>
      <w:r>
        <w:rPr/>
        <w:t>.    Contractor hereby waives with respect to Owner Indemnitees, and Owner waives with respect to Contractor (and Contractor’s Subcontractor’s) any right to, damages that constitute incidental, special, indirect, exemplary or consequential damages (“Special Damages”) arising from unavailability of the Facility, shutdowns or service interruptions, loss of use, non-operation of the Facility or any Equipment or Contractor’s Equipment, loss of power or cost of replacement power, loss of profits or revenue, loss of contracts, cost of capital, inventory or use charges, claims of Owner’s customers, cost of purchased or replacement power, loss of fuel or interest charges, except to the extent such damages are included in Delay Liquidated Damages or Performance Liquidated Damages. The foregoing waiver shall apply whether liability is asserted, either individually or jointly and irrespective of whether alleged to be as a result of breach of contract, breach of warranty, tort, (including negligence), strict liability, or any other legal theory, and whether arising before or after completion of the Facility.</w:t>
      </w:r>
    </w:p>
    <w:p>
      <w:pPr>
        <w:pStyle w:val="BodyText"/>
        <w:bidi w:val="0"/>
        <w:rPr>
          <w:rFonts w:ascii="Times New Roman" w:hAnsi="Times New Roman"/>
        </w:rPr>
      </w:pPr>
      <w:r>
        <w:rPr/>
      </w:r>
    </w:p>
    <w:p>
      <w:pPr>
        <w:pStyle w:val="BodyText"/>
        <w:bidi w:val="0"/>
        <w:rPr>
          <w:rFonts w:ascii="Times New Roman" w:hAnsi="Times New Roman"/>
        </w:rPr>
      </w:pPr>
      <w:r>
        <w:rPr/>
        <w:t>14.3</w:t>
        <w:tab/>
      </w:r>
      <w:r>
        <w:rPr>
          <w:u w:val="single"/>
        </w:rPr>
        <w:t>Releases Valid in All Events</w:t>
      </w:r>
      <w:r>
        <w:fldChar w:fldCharType="begin"/>
      </w:r>
      <w:r>
        <w:rPr>
          <w:u w:val="single"/>
          <w:vanish/>
        </w:rPr>
        <w:instrText xml:space="preserve"> TC "14.3</w:instrText>
        <w:tab/>
        <w:instrText xml:space="preserve">Releases Valid in All Events672" \l 1 </w:instrText>
      </w:r>
      <w:r>
        <w:rPr>
          <w:u w:val="single"/>
          <w:vanish/>
        </w:rPr>
        <w:fldChar w:fldCharType="separate"/>
      </w:r>
      <w:bookmarkStart w:id="410" w:name="_Toc493577532"/>
      <w:bookmarkStart w:id="411" w:name="_Toc497198989"/>
      <w:bookmarkStart w:id="412" w:name="_Toc496784944"/>
      <w:bookmarkStart w:id="413" w:name="_Toc496784667"/>
      <w:bookmarkEnd w:id="410"/>
      <w:bookmarkEnd w:id="411"/>
      <w:bookmarkEnd w:id="412"/>
      <w:bookmarkEnd w:id="413"/>
      <w:r>
        <w:rPr>
          <w:vanish/>
          <w:u w:val="single"/>
        </w:rPr>
      </w:r>
      <w:r>
        <w:rPr>
          <w:u w:val="single"/>
          <w:vanish/>
        </w:rPr>
        <w:fldChar w:fldCharType="end"/>
      </w:r>
      <w:r>
        <w:rPr>
          <w:strike/>
        </w:rPr>
        <w:t>&lt;&lt;*&gt;&gt;</w:t>
      </w:r>
      <w:r>
        <w:rPr/>
        <w:t>.</w:t>
      </w:r>
      <w:r>
        <w:rPr>
          <w:caps/>
        </w:rPr>
        <w:t xml:space="preserve"> </w:t>
      </w:r>
      <w:r>
        <w:rPr/>
        <w:t xml:space="preserve">Except as otherwise set forth herein, </w:t>
      </w:r>
      <w:r>
        <w:rPr>
          <w:caps/>
        </w:rPr>
        <w:t xml:space="preserve">Releases, disclaimers and limitations on liability expressed herein shall apply even in the event of the negligence, strict liability, default, or breach of contract </w:t>
      </w:r>
      <w:r>
        <w:rPr>
          <w:caps/>
          <w:strike/>
        </w:rPr>
        <w:t>&lt;(including other legal bases of responsibility such as fundamental breach)&gt;</w:t>
      </w:r>
      <w:r>
        <w:rPr>
          <w:caps/>
        </w:rPr>
        <w:t xml:space="preserve"> of the party whose liability is released, disclaimed, or limited.</w:t>
      </w:r>
    </w:p>
    <w:p>
      <w:pPr>
        <w:pStyle w:val="BodyText"/>
        <w:bidi w:val="0"/>
        <w:rPr>
          <w:rFonts w:ascii="Times New Roman" w:hAnsi="Times New Roman"/>
        </w:rPr>
      </w:pPr>
      <w:r>
        <w:rPr/>
      </w:r>
    </w:p>
    <w:p>
      <w:pPr>
        <w:pStyle w:val="BodyText"/>
        <w:bidi w:val="0"/>
        <w:rPr>
          <w:rFonts w:ascii="Times New Roman" w:hAnsi="Times New Roman"/>
        </w:rPr>
      </w:pPr>
      <w:r>
        <w:rPr/>
        <w:t>14.4</w:t>
        <w:tab/>
      </w:r>
      <w:r>
        <w:rPr>
          <w:u w:val="single"/>
        </w:rPr>
        <w:t>Liquidated Damages Not Penalty</w:t>
      </w:r>
      <w:r>
        <w:fldChar w:fldCharType="begin"/>
      </w:r>
      <w:r>
        <w:rPr>
          <w:u w:val="single"/>
          <w:vanish/>
        </w:rPr>
        <w:instrText xml:space="preserve"> TC "14.4</w:instrText>
        <w:tab/>
        <w:instrText xml:space="preserve">Liquidated Damages Not Penalty672" \l 1 </w:instrText>
      </w:r>
      <w:r>
        <w:rPr>
          <w:u w:val="single"/>
          <w:vanish/>
        </w:rPr>
        <w:fldChar w:fldCharType="separate"/>
      </w:r>
      <w:bookmarkStart w:id="414" w:name="_Toc493577533"/>
      <w:bookmarkStart w:id="415" w:name="_Toc496784668"/>
      <w:bookmarkStart w:id="416" w:name="_Toc496784945"/>
      <w:bookmarkStart w:id="417" w:name="_Toc497198990"/>
      <w:bookmarkEnd w:id="414"/>
      <w:bookmarkEnd w:id="415"/>
      <w:bookmarkEnd w:id="416"/>
      <w:bookmarkEnd w:id="417"/>
      <w:r>
        <w:rPr>
          <w:vanish/>
          <w:u w:val="single"/>
        </w:rPr>
      </w:r>
      <w:r>
        <w:rPr>
          <w:u w:val="single"/>
          <w:vanish/>
        </w:rPr>
        <w:fldChar w:fldCharType="end"/>
      </w:r>
      <w:r>
        <w:rPr>
          <w:strike/>
        </w:rPr>
        <w:t>&lt;&lt;*&gt;&gt;</w:t>
      </w:r>
      <w:r>
        <w:rPr/>
        <w:t>. Owner and Contractor acknowledge and agree that because of the unique nature of the Facility and the unavailability of a substitute facility, it is difficult or impossible to determine with precision the amount of damages that would or might be incurred by Owner as a result of Contractor’s failure to achieve the Performance Guarantees or the Guaranteed Completion Date.    It is understood and agreed by the parties that (a) Owner shall be damaged by failure of Contractor to meet such obligations; (b) it would be impracticable or extremely difficult to fix the actual damages resulting therefrom; (c) any liquidated damages payable under this Agreement are not a penalty, are fair and reasonable under the circumstances as of the Effective Date and will not become unreasonable by reason of any subsequent circumstances; and (d) the Performance Liquidated Damages and the Delay Liquidated Damages have been calculated by reference to the losses which it may reasonably be anticipated will be suffered by Owner in the event that the Facility fails to achieve the Performance Guarantees or Substantial Completion of the Facility is not achieved by the Guaranteed Completion Date.    Provided Contractor has otherwise performed its obligations under this Agreement, the payment of the Performance Liquidated Damages and Delay Liquidated Damages, respectively, shall be Owner’s sole and exclusive monetary remedies for Contractor’s failure to achieve the Performance Guarantees and the Guaranteed Completion Date.</w:t>
      </w:r>
    </w:p>
    <w:p>
      <w:pPr>
        <w:pStyle w:val="BodyText"/>
        <w:bidi w:val="0"/>
        <w:rPr>
          <w:rFonts w:ascii="Times New Roman" w:hAnsi="Times New Roman"/>
        </w:rPr>
      </w:pPr>
      <w:r>
        <w:rPr/>
      </w:r>
    </w:p>
    <w:p>
      <w:pPr>
        <w:pStyle w:val="Style1toc"/>
        <w:keepNext w:val="true"/>
        <w:bidi w:val="0"/>
        <w:rPr>
          <w:rFonts w:ascii="Times New Roman" w:hAnsi="Times New Roman"/>
        </w:rPr>
      </w:pPr>
      <w:r>
        <w:rPr/>
        <w:t>ARTICLE 15</w:t>
      </w:r>
      <w:r>
        <w:fldChar w:fldCharType="begin"/>
      </w:r>
      <w:r>
        <w:rPr>
          <w:vanish/>
        </w:rPr>
        <w:instrText xml:space="preserve"> TC "ARTICLE 15 REPRESENTATIONS OF CONTRACTOR AND OWNER671" \l 1 </w:instrText>
      </w:r>
      <w:r>
        <w:rPr>
          <w:vanish/>
        </w:rPr>
        <w:fldChar w:fldCharType="separate"/>
      </w:r>
      <w:bookmarkStart w:id="418" w:name="_Toc493577534"/>
      <w:bookmarkStart w:id="419" w:name="_Toc497198991"/>
      <w:bookmarkStart w:id="420" w:name="_Toc496784946"/>
      <w:bookmarkStart w:id="421" w:name="_Toc496784669"/>
      <w:bookmarkEnd w:id="418"/>
      <w:bookmarkEnd w:id="419"/>
      <w:bookmarkEnd w:id="420"/>
      <w:bookmarkEnd w:id="421"/>
      <w:r>
        <w:rPr>
          <w:vanish/>
        </w:rPr>
      </w:r>
      <w:r>
        <w:rPr>
          <w:vanish/>
        </w:rPr>
        <w:fldChar w:fldCharType="end"/>
      </w:r>
      <w:r>
        <w:rPr>
          <w:strike/>
        </w:rPr>
        <w:t>&lt;&lt;*&gt;&gt;</w:t>
      </w:r>
    </w:p>
    <w:p>
      <w:pPr>
        <w:pStyle w:val="Style1toc"/>
        <w:keepNext w:val="true"/>
        <w:bidi w:val="0"/>
        <w:rPr>
          <w:rFonts w:ascii="Times New Roman" w:hAnsi="Times New Roman"/>
        </w:rPr>
      </w:pPr>
      <w:r>
        <w:rPr/>
        <w:t>REPRESENTATIONS OF CONTRACTOR AND OWNER</w:t>
      </w:r>
    </w:p>
    <w:p>
      <w:pPr>
        <w:pStyle w:val="BodyText"/>
        <w:keepNext w:val="true"/>
        <w:bidi w:val="0"/>
        <w:rPr>
          <w:rFonts w:ascii="Times New Roman" w:hAnsi="Times New Roman"/>
        </w:rPr>
      </w:pPr>
      <w:r>
        <w:rPr/>
      </w:r>
    </w:p>
    <w:p>
      <w:pPr>
        <w:pStyle w:val="BodyText"/>
        <w:keepNext w:val="true"/>
        <w:bidi w:val="0"/>
        <w:rPr>
          <w:rFonts w:ascii="Times New Roman" w:hAnsi="Times New Roman"/>
        </w:rPr>
      </w:pPr>
      <w:r>
        <w:rPr/>
        <w:t>15.1</w:t>
        <w:tab/>
      </w:r>
      <w:r>
        <w:rPr>
          <w:u w:val="single"/>
        </w:rPr>
        <w:t>Contractor Representations</w:t>
      </w:r>
      <w:r>
        <w:fldChar w:fldCharType="begin"/>
      </w:r>
      <w:r>
        <w:rPr>
          <w:u w:val="single"/>
          <w:vanish/>
        </w:rPr>
        <w:instrText xml:space="preserve"> TC "15.1</w:instrText>
        <w:tab/>
        <w:instrText xml:space="preserve">Contractor Representations672" \l 1 </w:instrText>
      </w:r>
      <w:r>
        <w:rPr>
          <w:u w:val="single"/>
          <w:vanish/>
        </w:rPr>
        <w:fldChar w:fldCharType="separate"/>
      </w:r>
      <w:bookmarkStart w:id="422" w:name="_Toc493577535"/>
      <w:bookmarkStart w:id="423" w:name="_Toc496784670"/>
      <w:bookmarkStart w:id="424" w:name="_Toc496784947"/>
      <w:bookmarkStart w:id="425" w:name="_Toc497198992"/>
      <w:bookmarkEnd w:id="422"/>
      <w:bookmarkEnd w:id="423"/>
      <w:bookmarkEnd w:id="424"/>
      <w:bookmarkEnd w:id="425"/>
      <w:r>
        <w:rPr>
          <w:vanish/>
          <w:u w:val="single"/>
        </w:rPr>
      </w:r>
      <w:r>
        <w:rPr>
          <w:u w:val="single"/>
          <w:vanish/>
        </w:rPr>
        <w:fldChar w:fldCharType="end"/>
      </w:r>
      <w:r>
        <w:rPr>
          <w:strike/>
        </w:rPr>
        <w:t>&lt;&lt;*&gt;&gt;</w:t>
      </w:r>
      <w:r>
        <w:rPr/>
        <w:t>. Contractor represents and warrants that:</w:t>
      </w:r>
    </w:p>
    <w:p>
      <w:pPr>
        <w:pStyle w:val="BodyText"/>
        <w:bidi w:val="0"/>
        <w:rPr>
          <w:rFonts w:ascii="Times New Roman" w:hAnsi="Times New Roman"/>
        </w:rPr>
      </w:pPr>
      <w:r>
        <w:rPr/>
      </w:r>
    </w:p>
    <w:p>
      <w:pPr>
        <w:pStyle w:val="BodyText"/>
        <w:bidi w:val="0"/>
        <w:rPr>
          <w:rFonts w:ascii="Times New Roman" w:hAnsi="Times New Roman"/>
        </w:rPr>
      </w:pPr>
      <w:r>
        <w:rPr/>
        <w:tab/>
        <w:t>15.1.1</w:t>
        <w:tab/>
      </w:r>
      <w:r>
        <w:rPr>
          <w:u w:val="single"/>
        </w:rPr>
        <w:t>Corporate Standing</w:t>
      </w:r>
      <w:r>
        <w:rPr/>
        <w:t xml:space="preserve">.    It is a </w:t>
      </w:r>
      <w:r>
        <w:rPr>
          <w:b/>
          <w:u w:val="double"/>
        </w:rPr>
        <w:t>[</w:t>
      </w:r>
      <w:r>
        <w:rPr>
          <w:b/>
        </w:rPr>
        <w:t>corporation</w:t>
      </w:r>
      <w:r>
        <w:rPr>
          <w:b/>
          <w:u w:val="double"/>
        </w:rPr>
        <w:t>]</w:t>
      </w:r>
      <w:r>
        <w:rPr/>
        <w:t xml:space="preserve"> duly organized, validly existing, and in</w:t>
      </w:r>
      <w:r>
        <w:rPr>
          <w:b/>
        </w:rPr>
        <w:t xml:space="preserve"> </w:t>
      </w:r>
      <w:r>
        <w:rPr/>
        <w:t xml:space="preserve">good standing under the laws of </w:t>
      </w:r>
      <w:r>
        <w:rPr>
          <w:strike/>
        </w:rPr>
        <w:t>&lt;its jurisdiction of incorporation&gt;</w:t>
      </w:r>
      <w:r>
        <w:rPr/>
        <w:t xml:space="preserve"> </w:t>
      </w:r>
      <w:r>
        <w:rPr>
          <w:b/>
          <w:u w:val="double"/>
        </w:rPr>
        <w:t>the state of its formation</w:t>
      </w:r>
      <w:r>
        <w:rPr/>
        <w:t>,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
        <w:bidi w:val="0"/>
        <w:rPr>
          <w:rFonts w:ascii="Times New Roman" w:hAnsi="Times New Roman"/>
        </w:rPr>
      </w:pPr>
      <w:r>
        <w:rPr/>
      </w:r>
    </w:p>
    <w:p>
      <w:pPr>
        <w:pStyle w:val="BodyText"/>
        <w:bidi w:val="0"/>
        <w:rPr>
          <w:rFonts w:ascii="Times New Roman" w:hAnsi="Times New Roman"/>
        </w:rPr>
      </w:pPr>
      <w:r>
        <w:rPr/>
        <w:tab/>
        <w:t>15.1.2</w:t>
        <w:tab/>
      </w:r>
      <w:r>
        <w:rPr>
          <w:u w:val="single"/>
        </w:rPr>
        <w:t>No Violation of law; Litigation</w:t>
      </w:r>
      <w:r>
        <w:rPr/>
        <w:t xml:space="preserve">.    It is not in violation of any applicable Law, which violations, individually or in the aggregate, would affect </w:t>
      </w:r>
      <w:r>
        <w:rPr>
          <w:strike/>
        </w:rPr>
        <w:t>&lt;its&gt;</w:t>
      </w:r>
      <w:r>
        <w:rPr/>
        <w:t xml:space="preserve"> performance of any </w:t>
      </w:r>
      <w:r>
        <w:rPr>
          <w:strike/>
        </w:rPr>
        <w:t>&lt;obligation&gt;</w:t>
      </w:r>
      <w:r>
        <w:rPr/>
        <w:t xml:space="preserve"> </w:t>
      </w:r>
      <w:r>
        <w:rPr>
          <w:b/>
          <w:u w:val="double"/>
        </w:rPr>
        <w:t>of its obligations</w:t>
      </w:r>
      <w:r>
        <w:rPr/>
        <w:t xml:space="preserve"> under this Agreement.    There are no legal or arbitration proceedings or any proceeding by or before any court or Governmental Authority now pending or (to Contractor’s knowledge) threatened against it which, if adversely determined, could reasonably be expected to have a material adverse effect on its financial condition, operations, prospects, or business as whole, or ability to perform its obligations under this Agreement.</w:t>
      </w:r>
    </w:p>
    <w:p>
      <w:pPr>
        <w:pStyle w:val="BodyText"/>
        <w:bidi w:val="0"/>
        <w:rPr>
          <w:rFonts w:ascii="Times New Roman" w:hAnsi="Times New Roman"/>
        </w:rPr>
      </w:pPr>
      <w:r>
        <w:rPr/>
      </w:r>
    </w:p>
    <w:p>
      <w:pPr>
        <w:pStyle w:val="BodyText"/>
        <w:bidi w:val="0"/>
        <w:rPr>
          <w:rFonts w:ascii="Times New Roman" w:hAnsi="Times New Roman"/>
        </w:rPr>
      </w:pPr>
      <w:r>
        <w:rPr/>
        <w:tab/>
        <w:t>15.1.3</w:t>
        <w:tab/>
      </w:r>
      <w:r>
        <w:rPr>
          <w:u w:val="single"/>
        </w:rPr>
        <w:t>Governmental Authorizations</w:t>
      </w:r>
      <w:r>
        <w:rPr/>
        <w:t>.    It is (or will be prior to performing any Work on the Site) the holder of all Governmental Authorizations required to permit it to enter into and perform its obligations under this Agreement.</w:t>
      </w:r>
    </w:p>
    <w:p>
      <w:pPr>
        <w:pStyle w:val="BodyText"/>
        <w:bidi w:val="0"/>
        <w:rPr>
          <w:rFonts w:ascii="Times New Roman" w:hAnsi="Times New Roman"/>
        </w:rPr>
      </w:pPr>
      <w:r>
        <w:rPr/>
      </w:r>
    </w:p>
    <w:p>
      <w:pPr>
        <w:pStyle w:val="BodyText"/>
        <w:bidi w:val="0"/>
        <w:rPr>
          <w:rFonts w:ascii="Times New Roman" w:hAnsi="Times New Roman"/>
        </w:rPr>
      </w:pPr>
      <w:r>
        <w:rPr/>
        <w:tab/>
        <w:t>15.1.4</w:t>
        <w:tab/>
      </w:r>
      <w:r>
        <w:rPr>
          <w:u w:val="single"/>
        </w:rPr>
        <w:t>No Breach</w:t>
      </w:r>
      <w:r>
        <w:rPr/>
        <w:t>.    The execution, delivery or performance of this Agreement will not conflict with or result in a breach of, or require any consent under, its charter or bylaws, any applicable Law or any agreement or instrument to which it is a party or by which it is bound or to which it or any of its respective assets are subject, or constitute a default under any such agreement or instrument.</w:t>
      </w:r>
    </w:p>
    <w:p>
      <w:pPr>
        <w:pStyle w:val="BodyText"/>
        <w:bidi w:val="0"/>
        <w:rPr>
          <w:rFonts w:ascii="Times New Roman" w:hAnsi="Times New Roman"/>
        </w:rPr>
      </w:pPr>
      <w:r>
        <w:rPr/>
      </w:r>
    </w:p>
    <w:p>
      <w:pPr>
        <w:pStyle w:val="BodyText"/>
        <w:bidi w:val="0"/>
        <w:rPr>
          <w:rFonts w:ascii="Times New Roman" w:hAnsi="Times New Roman"/>
        </w:rPr>
      </w:pPr>
      <w:r>
        <w:rPr/>
        <w:tab/>
        <w:t>15.1.5</w:t>
        <w:tab/>
      </w:r>
      <w:r>
        <w:rPr>
          <w:strike/>
          <w:u w:val="single"/>
        </w:rPr>
        <w:t>&lt;Corporate Action&gt;</w:t>
      </w:r>
      <w:r>
        <w:rPr>
          <w:u w:val="single"/>
        </w:rPr>
        <w:t xml:space="preserve"> </w:t>
      </w:r>
      <w:r>
        <w:rPr>
          <w:b/>
          <w:u w:val="double"/>
        </w:rPr>
        <w:t>Enforceability</w:t>
      </w:r>
      <w:r>
        <w:rPr/>
        <w:t>.    It has all necessary power and authority to execute, deliver and perform this Agreement. 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BodyText"/>
        <w:bidi w:val="0"/>
        <w:rPr>
          <w:rFonts w:ascii="Times New Roman" w:hAnsi="Times New Roman"/>
        </w:rPr>
      </w:pPr>
      <w:r>
        <w:rPr/>
      </w:r>
    </w:p>
    <w:p>
      <w:pPr>
        <w:pStyle w:val="BodyText"/>
        <w:bidi w:val="0"/>
        <w:rPr>
          <w:rFonts w:ascii="Times New Roman" w:hAnsi="Times New Roman"/>
        </w:rPr>
      </w:pPr>
      <w:r>
        <w:rPr/>
        <w:tab/>
        <w:t>15.1.6</w:t>
        <w:tab/>
      </w:r>
      <w:r>
        <w:rPr>
          <w:u w:val="single"/>
        </w:rPr>
        <w:t>Investigation</w:t>
      </w:r>
      <w:r>
        <w:rPr/>
        <w:t xml:space="preserve">.    It has: (a) full experience and proper qualifications to perform the Work, (b) examined this Agreement and all exhibits and attachments hereto thoroughly and become familiar with their terms </w:t>
      </w:r>
      <w:r>
        <w:rPr>
          <w:strike/>
        </w:rPr>
        <w:t>&lt;and&gt;</w:t>
      </w:r>
      <w:r>
        <w:rPr>
          <w:b/>
          <w:u w:val="double"/>
        </w:rPr>
        <w:t>,</w:t>
      </w:r>
      <w:r>
        <w:rPr/>
        <w:t xml:space="preserve"> (c) ascertained the nature and location of the Work, the general character and accessibility of the Site, the nature of the </w:t>
      </w:r>
      <w:r>
        <w:rPr>
          <w:strike/>
        </w:rPr>
        <w:t>&lt;Site&gt;</w:t>
      </w:r>
      <w:r>
        <w:rPr/>
        <w:t xml:space="preserve"> </w:t>
      </w:r>
      <w:r>
        <w:rPr>
          <w:b/>
          <w:u w:val="double"/>
        </w:rPr>
        <w:t>Site’s</w:t>
      </w:r>
      <w:r>
        <w:rPr/>
        <w:t xml:space="preserve"> geotechnical and soil conditions, including underground obstructions, the presence of endangered plant or animal species, the existence of obstacles to construction, the location and character of existing or adjacent work or structures, and other general and local conditions and Laws (including labor Laws) which might affect its performance of the Work or the cost thereof and </w:t>
      </w:r>
      <w:r>
        <w:rPr>
          <w:strike/>
        </w:rPr>
        <w:t>&lt;has performed&gt;</w:t>
      </w:r>
      <w:r>
        <w:rPr>
          <w:b/>
          <w:u w:val="double"/>
        </w:rPr>
        <w:t>(d) performed</w:t>
      </w:r>
      <w:r>
        <w:rPr/>
        <w:t xml:space="preserve"> such testing or examined the results of such testing as </w:t>
      </w:r>
      <w:r>
        <w:rPr>
          <w:strike/>
        </w:rPr>
        <w:t>&lt;would&gt;</w:t>
      </w:r>
      <w:r>
        <w:rPr/>
        <w:t xml:space="preserve"> normally </w:t>
      </w:r>
      <w:r>
        <w:rPr>
          <w:b/>
          <w:u w:val="double"/>
        </w:rPr>
        <w:t>would</w:t>
      </w:r>
      <w:r>
        <w:rPr/>
        <w:t xml:space="preserve"> be conducted by a contractor considering entering into an agreement such as this Agreement and taking into account the available time for such examination.</w:t>
      </w:r>
    </w:p>
    <w:p>
      <w:pPr>
        <w:pStyle w:val="BodyText"/>
        <w:bidi w:val="0"/>
        <w:rPr>
          <w:rFonts w:ascii="Times New Roman" w:hAnsi="Times New Roman"/>
        </w:rPr>
      </w:pPr>
      <w:r>
        <w:rPr/>
      </w:r>
    </w:p>
    <w:p>
      <w:pPr>
        <w:pStyle w:val="Style2toc"/>
        <w:bidi w:val="0"/>
        <w:rPr>
          <w:rFonts w:ascii="Times New Roman" w:hAnsi="Times New Roman"/>
        </w:rPr>
      </w:pPr>
      <w:r>
        <w:rPr/>
        <w:t>15.2</w:t>
        <w:tab/>
      </w:r>
      <w:r>
        <w:rPr>
          <w:u w:val="single"/>
        </w:rPr>
        <w:t>Owner Representations</w:t>
      </w:r>
      <w:r>
        <w:fldChar w:fldCharType="begin"/>
      </w:r>
      <w:r>
        <w:rPr>
          <w:u w:val="single"/>
          <w:vanish/>
        </w:rPr>
        <w:instrText xml:space="preserve"> TC "15.2</w:instrText>
        <w:tab/>
        <w:instrText xml:space="preserve">Owner Representations672" \l 1 </w:instrText>
      </w:r>
      <w:r>
        <w:rPr>
          <w:u w:val="single"/>
          <w:vanish/>
        </w:rPr>
        <w:fldChar w:fldCharType="separate"/>
      </w:r>
      <w:bookmarkStart w:id="426" w:name="_Toc493577536"/>
      <w:bookmarkStart w:id="427" w:name="_Toc497198993"/>
      <w:bookmarkStart w:id="428" w:name="_Toc496784948"/>
      <w:bookmarkStart w:id="429" w:name="_Toc496784671"/>
      <w:bookmarkEnd w:id="426"/>
      <w:bookmarkEnd w:id="427"/>
      <w:bookmarkEnd w:id="428"/>
      <w:bookmarkEnd w:id="429"/>
      <w:r>
        <w:rPr>
          <w:vanish/>
          <w:u w:val="single"/>
        </w:rPr>
      </w:r>
      <w:r>
        <w:rPr>
          <w:u w:val="single"/>
          <w:vanish/>
        </w:rPr>
        <w:fldChar w:fldCharType="end"/>
      </w:r>
      <w:r>
        <w:rPr>
          <w:strike/>
        </w:rPr>
        <w:t>&lt;&lt;*&gt;&gt;</w:t>
      </w:r>
      <w:r>
        <w:rPr/>
        <w:t>. Owner represents and warrants that:</w:t>
      </w:r>
    </w:p>
    <w:p>
      <w:pPr>
        <w:pStyle w:val="BodyText"/>
        <w:bidi w:val="0"/>
        <w:rPr>
          <w:rFonts w:ascii="Times New Roman" w:hAnsi="Times New Roman"/>
        </w:rPr>
      </w:pPr>
      <w:r>
        <w:rPr/>
      </w:r>
    </w:p>
    <w:p>
      <w:pPr>
        <w:pStyle w:val="BodyText"/>
        <w:bidi w:val="0"/>
        <w:rPr>
          <w:rFonts w:ascii="Times New Roman" w:hAnsi="Times New Roman"/>
        </w:rPr>
      </w:pPr>
      <w:r>
        <w:rPr/>
        <w:tab/>
        <w:t>15.2.1</w:t>
        <w:tab/>
      </w:r>
      <w:r>
        <w:rPr>
          <w:u w:val="single"/>
        </w:rPr>
        <w:t>Business Organization</w:t>
      </w:r>
      <w:r>
        <w:rPr/>
        <w:t xml:space="preserve">.    It is a </w:t>
      </w:r>
      <w:r>
        <w:rPr>
          <w:strike/>
        </w:rPr>
        <w:t>&lt;corporation&gt;</w:t>
      </w:r>
      <w:r>
        <w:rPr/>
        <w:t xml:space="preserve"> </w:t>
      </w:r>
      <w:r>
        <w:rPr>
          <w:b/>
          <w:u w:val="double"/>
        </w:rPr>
        <w:t>limited liability company</w:t>
      </w:r>
      <w:r>
        <w:rPr/>
        <w:t xml:space="preserve"> duly organized, validly existing and in good standing under the laws of </w:t>
      </w:r>
      <w:r>
        <w:rPr>
          <w:strike/>
        </w:rPr>
        <w:t>&lt;Delaware&gt;</w:t>
      </w:r>
      <w:r>
        <w:rPr/>
        <w:t xml:space="preserve"> </w:t>
      </w:r>
      <w:r>
        <w:rPr>
          <w:b/>
          <w:u w:val="double"/>
        </w:rPr>
        <w:t>the state of its formation</w:t>
      </w:r>
      <w:r>
        <w:rPr/>
        <w:t>,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
        <w:bidi w:val="0"/>
        <w:rPr>
          <w:rFonts w:ascii="Times New Roman" w:hAnsi="Times New Roman"/>
        </w:rPr>
      </w:pPr>
      <w:r>
        <w:rPr/>
      </w:r>
    </w:p>
    <w:p>
      <w:pPr>
        <w:pStyle w:val="BodyText"/>
        <w:bidi w:val="0"/>
        <w:rPr>
          <w:rFonts w:ascii="Times New Roman" w:hAnsi="Times New Roman"/>
        </w:rPr>
      </w:pPr>
      <w:r>
        <w:rPr/>
        <w:tab/>
        <w:t>15.2.2</w:t>
        <w:tab/>
      </w:r>
      <w:r>
        <w:rPr>
          <w:u w:val="single"/>
        </w:rPr>
        <w:t>No Violation of Law; Litigation</w:t>
      </w:r>
      <w:r>
        <w:rPr/>
        <w:t xml:space="preserve">.    It is not in violation of any applicable Law, which violations, individually or in the aggregate, would affect </w:t>
      </w:r>
      <w:r>
        <w:rPr>
          <w:strike/>
        </w:rPr>
        <w:t>&lt;its&gt;</w:t>
      </w:r>
      <w:r>
        <w:rPr/>
        <w:t xml:space="preserve"> performance of any </w:t>
      </w:r>
      <w:r>
        <w:rPr>
          <w:strike/>
        </w:rPr>
        <w:t>&lt;obligation&gt;</w:t>
      </w:r>
      <w:r>
        <w:rPr/>
        <w:t xml:space="preserve"> </w:t>
      </w:r>
      <w:r>
        <w:rPr>
          <w:b/>
          <w:u w:val="double"/>
        </w:rPr>
        <w:t>of its obligations</w:t>
      </w:r>
      <w:r>
        <w:rPr/>
        <w:t xml:space="preserve"> under this Agreement.    There are no legal or arbitration proceedings or any proceeding by or before any court or Governmental Authority now pending or (to Owner’s knowledge) threatened against it which, if adversely determined, could reasonably be expected to have a material adverse effect on its financial condition, operations, prospects, or business, as a whole, or its ability to perform its obligations under this Agreement.</w:t>
      </w:r>
    </w:p>
    <w:p>
      <w:pPr>
        <w:pStyle w:val="BodyText"/>
        <w:bidi w:val="0"/>
        <w:rPr>
          <w:rFonts w:ascii="Times New Roman" w:hAnsi="Times New Roman"/>
        </w:rPr>
      </w:pPr>
      <w:r>
        <w:rPr/>
      </w:r>
    </w:p>
    <w:p>
      <w:pPr>
        <w:pStyle w:val="BodyText"/>
        <w:bidi w:val="0"/>
        <w:rPr>
          <w:rFonts w:ascii="Times New Roman" w:hAnsi="Times New Roman"/>
        </w:rPr>
      </w:pPr>
      <w:r>
        <w:rPr/>
        <w:tab/>
        <w:t>15.2.3</w:t>
        <w:tab/>
      </w:r>
      <w:r>
        <w:rPr>
          <w:u w:val="single"/>
        </w:rPr>
        <w:t>Governmental Authorizations</w:t>
      </w:r>
      <w:r>
        <w:rPr/>
        <w:t>.    It is (or will be prior to issuing any Notice to Proceed) the holder of all Governmental Authorizations required to permit it to enter into and perform its obligations under this Agreement.</w:t>
      </w:r>
    </w:p>
    <w:p>
      <w:pPr>
        <w:pStyle w:val="BodyText"/>
        <w:bidi w:val="0"/>
        <w:rPr>
          <w:rFonts w:ascii="Times New Roman" w:hAnsi="Times New Roman"/>
        </w:rPr>
      </w:pPr>
      <w:r>
        <w:rPr/>
      </w:r>
    </w:p>
    <w:p>
      <w:pPr>
        <w:pStyle w:val="BodyText"/>
        <w:bidi w:val="0"/>
        <w:rPr>
          <w:rFonts w:ascii="Times New Roman" w:hAnsi="Times New Roman"/>
        </w:rPr>
      </w:pPr>
      <w:r>
        <w:rPr/>
        <w:tab/>
        <w:t>15.2.4</w:t>
        <w:tab/>
      </w:r>
      <w:r>
        <w:rPr>
          <w:u w:val="single"/>
        </w:rPr>
        <w:t>No Breach</w:t>
      </w:r>
      <w:r>
        <w:rPr/>
        <w:t>.    The execution, delivery or performance of this Agreement will not conflict with or result in a breach of, or require any consent under, its charter or bylaws, any applicable Law or any agreement or instrument to which it is a party or by which it is bound or to which it or its assets are subject, or constitute a default under any such agreement or instrument.</w:t>
      </w:r>
    </w:p>
    <w:p>
      <w:pPr>
        <w:pStyle w:val="BodyText"/>
        <w:bidi w:val="0"/>
        <w:rPr>
          <w:rFonts w:ascii="Times New Roman" w:hAnsi="Times New Roman"/>
        </w:rPr>
      </w:pPr>
      <w:r>
        <w:rPr/>
      </w:r>
    </w:p>
    <w:p>
      <w:pPr>
        <w:pStyle w:val="BodyText"/>
        <w:bidi w:val="0"/>
        <w:rPr>
          <w:rFonts w:ascii="Times New Roman" w:hAnsi="Times New Roman"/>
        </w:rPr>
      </w:pPr>
      <w:r>
        <w:rPr/>
        <w:tab/>
        <w:t>15.2.5</w:t>
        <w:tab/>
      </w:r>
      <w:r>
        <w:rPr>
          <w:strike/>
          <w:u w:val="single"/>
        </w:rPr>
        <w:t>&lt;Corporate Action&gt;</w:t>
      </w:r>
      <w:r>
        <w:rPr>
          <w:u w:val="single"/>
        </w:rPr>
        <w:t xml:space="preserve"> </w:t>
      </w:r>
      <w:r>
        <w:rPr>
          <w:b/>
          <w:u w:val="double"/>
        </w:rPr>
        <w:t>Enforceability</w:t>
      </w:r>
      <w:r>
        <w:rPr/>
        <w:t>.    It has all necessary power and authority to execute, deliver and perform this Agreement. 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BodyText"/>
        <w:bidi w:val="0"/>
        <w:rPr>
          <w:rFonts w:ascii="Times New Roman" w:hAnsi="Times New Roman"/>
        </w:rPr>
      </w:pPr>
      <w:r>
        <w:rPr/>
      </w:r>
    </w:p>
    <w:p>
      <w:pPr>
        <w:pStyle w:val="Style1toc"/>
        <w:keepNext w:val="true"/>
        <w:bidi w:val="0"/>
        <w:rPr>
          <w:rFonts w:ascii="Times New Roman" w:hAnsi="Times New Roman"/>
        </w:rPr>
      </w:pPr>
      <w:r>
        <w:rPr/>
        <w:t>ARTICLE 16</w:t>
      </w:r>
      <w:r>
        <w:fldChar w:fldCharType="begin"/>
      </w:r>
      <w:r>
        <w:rPr>
          <w:vanish/>
        </w:rPr>
        <w:instrText xml:space="preserve"> TC "ARTICLE 16 DEFAULT, TERMINATION AND SUSPENSION 671" \l 1 </w:instrText>
      </w:r>
      <w:r>
        <w:rPr>
          <w:vanish/>
        </w:rPr>
        <w:fldChar w:fldCharType="separate"/>
      </w:r>
      <w:bookmarkStart w:id="430" w:name="_Toc493577537"/>
      <w:bookmarkStart w:id="431" w:name="_Toc497198994"/>
      <w:bookmarkStart w:id="432" w:name="_Toc496784949"/>
      <w:bookmarkStart w:id="433" w:name="_Toc496784672"/>
      <w:bookmarkEnd w:id="430"/>
      <w:bookmarkEnd w:id="431"/>
      <w:bookmarkEnd w:id="432"/>
      <w:bookmarkEnd w:id="433"/>
      <w:r>
        <w:rPr>
          <w:vanish/>
        </w:rPr>
      </w:r>
      <w:r>
        <w:rPr>
          <w:vanish/>
        </w:rPr>
        <w:fldChar w:fldCharType="end"/>
      </w:r>
      <w:r>
        <w:rPr>
          <w:strike/>
        </w:rPr>
        <w:t>&lt;&lt;*&gt;&gt;</w:t>
      </w:r>
    </w:p>
    <w:p>
      <w:pPr>
        <w:pStyle w:val="Style1toc"/>
        <w:keepNext w:val="true"/>
        <w:bidi w:val="0"/>
        <w:rPr>
          <w:rFonts w:ascii="Times New Roman" w:hAnsi="Times New Roman"/>
        </w:rPr>
      </w:pPr>
      <w:r>
        <w:rPr/>
        <w:t>DEFAULT, TERMINATION AND SUSPENSION</w:t>
      </w:r>
    </w:p>
    <w:p>
      <w:pPr>
        <w:pStyle w:val="BodyText"/>
        <w:keepNext w:val="true"/>
        <w:bidi w:val="0"/>
        <w:rPr>
          <w:rFonts w:ascii="Times New Roman" w:hAnsi="Times New Roman"/>
        </w:rPr>
      </w:pPr>
      <w:r>
        <w:rPr/>
      </w:r>
    </w:p>
    <w:p>
      <w:pPr>
        <w:pStyle w:val="Style2toc"/>
        <w:bidi w:val="0"/>
        <w:rPr>
          <w:rFonts w:ascii="Times New Roman" w:hAnsi="Times New Roman"/>
        </w:rPr>
      </w:pPr>
      <w:r>
        <w:rPr/>
        <w:t>16.1</w:t>
        <w:tab/>
      </w:r>
      <w:r>
        <w:rPr>
          <w:u w:val="single"/>
        </w:rPr>
        <w:t>Default by Contractor</w:t>
      </w:r>
      <w:r>
        <w:fldChar w:fldCharType="begin"/>
      </w:r>
      <w:r>
        <w:rPr>
          <w:u w:val="single"/>
          <w:vanish/>
        </w:rPr>
        <w:instrText xml:space="preserve"> TC "16.1</w:instrText>
        <w:tab/>
        <w:instrText xml:space="preserve">Default by Contractor672" \l 1 </w:instrText>
      </w:r>
      <w:r>
        <w:rPr>
          <w:u w:val="single"/>
          <w:vanish/>
        </w:rPr>
        <w:fldChar w:fldCharType="separate"/>
      </w:r>
      <w:bookmarkStart w:id="434" w:name="_Toc493577538"/>
      <w:bookmarkStart w:id="435" w:name="_Toc497198995"/>
      <w:bookmarkStart w:id="436" w:name="_Toc496784950"/>
      <w:bookmarkStart w:id="437" w:name="_Toc496784673"/>
      <w:bookmarkEnd w:id="434"/>
      <w:bookmarkEnd w:id="435"/>
      <w:bookmarkEnd w:id="436"/>
      <w:bookmarkEnd w:id="437"/>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16.1.1</w:t>
        <w:tab/>
      </w:r>
      <w:r>
        <w:rPr>
          <w:u w:val="single"/>
        </w:rPr>
        <w:t>Termination for Inability to Perform</w:t>
      </w:r>
      <w:r>
        <w:rPr/>
        <w:t>.    If any proceeding is instituted against Contractor seeking to adjudicate Contractor as a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adjustment of debts, or if Contractor admits in writing its inability to pay its debts when due, then Owner may terminate this Agreement effective immediately upon giving written notice of such termination to Contractor.</w:t>
      </w:r>
    </w:p>
    <w:p>
      <w:pPr>
        <w:pStyle w:val="BodyText"/>
        <w:bidi w:val="0"/>
        <w:rPr>
          <w:rFonts w:ascii="Times New Roman" w:hAnsi="Times New Roman"/>
        </w:rPr>
      </w:pPr>
      <w:r>
        <w:rPr/>
      </w:r>
    </w:p>
    <w:p>
      <w:pPr>
        <w:pStyle w:val="BodyText"/>
        <w:bidi w:val="0"/>
        <w:rPr>
          <w:rFonts w:ascii="Times New Roman" w:hAnsi="Times New Roman"/>
        </w:rPr>
      </w:pPr>
      <w:r>
        <w:rPr/>
        <w:tab/>
        <w:t>16.1.2</w:t>
        <w:tab/>
      </w:r>
      <w:r>
        <w:rPr>
          <w:u w:val="single"/>
        </w:rPr>
        <w:t>Termination for Contractor’s Failure to Perform</w:t>
      </w:r>
      <w:r>
        <w:rPr/>
        <w:t>.    If:</w:t>
      </w:r>
    </w:p>
    <w:p>
      <w:pPr>
        <w:pStyle w:val="BodyText"/>
        <w:bidi w:val="0"/>
        <w:rPr>
          <w:rFonts w:ascii="Times New Roman" w:hAnsi="Times New Roman"/>
        </w:rPr>
      </w:pPr>
      <w:r>
        <w:rPr/>
      </w:r>
    </w:p>
    <w:p>
      <w:pPr>
        <w:pStyle w:val="BodyTextIndent2"/>
        <w:bidi w:val="0"/>
        <w:rPr>
          <w:rFonts w:ascii="Times New Roman" w:hAnsi="Times New Roman"/>
        </w:rPr>
      </w:pPr>
      <w:r>
        <w:rPr/>
        <w:t>16.1.2.1    Any material representation or warranty of Contractor shall have been incorrect as of the date made;</w:t>
      </w:r>
    </w:p>
    <w:p>
      <w:pPr>
        <w:pStyle w:val="BodyText"/>
        <w:bidi w:val="0"/>
        <w:rPr>
          <w:rFonts w:ascii="Times New Roman" w:hAnsi="Times New Roman"/>
        </w:rPr>
      </w:pPr>
      <w:r>
        <w:rPr/>
      </w:r>
    </w:p>
    <w:p>
      <w:pPr>
        <w:pStyle w:val="BodyTextIndent2"/>
        <w:bidi w:val="0"/>
        <w:rPr>
          <w:rFonts w:ascii="Times New Roman" w:hAnsi="Times New Roman"/>
        </w:rPr>
      </w:pPr>
      <w:r>
        <w:rPr/>
        <w:t>16.1.2.2    Contractor fails to make prompt payment of undisputed invoices due to any Subcontractor or otherwise repudiates or is in default with respect to any of its material obligations to any Subcontractor;</w:t>
      </w:r>
    </w:p>
    <w:p>
      <w:pPr>
        <w:pStyle w:val="BodyText"/>
        <w:bidi w:val="0"/>
        <w:rPr>
          <w:rFonts w:ascii="Times New Roman" w:hAnsi="Times New Roman"/>
        </w:rPr>
      </w:pPr>
      <w:r>
        <w:rPr/>
      </w:r>
    </w:p>
    <w:p>
      <w:pPr>
        <w:pStyle w:val="BodyTextIndent2"/>
        <w:bidi w:val="0"/>
        <w:rPr>
          <w:rFonts w:ascii="Times New Roman" w:hAnsi="Times New Roman"/>
        </w:rPr>
      </w:pPr>
      <w:r>
        <w:rPr/>
        <w:t xml:space="preserve">16.1.2.3    Contractor fails to correct any defective </w:t>
      </w:r>
      <w:r>
        <w:rPr>
          <w:strike/>
        </w:rPr>
        <w:t>&lt;material&gt;</w:t>
      </w:r>
      <w:r>
        <w:rPr/>
        <w:t xml:space="preserve"> Work in accordance with the provisions </w:t>
      </w:r>
      <w:r>
        <w:rPr>
          <w:b/>
          <w:u w:val="double"/>
        </w:rPr>
        <w:t>of</w:t>
      </w:r>
      <w:r>
        <w:rPr/>
        <w:t xml:space="preserve"> this Agreement;</w:t>
      </w:r>
    </w:p>
    <w:p>
      <w:pPr>
        <w:pStyle w:val="BodyText"/>
        <w:bidi w:val="0"/>
        <w:rPr>
          <w:rFonts w:ascii="Times New Roman" w:hAnsi="Times New Roman"/>
        </w:rPr>
      </w:pPr>
      <w:r>
        <w:rPr/>
      </w:r>
    </w:p>
    <w:p>
      <w:pPr>
        <w:pStyle w:val="BodyTextIndent2"/>
        <w:bidi w:val="0"/>
        <w:rPr>
          <w:rFonts w:ascii="Times New Roman" w:hAnsi="Times New Roman"/>
        </w:rPr>
      </w:pPr>
      <w:r>
        <w:rPr/>
        <w:t>16.1.2.4    Contractor makes a purported assignment of this Agreement in violation of the terms of Section 22.3;</w:t>
      </w:r>
    </w:p>
    <w:p>
      <w:pPr>
        <w:pStyle w:val="BodyText"/>
        <w:bidi w:val="0"/>
        <w:rPr>
          <w:rFonts w:ascii="Times New Roman" w:hAnsi="Times New Roman"/>
        </w:rPr>
      </w:pPr>
      <w:r>
        <w:rPr/>
      </w:r>
    </w:p>
    <w:p>
      <w:pPr>
        <w:pStyle w:val="BodyTextIndent2"/>
        <w:bidi w:val="0"/>
        <w:rPr>
          <w:rFonts w:ascii="Times New Roman" w:hAnsi="Times New Roman"/>
        </w:rPr>
      </w:pPr>
      <w:r>
        <w:rPr/>
        <w:t>16.1.2.5    Any Security is repudiated or shall for any reason cease to be valid, binding, and enforceable or there is a default under any Security;</w:t>
      </w:r>
    </w:p>
    <w:p>
      <w:pPr>
        <w:pStyle w:val="BodyText"/>
        <w:bidi w:val="0"/>
        <w:rPr>
          <w:rFonts w:ascii="Times New Roman" w:hAnsi="Times New Roman"/>
        </w:rPr>
      </w:pPr>
      <w:r>
        <w:rPr/>
      </w:r>
    </w:p>
    <w:p>
      <w:pPr>
        <w:pStyle w:val="BodyTextIndent2"/>
        <w:bidi w:val="0"/>
        <w:rPr>
          <w:rFonts w:ascii="Times New Roman" w:hAnsi="Times New Roman"/>
        </w:rPr>
      </w:pPr>
      <w:r>
        <w:rPr/>
        <w:t>16.1.2.6    Contractor disregards any Laws or Governmental Authorizations and such action could impair Contractor’s ability to perform its obligations under this Agreement or Contractor persistently disregards any Laws or Governmental Authorizations;</w:t>
      </w:r>
    </w:p>
    <w:p>
      <w:pPr>
        <w:pStyle w:val="BodyText"/>
        <w:bidi w:val="0"/>
        <w:rPr>
          <w:rFonts w:ascii="Times New Roman" w:hAnsi="Times New Roman"/>
        </w:rPr>
      </w:pPr>
      <w:r>
        <w:rPr/>
      </w:r>
    </w:p>
    <w:p>
      <w:pPr>
        <w:pStyle w:val="BodyTextIndent2"/>
        <w:bidi w:val="0"/>
        <w:rPr>
          <w:rFonts w:ascii="Times New Roman" w:hAnsi="Times New Roman"/>
          <w:strike/>
        </w:rPr>
      </w:pPr>
      <w:r>
        <w:rPr/>
        <w:t xml:space="preserve">16.1.2.7    Contractor fails to pay Delay Liquidated Damages, Performance Liquidated Damages or any other amounts payable by Contractor under this Agreement when due; </w:t>
      </w:r>
      <w:r>
        <w:rPr>
          <w:strike/>
        </w:rPr>
        <w:t>&lt; or</w:t>
      </w:r>
    </w:p>
    <w:p>
      <w:pPr>
        <w:pStyle w:val="BodyTextIndent2"/>
        <w:bidi w:val="0"/>
        <w:rPr>
          <w:rFonts w:ascii="Times New Roman" w:hAnsi="Times New Roman"/>
        </w:rPr>
      </w:pPr>
      <w:r>
        <w:rPr>
          <w:strike/>
        </w:rPr>
        <w:t>&gt;</w:t>
      </w:r>
    </w:p>
    <w:p>
      <w:pPr>
        <w:pStyle w:val="BodyText"/>
        <w:bidi w:val="0"/>
        <w:rPr>
          <w:rFonts w:ascii="Times New Roman" w:hAnsi="Times New Roman"/>
        </w:rPr>
      </w:pPr>
      <w:r>
        <w:rPr/>
      </w:r>
    </w:p>
    <w:p>
      <w:pPr>
        <w:pStyle w:val="BodyTextIndent2"/>
        <w:bidi w:val="0"/>
        <w:rPr>
          <w:rFonts w:ascii="Times New Roman" w:hAnsi="Times New Roman"/>
        </w:rPr>
      </w:pPr>
      <w:r>
        <w:rPr/>
        <w:t xml:space="preserve">16.1.2.8    Contractor refuses or fails, except in cases for which an extension of time is provided, to supply sufficient properly skilled workmen or proper materials to complete the Work at a rate that gives reasonable assurance to Owner that Contractor can attain Substantial Completion within </w:t>
      </w:r>
      <w:r>
        <w:rPr>
          <w:b/>
          <w:strike/>
        </w:rPr>
        <w:t>&lt;one hundred eighty (180) days &gt;</w:t>
      </w:r>
      <w:r>
        <w:rPr>
          <w:b/>
          <w:u w:val="double"/>
        </w:rPr>
        <w:t>[____________ (__) days]</w:t>
      </w:r>
      <w:r>
        <w:rPr/>
        <w:t xml:space="preserve"> after the Guaranteed Completion Date;</w:t>
      </w:r>
    </w:p>
    <w:p>
      <w:pPr>
        <w:pStyle w:val="BodyText"/>
        <w:bidi w:val="0"/>
        <w:rPr>
          <w:rFonts w:ascii="Times New Roman" w:hAnsi="Times New Roman"/>
        </w:rPr>
      </w:pPr>
      <w:r>
        <w:rPr/>
      </w:r>
    </w:p>
    <w:p>
      <w:pPr>
        <w:pStyle w:val="BodyTextIndent2"/>
        <w:bidi w:val="0"/>
        <w:rPr>
          <w:rFonts w:ascii="Times New Roman" w:hAnsi="Times New Roman"/>
        </w:rPr>
      </w:pPr>
      <w:r>
        <w:rPr/>
        <w:t xml:space="preserve">16.1.2.9    Contractor fails to begin the appropriate Work within fifteen (15) days of receipt of the Preliminary Notice to Proceed or the Notice to Proceed;    </w:t>
      </w:r>
    </w:p>
    <w:p>
      <w:pPr>
        <w:pStyle w:val="BodyTextIndent3"/>
        <w:bidi w:val="0"/>
        <w:rPr>
          <w:rFonts w:ascii="Times New Roman" w:hAnsi="Times New Roman"/>
        </w:rPr>
      </w:pPr>
      <w:r>
        <w:rPr/>
      </w:r>
    </w:p>
    <w:p>
      <w:pPr>
        <w:pStyle w:val="BodyTextIndent2"/>
        <w:bidi w:val="0"/>
        <w:rPr>
          <w:rFonts w:ascii="Times New Roman" w:hAnsi="Times New Roman"/>
        </w:rPr>
      </w:pPr>
      <w:r>
        <w:rPr/>
        <w:t>16.1.2.10    Contractor abandons the construction of the Facility; or</w:t>
      </w:r>
    </w:p>
    <w:p>
      <w:pPr>
        <w:pStyle w:val="BodyTextIndent2"/>
        <w:bidi w:val="0"/>
        <w:rPr>
          <w:rFonts w:ascii="Times New Roman" w:hAnsi="Times New Roman"/>
        </w:rPr>
      </w:pPr>
      <w:r>
        <w:rPr/>
      </w:r>
    </w:p>
    <w:p>
      <w:pPr>
        <w:pStyle w:val="BodyTextIndent2"/>
        <w:bidi w:val="0"/>
        <w:rPr>
          <w:rFonts w:ascii="Times New Roman" w:hAnsi="Times New Roman"/>
          <w:b/>
        </w:rPr>
      </w:pPr>
      <w:r>
        <w:rPr/>
        <w:t>16.1.2.11    Contractor fails to perform any of its material covenants or agreements contained in this Agreement not otherwise specified above.</w:t>
      </w:r>
    </w:p>
    <w:p>
      <w:pPr>
        <w:pStyle w:val="BodyText"/>
        <w:bidi w:val="0"/>
        <w:rPr>
          <w:rFonts w:ascii="Times New Roman" w:hAnsi="Times New Roman"/>
        </w:rPr>
      </w:pPr>
      <w:r>
        <w:rPr/>
      </w:r>
    </w:p>
    <w:p>
      <w:pPr>
        <w:pStyle w:val="BodyText"/>
        <w:bidi w:val="0"/>
        <w:rPr>
          <w:rFonts w:ascii="Times New Roman" w:hAnsi="Times New Roman"/>
        </w:rPr>
      </w:pPr>
      <w:r>
        <w:rPr/>
        <w:t>then, in the case of 16.1.2.1, 16.1.2.4, 16,1.2.9 or 16.1.2.11 Owner may immediately terminate this Agreement.    As to other failures specified above which involve the payment of money or the provision of Security, Contractor shall not be in default if it cures the same within fifteen (15) days after receipt of notice from Owner specifying the default.    As to other non-monetary failures specified above, Contractor shall not be in default if it promptly commences curing the same and completes the cure diligently, and in any event within forty-five (45) days after receipt of notice from Owner specifying the default; provided that, Owner in its sole and absolute discretion may extend this cure period if Contractor submits a reasonable plan to cure the default and is diligently pursuing the plan.    Immediately upon expiration of the applicable cure period</w:t>
      </w:r>
      <w:r>
        <w:rPr>
          <w:b/>
          <w:u w:val="double"/>
        </w:rPr>
        <w:t>, without cure,</w:t>
      </w:r>
      <w:r>
        <w:rPr/>
        <w:t xml:space="preserve"> Owner may terminate this Agreement.</w:t>
      </w:r>
    </w:p>
    <w:p>
      <w:pPr>
        <w:pStyle w:val="BodyText"/>
        <w:bidi w:val="0"/>
        <w:rPr>
          <w:rFonts w:ascii="Times New Roman" w:hAnsi="Times New Roman"/>
        </w:rPr>
      </w:pPr>
      <w:r>
        <w:rPr/>
      </w:r>
    </w:p>
    <w:p>
      <w:pPr>
        <w:pStyle w:val="BodyText"/>
        <w:bidi w:val="0"/>
        <w:rPr>
          <w:rFonts w:ascii="Times New Roman" w:hAnsi="Times New Roman"/>
        </w:rPr>
      </w:pPr>
      <w:r>
        <w:rPr/>
        <w:tab/>
        <w:t>16.1.3</w:t>
        <w:tab/>
      </w:r>
      <w:r>
        <w:rPr>
          <w:u w:val="single"/>
        </w:rPr>
        <w:t>Owner’s Rights</w:t>
      </w:r>
      <w:r>
        <w:rPr/>
        <w:t xml:space="preserve">.    If Owner elects to terminate this Agreement </w:t>
      </w:r>
      <w:r>
        <w:rPr>
          <w:strike/>
        </w:rPr>
        <w:t>&lt;pursuant to&gt;</w:t>
      </w:r>
      <w:r>
        <w:rPr/>
        <w:t xml:space="preserve"> </w:t>
      </w:r>
      <w:r>
        <w:rPr>
          <w:b/>
          <w:u w:val="double"/>
        </w:rPr>
        <w:t>under</w:t>
      </w:r>
      <w:r>
        <w:rPr/>
        <w:t xml:space="preserve"> this Section 16.1, then Owner may employ any other Person (the “Replacement Contractor”) to finish the Work in accordance with the terms of this Agreement.    Owner shall be required to reasonably mitigate the cost of    completing the Work, but may make such expenditures as in Owner’s sole judgment will best accomplish the timely completion of the Facility.    Owner shall not be required or expected to mitigate any such costs by terminating, repudiating, or renegotiating any Subcontract.    Contractor, if so requested by Owner, shall provide Owner, any Replacement Contractor or Lender, at Contractor’s expense, with the right to continue to use any and all patented and/or proprietary information that Contractor has rights to use, if any (subject to reasonable proprietary restrictions), which Owner deems necessary to complete the Facility.    Upon such termination, Contractor shall not be entitled to receive any further payments under this Agreement except for payments for Work performed in accordance with the terms of this Agreement prior to such termination.    </w:t>
      </w:r>
    </w:p>
    <w:p>
      <w:pPr>
        <w:pStyle w:val="BodyText"/>
        <w:bidi w:val="0"/>
        <w:rPr>
          <w:rFonts w:ascii="Times New Roman" w:hAnsi="Times New Roman"/>
        </w:rPr>
      </w:pPr>
      <w:r>
        <w:rPr/>
      </w:r>
    </w:p>
    <w:p>
      <w:pPr>
        <w:pStyle w:val="BodyText"/>
        <w:bidi w:val="0"/>
        <w:rPr>
          <w:rFonts w:ascii="Times New Roman" w:hAnsi="Times New Roman"/>
        </w:rPr>
      </w:pPr>
      <w:r>
        <w:rPr/>
        <w:tab/>
        <w:t>16.1.4</w:t>
        <w:tab/>
      </w:r>
      <w:r>
        <w:rPr>
          <w:u w:val="single"/>
        </w:rPr>
        <w:t>General Obligations</w:t>
      </w:r>
      <w:r>
        <w:rPr/>
        <w:t xml:space="preserve">. If Owner elects to terminate this Agreement </w:t>
      </w:r>
      <w:r>
        <w:rPr>
          <w:strike/>
        </w:rPr>
        <w:t>&lt;pursuant to&gt;</w:t>
      </w:r>
      <w:r>
        <w:rPr/>
        <w:t xml:space="preserve"> </w:t>
      </w:r>
      <w:r>
        <w:rPr>
          <w:b/>
          <w:u w:val="double"/>
        </w:rPr>
        <w:t>under</w:t>
      </w:r>
      <w:r>
        <w:rPr/>
        <w:t xml:space="preserve"> this Section 16.1, then Contractor shall, at Owner’s request and at Contractor’s expense, perform the following services relative to the Work so affected:</w:t>
      </w:r>
    </w:p>
    <w:p>
      <w:pPr>
        <w:pStyle w:val="BodyText"/>
        <w:bidi w:val="0"/>
        <w:rPr>
          <w:rFonts w:ascii="Times New Roman" w:hAnsi="Times New Roman"/>
        </w:rPr>
      </w:pPr>
      <w:r>
        <w:rPr/>
      </w:r>
    </w:p>
    <w:p>
      <w:pPr>
        <w:pStyle w:val="BodyTextIndent2"/>
        <w:bidi w:val="0"/>
        <w:rPr>
          <w:rFonts w:ascii="Times New Roman" w:hAnsi="Times New Roman"/>
        </w:rPr>
      </w:pPr>
      <w:r>
        <w:rPr/>
        <w:t xml:space="preserve">16.1.4.1 </w:t>
      </w:r>
      <w:r>
        <w:rPr>
          <w:b/>
          <w:u w:val="double"/>
        </w:rPr>
        <w:t>Immediately</w:t>
      </w:r>
      <w:r>
        <w:rPr/>
        <w:t xml:space="preserve"> cease all further Work, except such Work as Owner may specify in the termination notice </w:t>
      </w:r>
      <w:r>
        <w:rPr>
          <w:strike/>
        </w:rPr>
        <w:t>&lt;for the sole purpose of protecting that part of the Work already executed&gt;</w:t>
      </w:r>
      <w:r>
        <w:rPr/>
        <w:t>;</w:t>
      </w:r>
    </w:p>
    <w:p>
      <w:pPr>
        <w:pStyle w:val="BodyText"/>
        <w:bidi w:val="0"/>
        <w:rPr>
          <w:rFonts w:ascii="Times New Roman" w:hAnsi="Times New Roman"/>
        </w:rPr>
      </w:pPr>
      <w:r>
        <w:rPr/>
      </w:r>
    </w:p>
    <w:p>
      <w:pPr>
        <w:pStyle w:val="BodyTextIndent2"/>
        <w:bidi w:val="0"/>
        <w:rPr>
          <w:rFonts w:ascii="Times New Roman" w:hAnsi="Times New Roman"/>
        </w:rPr>
      </w:pPr>
      <w:r>
        <w:rPr/>
        <w:t xml:space="preserve">16.1.4.2 </w:t>
      </w:r>
      <w:r>
        <w:rPr>
          <w:strike/>
        </w:rPr>
        <w:t>&lt;assist&gt;</w:t>
      </w:r>
      <w:r>
        <w:rPr/>
        <w:t xml:space="preserve"> </w:t>
      </w:r>
      <w:r>
        <w:rPr>
          <w:b/>
          <w:u w:val="double"/>
        </w:rPr>
        <w:t>Assist</w:t>
      </w:r>
      <w:r>
        <w:rPr/>
        <w:t xml:space="preserve"> Owner in preparing an inventory of all Equipment in use or in storage at the Site;</w:t>
      </w:r>
    </w:p>
    <w:p>
      <w:pPr>
        <w:pStyle w:val="BodyText"/>
        <w:bidi w:val="0"/>
        <w:rPr>
          <w:rFonts w:ascii="Times New Roman" w:hAnsi="Times New Roman"/>
        </w:rPr>
      </w:pPr>
      <w:r>
        <w:rPr/>
      </w:r>
    </w:p>
    <w:p>
      <w:pPr>
        <w:pStyle w:val="BodyTextIndent2"/>
        <w:bidi w:val="0"/>
        <w:rPr>
          <w:rFonts w:ascii="Times New Roman" w:hAnsi="Times New Roman"/>
        </w:rPr>
      </w:pPr>
      <w:r>
        <w:rPr/>
        <w:t xml:space="preserve">16.1.4.3 </w:t>
      </w:r>
      <w:r>
        <w:rPr>
          <w:strike/>
        </w:rPr>
        <w:t>&lt;terminate&gt;</w:t>
      </w:r>
      <w:r>
        <w:rPr/>
        <w:t xml:space="preserve"> </w:t>
      </w:r>
      <w:r>
        <w:rPr>
          <w:b/>
          <w:u w:val="double"/>
        </w:rPr>
        <w:t>Terminate</w:t>
      </w:r>
      <w:r>
        <w:rPr/>
        <w:t xml:space="preserve"> all Subcontracts, except those to be assigned </w:t>
      </w:r>
      <w:r>
        <w:rPr>
          <w:strike/>
        </w:rPr>
        <w:t>&lt;pursuant to&gt;</w:t>
      </w:r>
      <w:r>
        <w:rPr/>
        <w:t xml:space="preserve"> </w:t>
      </w:r>
      <w:r>
        <w:rPr>
          <w:b/>
          <w:u w:val="double"/>
        </w:rPr>
        <w:t>under</w:t>
      </w:r>
      <w:r>
        <w:rPr/>
        <w:t xml:space="preserve"> Section 16.1.4.4;</w:t>
      </w:r>
    </w:p>
    <w:p>
      <w:pPr>
        <w:pStyle w:val="BodyText"/>
        <w:bidi w:val="0"/>
        <w:rPr>
          <w:rFonts w:ascii="Times New Roman" w:hAnsi="Times New Roman"/>
        </w:rPr>
      </w:pPr>
      <w:r>
        <w:rPr/>
      </w:r>
    </w:p>
    <w:p>
      <w:pPr>
        <w:pStyle w:val="BodyTextIndent2"/>
        <w:bidi w:val="0"/>
        <w:rPr>
          <w:rFonts w:ascii="Times New Roman" w:hAnsi="Times New Roman"/>
        </w:rPr>
      </w:pPr>
      <w:r>
        <w:rPr/>
        <w:t xml:space="preserve">16.1.4.4 </w:t>
      </w:r>
      <w:r>
        <w:rPr>
          <w:strike/>
        </w:rPr>
        <w:t>&lt;assign&gt;</w:t>
      </w:r>
      <w:r>
        <w:rPr/>
        <w:t xml:space="preserve"> </w:t>
      </w:r>
      <w:r>
        <w:rPr>
          <w:b/>
          <w:u w:val="double"/>
        </w:rPr>
        <w:t>Assign</w:t>
      </w:r>
      <w:r>
        <w:rPr/>
        <w:t xml:space="preserve"> to Owner, or to any Replacement Contractor designated by Owner or Lender, without any right to compensation, title to all Work not already owned by Owner, together with the GE Contract and all Subcontracts and other contractual agreements and warranties as may be designated by Owner (subject to the assignee assuming any obligations thereunder accruing after assignment), and assign to Owner to the extent assignable all issued Governmental Authorizations, patents and other proprietary rights, if any, then held by Contractor pertaining to the Facility;</w:t>
      </w:r>
    </w:p>
    <w:p>
      <w:pPr>
        <w:pStyle w:val="BodyText"/>
        <w:bidi w:val="0"/>
        <w:rPr>
          <w:rFonts w:ascii="Times New Roman" w:hAnsi="Times New Roman"/>
        </w:rPr>
      </w:pPr>
      <w:r>
        <w:rPr/>
      </w:r>
    </w:p>
    <w:p>
      <w:pPr>
        <w:pStyle w:val="BodyTextIndent2"/>
        <w:bidi w:val="0"/>
        <w:rPr>
          <w:rFonts w:ascii="Times New Roman" w:hAnsi="Times New Roman"/>
        </w:rPr>
      </w:pPr>
      <w:r>
        <w:rPr/>
        <w:t xml:space="preserve">16.1.4.5 </w:t>
      </w:r>
      <w:r>
        <w:rPr>
          <w:strike/>
        </w:rPr>
        <w:t>&lt;remove&gt;</w:t>
      </w:r>
      <w:r>
        <w:rPr/>
        <w:t xml:space="preserve"> </w:t>
      </w:r>
      <w:r>
        <w:rPr>
          <w:b/>
          <w:u w:val="double"/>
        </w:rPr>
        <w:t>Remove</w:t>
      </w:r>
      <w:r>
        <w:rPr/>
        <w:t xml:space="preserve"> from the Site </w:t>
      </w:r>
      <w:r>
        <w:rPr>
          <w:b/>
          <w:u w:val="double"/>
        </w:rPr>
        <w:t>rubbish and such of</w:t>
      </w:r>
      <w:r>
        <w:rPr/>
        <w:t xml:space="preserve"> Contractor’s Equipment </w:t>
      </w:r>
      <w:r>
        <w:rPr>
          <w:strike/>
        </w:rPr>
        <w:t>&lt;and rubbish&gt;</w:t>
      </w:r>
      <w:r>
        <w:rPr/>
        <w:t xml:space="preserve"> as Owner may request;</w:t>
      </w:r>
    </w:p>
    <w:p>
      <w:pPr>
        <w:pStyle w:val="BodyText"/>
        <w:bidi w:val="0"/>
        <w:rPr>
          <w:rFonts w:ascii="Times New Roman" w:hAnsi="Times New Roman"/>
        </w:rPr>
      </w:pPr>
      <w:r>
        <w:rPr/>
      </w:r>
    </w:p>
    <w:p>
      <w:pPr>
        <w:pStyle w:val="BodyTextIndent2"/>
        <w:bidi w:val="0"/>
        <w:rPr>
          <w:rFonts w:ascii="Times New Roman" w:hAnsi="Times New Roman"/>
        </w:rPr>
      </w:pPr>
      <w:r>
        <w:rPr/>
        <w:t xml:space="preserve">16.1.4.6 </w:t>
      </w:r>
      <w:r>
        <w:rPr>
          <w:strike/>
        </w:rPr>
        <w:t>&lt;deliver&gt;</w:t>
      </w:r>
      <w:r>
        <w:rPr/>
        <w:t xml:space="preserve"> </w:t>
      </w:r>
      <w:r>
        <w:rPr>
          <w:b/>
          <w:u w:val="double"/>
        </w:rPr>
        <w:t>Deliver</w:t>
      </w:r>
      <w:r>
        <w:rPr/>
        <w:t xml:space="preserve"> to Owner all design and other information as may be reasonably requested by Owner for the completion and operation of the Facility; and</w:t>
      </w:r>
    </w:p>
    <w:p>
      <w:pPr>
        <w:pStyle w:val="BodyText"/>
        <w:bidi w:val="0"/>
        <w:rPr>
          <w:rFonts w:ascii="Times New Roman" w:hAnsi="Times New Roman"/>
        </w:rPr>
      </w:pPr>
      <w:r>
        <w:rPr/>
      </w:r>
    </w:p>
    <w:p>
      <w:pPr>
        <w:pStyle w:val="BodyTextIndent2"/>
        <w:bidi w:val="0"/>
        <w:rPr>
          <w:rFonts w:ascii="Times New Roman" w:hAnsi="Times New Roman"/>
        </w:rPr>
      </w:pPr>
      <w:r>
        <w:rPr/>
        <w:t xml:space="preserve">16.1.4.7 </w:t>
      </w:r>
      <w:r>
        <w:rPr>
          <w:strike/>
        </w:rPr>
        <w:t>&lt;supply&gt;</w:t>
      </w:r>
      <w:r>
        <w:rPr/>
        <w:t xml:space="preserve"> </w:t>
      </w:r>
      <w:r>
        <w:rPr>
          <w:b/>
          <w:u w:val="double"/>
        </w:rPr>
        <w:t>Supply</w:t>
      </w:r>
      <w:r>
        <w:rPr/>
        <w:t xml:space="preserve"> any proprietary components needed for the completion and operation of the Facility that are not available from other Persons on reasonable terms.</w:t>
      </w:r>
    </w:p>
    <w:p>
      <w:pPr>
        <w:pStyle w:val="BodyText"/>
        <w:bidi w:val="0"/>
        <w:rPr>
          <w:rFonts w:ascii="Times New Roman" w:hAnsi="Times New Roman"/>
        </w:rPr>
      </w:pPr>
      <w:r>
        <w:rPr/>
      </w:r>
    </w:p>
    <w:p>
      <w:pPr>
        <w:pStyle w:val="BodyText"/>
        <w:bidi w:val="0"/>
        <w:rPr>
          <w:rFonts w:ascii="Times New Roman" w:hAnsi="Times New Roman"/>
        </w:rPr>
      </w:pPr>
      <w:r>
        <w:rPr/>
        <w:tab/>
        <w:t>16.1.5</w:t>
        <w:tab/>
      </w:r>
      <w:r>
        <w:rPr>
          <w:u w:val="single"/>
        </w:rPr>
        <w:t>Payment Obligations</w:t>
      </w:r>
      <w:r>
        <w:rPr/>
        <w:t xml:space="preserve">.    If Owner terminates this Agreement </w:t>
      </w:r>
      <w:r>
        <w:rPr>
          <w:strike/>
        </w:rPr>
        <w:t>&lt;pursuant to&gt;</w:t>
      </w:r>
      <w:r>
        <w:rPr/>
        <w:t xml:space="preserve"> </w:t>
      </w:r>
      <w:r>
        <w:rPr>
          <w:b/>
          <w:u w:val="double"/>
        </w:rPr>
        <w:t>under</w:t>
      </w:r>
      <w:r>
        <w:rPr/>
        <w:t xml:space="preserve"> this Section 16.1, as soon as reasonably practicable after reaching the equivalent of Final Completion, Owner shall determine the total reasonable and necessary expenses incurred and accrued by Owner in connection with </w:t>
      </w:r>
      <w:r>
        <w:rPr>
          <w:strike/>
        </w:rPr>
        <w:t>&lt;the&gt;</w:t>
      </w:r>
      <w:r>
        <w:rPr/>
        <w:t xml:space="preserve"> termination of this Agreement (including all legal fees and expenses) and the completion of the Work, including all amounts charged by any Replacement Contractor to finish the Work based on the obligations such Replacement Contractor assumes under this Agreement (including the assumption by such Replacement Contractor of Contractor’s obligations hereunder to pay Delay Liquidated Damages) and under any of Contractor’s Subcontracts or other contractual agreement(s) that Owner elects to have assigned to such Replacement Contractor </w:t>
      </w:r>
      <w:r>
        <w:rPr>
          <w:strike/>
        </w:rPr>
        <w:t>&lt;pursuant to&gt;</w:t>
      </w:r>
      <w:r>
        <w:rPr/>
        <w:t xml:space="preserve"> </w:t>
      </w:r>
      <w:r>
        <w:rPr>
          <w:b/>
          <w:u w:val="double"/>
        </w:rPr>
        <w:t>under</w:t>
      </w:r>
      <w:r>
        <w:rPr/>
        <w:t xml:space="preserve"> Section 16.1.4.4., and additional reasonable and necessary overhead incurred and accrued by Owner to effect such takeover and to complete the Work (collectively, the “Cost to Complete the Facility”). If the Cost to Complete the Facility exceeds the balance of the Contract Price </w:t>
      </w:r>
      <w:r>
        <w:rPr>
          <w:b/>
          <w:u w:val="double"/>
        </w:rPr>
        <w:t>calculated on the basis of the Cost of the Work and Contractor’s Fee earned as of termination</w:t>
      </w:r>
      <w:r>
        <w:rPr/>
        <w:t xml:space="preserve"> (the “Balance of the Contract Price”) unpaid at the time of Contractor’s default, then Owner shall be fully released from all obligations to pay the Balance of the Contract Price, and Contractor shall be liable for and shall pay to Owner upon written demand by Owner the amount of such excess, subject to the limitations on Contractor’s liability under Section 14.1.    Any such amount payable by Contractor may be deducted by Owner from any amounts due to Contractor.    If the Cost to Complete the Facility is less than the Balance of the Contract Price, then Contractor shall be entitled to be paid any unpaid portion of the Contract Price attributable to the Work executed by Contractor prior to the date of termination, the value of any unused or partially used materials on the Site furnished by Contractor which are taken over by Owner and have not already been paid for as part of the Contract Price paid to Contractor, and the costs, if any, incurred by Contractor in protecting the Work pursuant to Section 16.1.4.1 (collectively, the “Termination Amount”) subject to the limitation that the Termination Amount shall not under any circumstance exceed the amount by which the Balance of the Contract Price is greater than the Cost to Complete the Facility.    Contractor shall not be liable for the Replacement Contractor’s failure to perform.</w:t>
      </w:r>
    </w:p>
    <w:p>
      <w:pPr>
        <w:pStyle w:val="Style2toc"/>
        <w:bidi w:val="0"/>
        <w:rPr>
          <w:rFonts w:ascii="Times New Roman" w:hAnsi="Times New Roman"/>
        </w:rPr>
      </w:pPr>
      <w:r>
        <w:rPr/>
      </w:r>
    </w:p>
    <w:p>
      <w:pPr>
        <w:pStyle w:val="Style2toc"/>
        <w:bidi w:val="0"/>
        <w:rPr>
          <w:rFonts w:ascii="Times New Roman" w:hAnsi="Times New Roman"/>
        </w:rPr>
      </w:pPr>
      <w:r>
        <w:rPr/>
        <w:t>16.2</w:t>
        <w:tab/>
      </w:r>
      <w:r>
        <w:rPr>
          <w:u w:val="single"/>
        </w:rPr>
        <w:t>Optional Cancellation by Owner</w:t>
      </w:r>
      <w:r>
        <w:fldChar w:fldCharType="begin"/>
      </w:r>
      <w:r>
        <w:rPr>
          <w:u w:val="single"/>
          <w:vanish/>
        </w:rPr>
        <w:instrText xml:space="preserve"> TC "16.2</w:instrText>
        <w:tab/>
        <w:instrText xml:space="preserve">Optional Cancellation by Owner672" \l 1 </w:instrText>
      </w:r>
      <w:r>
        <w:rPr>
          <w:u w:val="single"/>
          <w:vanish/>
        </w:rPr>
        <w:fldChar w:fldCharType="separate"/>
      </w:r>
      <w:bookmarkStart w:id="438" w:name="_Toc493577539"/>
      <w:bookmarkStart w:id="439" w:name="_Toc496784674"/>
      <w:bookmarkStart w:id="440" w:name="_Toc497198996"/>
      <w:bookmarkStart w:id="441" w:name="_Toc496784951"/>
      <w:bookmarkEnd w:id="438"/>
      <w:bookmarkEnd w:id="439"/>
      <w:bookmarkEnd w:id="440"/>
      <w:bookmarkEnd w:id="441"/>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16.2.1</w:t>
        <w:tab/>
      </w:r>
      <w:r>
        <w:rPr>
          <w:u w:val="single"/>
        </w:rPr>
        <w:t>Rights</w:t>
      </w:r>
      <w:r>
        <w:rPr/>
        <w:t>.</w:t>
        <w:tab/>
        <w:t>Owner may cancel this Agreement at any time by written notice to Contractor.    Upon receipt of any such notice, Contractor shall, unless the notice directs otherwise:</w:t>
      </w:r>
    </w:p>
    <w:p>
      <w:pPr>
        <w:pStyle w:val="BodyText"/>
        <w:bidi w:val="0"/>
        <w:rPr>
          <w:rFonts w:ascii="Times New Roman" w:hAnsi="Times New Roman"/>
        </w:rPr>
      </w:pPr>
      <w:r>
        <w:rPr/>
      </w:r>
    </w:p>
    <w:p>
      <w:pPr>
        <w:pStyle w:val="BodyTextIndent2"/>
        <w:bidi w:val="0"/>
        <w:rPr>
          <w:rFonts w:ascii="Times New Roman" w:hAnsi="Times New Roman"/>
        </w:rPr>
      </w:pPr>
      <w:r>
        <w:rPr/>
        <w:t xml:space="preserve">16.2.1.1    Immediately </w:t>
      </w:r>
      <w:r>
        <w:rPr>
          <w:strike/>
        </w:rPr>
        <w:t>&lt;discontinue&gt;</w:t>
      </w:r>
      <w:r>
        <w:rPr/>
        <w:t xml:space="preserve"> </w:t>
      </w:r>
      <w:r>
        <w:rPr>
          <w:b/>
          <w:u w:val="double"/>
        </w:rPr>
        <w:t>cease</w:t>
      </w:r>
      <w:r>
        <w:rPr/>
        <w:t xml:space="preserve"> the Work on the date and to the extent specified in such notice and assist Owner in the inventory referenced in Section 16.1.4.2;</w:t>
      </w:r>
    </w:p>
    <w:p>
      <w:pPr>
        <w:pStyle w:val="BodyText"/>
        <w:bidi w:val="0"/>
        <w:rPr>
          <w:rFonts w:ascii="Times New Roman" w:hAnsi="Times New Roman"/>
        </w:rPr>
      </w:pPr>
      <w:r>
        <w:rPr/>
      </w:r>
    </w:p>
    <w:p>
      <w:pPr>
        <w:pStyle w:val="BodyTextIndent2"/>
        <w:bidi w:val="0"/>
        <w:rPr>
          <w:rFonts w:ascii="Times New Roman" w:hAnsi="Times New Roman"/>
        </w:rPr>
      </w:pPr>
      <w:r>
        <w:rPr/>
        <w:t>16.2.1.2    Place no further orders or enter into no additional Subcontracts for Equipment and/or Work;</w:t>
      </w:r>
    </w:p>
    <w:p>
      <w:pPr>
        <w:pStyle w:val="BodyText"/>
        <w:bidi w:val="0"/>
        <w:rPr>
          <w:rFonts w:ascii="Times New Roman" w:hAnsi="Times New Roman"/>
        </w:rPr>
      </w:pPr>
      <w:r>
        <w:rPr/>
      </w:r>
    </w:p>
    <w:p>
      <w:pPr>
        <w:pStyle w:val="BodyTextIndent2"/>
        <w:bidi w:val="0"/>
        <w:rPr>
          <w:rFonts w:ascii="Times New Roman" w:hAnsi="Times New Roman"/>
        </w:rPr>
      </w:pPr>
      <w:r>
        <w:rPr/>
        <w:t>16.2.1.3    Promptly make every reasonable effort to procure cancellation upon terms satisfactory to Owner of all orders, Subcontracts and rental agreements, unless Owner elects to have the same assigned under Section 16.1.4.4;</w:t>
      </w:r>
    </w:p>
    <w:p>
      <w:pPr>
        <w:pStyle w:val="BodyText"/>
        <w:bidi w:val="0"/>
        <w:rPr>
          <w:rFonts w:ascii="Times New Roman" w:hAnsi="Times New Roman"/>
        </w:rPr>
      </w:pPr>
      <w:r>
        <w:rPr/>
      </w:r>
    </w:p>
    <w:p>
      <w:pPr>
        <w:pStyle w:val="BodyTextIndent2"/>
        <w:bidi w:val="0"/>
        <w:rPr>
          <w:rFonts w:ascii="Times New Roman" w:hAnsi="Times New Roman"/>
        </w:rPr>
      </w:pPr>
      <w:r>
        <w:rPr/>
        <w:t>16.2.1.4    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and assign to Owner to the extent assignable all issued Governmental Authorizations and other rights and documents referenced in Section 16.1.4.4; and</w:t>
      </w:r>
    </w:p>
    <w:p>
      <w:pPr>
        <w:pStyle w:val="BodyText"/>
        <w:bidi w:val="0"/>
        <w:rPr>
          <w:rFonts w:ascii="Times New Roman" w:hAnsi="Times New Roman"/>
        </w:rPr>
      </w:pPr>
      <w:r>
        <w:rPr/>
      </w:r>
    </w:p>
    <w:p>
      <w:pPr>
        <w:pStyle w:val="BodyTextIndent2"/>
        <w:bidi w:val="0"/>
        <w:rPr>
          <w:rFonts w:ascii="Times New Roman" w:hAnsi="Times New Roman"/>
        </w:rPr>
      </w:pPr>
      <w:r>
        <w:rPr/>
        <w:t>16.2.1.5    Thereafter execute only that portion of the Work directed by Owner as may be necessary to preserve and protect Work already in progress and to protect Equipment at the Site or in transit thereto.</w:t>
      </w:r>
    </w:p>
    <w:p>
      <w:pPr>
        <w:pStyle w:val="BodyText"/>
        <w:bidi w:val="0"/>
        <w:rPr>
          <w:rFonts w:ascii="Times New Roman" w:hAnsi="Times New Roman"/>
        </w:rPr>
      </w:pPr>
      <w:r>
        <w:rPr/>
      </w:r>
    </w:p>
    <w:p>
      <w:pPr>
        <w:pStyle w:val="BodyText"/>
        <w:bidi w:val="0"/>
        <w:rPr>
          <w:rFonts w:ascii="Times New Roman" w:hAnsi="Times New Roman"/>
          <w:strike/>
        </w:rPr>
      </w:pPr>
      <w:r>
        <w:rPr/>
        <w:tab/>
        <w:t>16.2.2</w:t>
      </w:r>
      <w:r>
        <w:rPr>
          <w:strike/>
        </w:rPr>
        <w:t>&lt; Deemed Cancellation. If Owner fails to issue the Notice to Proceed on or before March 1, 2002, then Owner shall be deemed to have canceled this Agreement. In the event of a deemed cancellation under this Section 16.2.2, Contractor shall act in accordance with and Sections 16.2.1.1 through 16.2.1.5 and the remedy set out in 16.2.3.1 shall apply.</w:t>
      </w:r>
    </w:p>
    <w:p>
      <w:pPr>
        <w:pStyle w:val="BodyText"/>
        <w:bidi w:val="0"/>
        <w:rPr>
          <w:rFonts w:ascii="Times New Roman" w:hAnsi="Times New Roman"/>
          <w:strike/>
        </w:rPr>
      </w:pPr>
      <w:r>
        <w:rPr>
          <w:strike/>
        </w:rPr>
      </w:r>
    </w:p>
    <w:p>
      <w:pPr>
        <w:pStyle w:val="BodyText"/>
        <w:bidi w:val="0"/>
        <w:rPr>
          <w:rFonts w:ascii="Times New Roman" w:hAnsi="Times New Roman"/>
        </w:rPr>
      </w:pPr>
      <w:r>
        <w:rPr>
          <w:strike/>
        </w:rPr>
        <w:t>16.2.3&gt;</w:t>
      </w:r>
      <w:r>
        <w:rPr/>
        <w:tab/>
      </w:r>
      <w:r>
        <w:rPr>
          <w:u w:val="single"/>
        </w:rPr>
        <w:t>Remedies</w:t>
      </w:r>
      <w:r>
        <w:rPr/>
        <w:t xml:space="preserve">. Contractor waives any claims for </w:t>
      </w:r>
      <w:r>
        <w:rPr>
          <w:strike/>
        </w:rPr>
        <w:t>&lt;consequential damages&gt;</w:t>
      </w:r>
      <w:r>
        <w:rPr/>
        <w:t xml:space="preserve"> </w:t>
      </w:r>
      <w:r>
        <w:rPr>
          <w:b/>
          <w:u w:val="double"/>
        </w:rPr>
        <w:t>Special Damages</w:t>
      </w:r>
      <w:r>
        <w:rPr/>
        <w:t xml:space="preserve">, including loss of anticipated profits for uncompleted Work, on account of a termination by Owner </w:t>
      </w:r>
      <w:r>
        <w:rPr>
          <w:strike/>
        </w:rPr>
        <w:t>&lt;pursuant to&gt;</w:t>
      </w:r>
      <w:r>
        <w:rPr/>
        <w:t xml:space="preserve"> </w:t>
      </w:r>
      <w:r>
        <w:rPr>
          <w:b/>
          <w:u w:val="double"/>
        </w:rPr>
        <w:t>under</w:t>
      </w:r>
      <w:r>
        <w:rPr/>
        <w:t xml:space="preserve"> this Section </w:t>
      </w:r>
      <w:r>
        <w:rPr>
          <w:strike/>
        </w:rPr>
        <w:t>&lt;16.2.3&gt;</w:t>
      </w:r>
      <w:r>
        <w:rPr/>
        <w:t xml:space="preserve"> </w:t>
      </w:r>
      <w:r>
        <w:rPr>
          <w:b/>
          <w:u w:val="double"/>
        </w:rPr>
        <w:t>16.2</w:t>
      </w:r>
      <w:r>
        <w:rPr/>
        <w:t xml:space="preserve"> and shall accept as its sole remedy the following:</w:t>
      </w:r>
    </w:p>
    <w:p>
      <w:pPr>
        <w:pStyle w:val="BodyText"/>
        <w:bidi w:val="0"/>
        <w:rPr>
          <w:rFonts w:ascii="Times New Roman" w:hAnsi="Times New Roman"/>
        </w:rPr>
      </w:pPr>
      <w:r>
        <w:rPr/>
      </w:r>
    </w:p>
    <w:p>
      <w:pPr>
        <w:pStyle w:val="BodyTextIndent2"/>
        <w:bidi w:val="0"/>
        <w:rPr>
          <w:rFonts w:ascii="Times New Roman" w:hAnsi="Times New Roman"/>
        </w:rPr>
      </w:pPr>
      <w:r>
        <w:rPr>
          <w:strike/>
        </w:rPr>
        <w:t>&lt;16.2.3.1&gt;</w:t>
      </w:r>
      <w:r>
        <w:rPr/>
        <w:t xml:space="preserve"> </w:t>
      </w:r>
      <w:r>
        <w:rPr>
          <w:b/>
          <w:u w:val="double"/>
        </w:rPr>
        <w:t>16.2.2.1</w:t>
      </w:r>
      <w:r>
        <w:rPr/>
        <w:t xml:space="preserve"> In the event that Owner cancels this Agreement in accordance with Section 16.2 after issuing the Preliminary Notice to Proceed but prior to the Notice to Proceed Effective Date, Owner shall be liable only for actual costs incurred by Contractor attributable to the Work properly performed by Contractor and its Subcontractors as of the effective date of cancellation, reimbursement for any Subcontractor termination costs; and any other out-of-pocket expenses reasonably incurred by Contractor as a result of such cancellation which, in the circumstances, cannot reasonably be avoided by Contractor and are a direct result of such termination (collectively the “Termination Expenses”).</w:t>
      </w:r>
    </w:p>
    <w:p>
      <w:pPr>
        <w:pStyle w:val="BodyText"/>
        <w:bidi w:val="0"/>
        <w:rPr>
          <w:rFonts w:ascii="Times New Roman" w:hAnsi="Times New Roman"/>
        </w:rPr>
      </w:pPr>
      <w:r>
        <w:rPr/>
      </w:r>
    </w:p>
    <w:p>
      <w:pPr>
        <w:pStyle w:val="BodyTextIndent2"/>
        <w:bidi w:val="0"/>
        <w:rPr>
          <w:rFonts w:ascii="Times New Roman" w:hAnsi="Times New Roman"/>
        </w:rPr>
      </w:pPr>
      <w:r>
        <w:rPr>
          <w:strike/>
        </w:rPr>
        <w:t>&lt;16.2.3.2&gt;</w:t>
      </w:r>
      <w:r>
        <w:rPr/>
        <w:t xml:space="preserve"> </w:t>
      </w:r>
      <w:r>
        <w:rPr>
          <w:b/>
          <w:u w:val="double"/>
        </w:rPr>
        <w:t>16.2.2.2</w:t>
      </w:r>
      <w:r>
        <w:rPr/>
        <w:t xml:space="preserve"> If such cancellation occurs after the Notice to Proceed Effective Date, Contractor shall be entitled to receive the Termination Expenses plus </w:t>
      </w:r>
      <w:r>
        <w:rPr>
          <w:strike/>
        </w:rPr>
        <w:t>&lt;ten&gt;</w:t>
      </w:r>
      <w:r>
        <w:rPr>
          <w:b/>
          <w:u w:val="double"/>
        </w:rPr>
        <w:t>_____</w:t>
      </w:r>
      <w:r>
        <w:rPr/>
        <w:t xml:space="preserve"> percent </w:t>
      </w:r>
      <w:r>
        <w:rPr>
          <w:strike/>
        </w:rPr>
        <w:t>&lt;(10%)&gt;</w:t>
      </w:r>
      <w:r>
        <w:rPr>
          <w:b/>
          <w:u w:val="double"/>
        </w:rPr>
        <w:t>(__%)</w:t>
      </w:r>
      <w:r>
        <w:rPr/>
        <w:t xml:space="preserve"> of the Termination Expenses.    </w:t>
      </w:r>
    </w:p>
    <w:p>
      <w:pPr>
        <w:pStyle w:val="BodyText"/>
        <w:bidi w:val="0"/>
        <w:rPr>
          <w:rFonts w:ascii="Times New Roman" w:hAnsi="Times New Roman"/>
        </w:rPr>
      </w:pPr>
      <w:r>
        <w:rPr/>
      </w:r>
    </w:p>
    <w:p>
      <w:pPr>
        <w:pStyle w:val="BodyTextIndent2"/>
        <w:bidi w:val="0"/>
        <w:rPr>
          <w:rFonts w:ascii="Times New Roman" w:hAnsi="Times New Roman"/>
          <w:b/>
          <w:u w:val="double"/>
        </w:rPr>
      </w:pPr>
      <w:r>
        <w:rPr>
          <w:strike/>
        </w:rPr>
        <w:t>&lt;16.2.3.3&gt;</w:t>
      </w:r>
      <w:r>
        <w:rPr/>
        <w:t xml:space="preserve"> </w:t>
      </w:r>
      <w:r>
        <w:rPr>
          <w:b/>
          <w:u w:val="double"/>
        </w:rPr>
        <w:t>16.2.2.3</w:t>
      </w:r>
      <w:r>
        <w:rPr/>
        <w:t xml:space="preserve"> Contractor shall use reasonable efforts to minimize Termination Expenses and any other costs of cancellation.    Upon termination Owner shall have the option of having all or any Work </w:t>
      </w:r>
      <w:r>
        <w:rPr>
          <w:b/>
          <w:u w:val="double"/>
        </w:rPr>
        <w:t>or Equipment</w:t>
      </w:r>
      <w:r>
        <w:rPr/>
        <w:t xml:space="preserve"> delivered to the Site or, at Owner’s expense, to such other place as Owner shall</w:t>
      </w:r>
      <w:r>
        <w:rPr>
          <w:b/>
        </w:rPr>
        <w:t xml:space="preserve"> </w:t>
      </w:r>
      <w:r>
        <w:rPr/>
        <w:t xml:space="preserve">reasonably direct.    Payments for cancellation under Section </w:t>
      </w:r>
      <w:r>
        <w:rPr>
          <w:strike/>
        </w:rPr>
        <w:t>&lt;16&gt;</w:t>
      </w:r>
      <w:r>
        <w:rPr/>
        <w:t xml:space="preserve"> </w:t>
      </w:r>
      <w:r>
        <w:rPr>
          <w:b/>
          <w:u w:val="double"/>
        </w:rPr>
        <w:t>16.2</w:t>
      </w:r>
      <w:r>
        <w:rPr/>
        <w:t xml:space="preserve"> shall be due Contractor within fifteen (15) days of Owner’s receipt and acceptance of a substantiated, itemized invoice and the delivery of any such Work </w:t>
      </w:r>
      <w:r>
        <w:rPr>
          <w:b/>
          <w:u w:val="double"/>
        </w:rPr>
        <w:t>or Equipment.</w:t>
      </w:r>
    </w:p>
    <w:p>
      <w:pPr>
        <w:pStyle w:val="BodyText"/>
        <w:bidi w:val="0"/>
        <w:rPr>
          <w:rFonts w:ascii="Times New Roman" w:hAnsi="Times New Roman"/>
          <w:b/>
          <w:u w:val="double"/>
        </w:rPr>
      </w:pPr>
      <w:r>
        <w:rPr>
          <w:b/>
          <w:u w:val="double"/>
        </w:rPr>
      </w:r>
    </w:p>
    <w:p>
      <w:pPr>
        <w:pStyle w:val="BodyText"/>
        <w:bidi w:val="0"/>
        <w:rPr>
          <w:rFonts w:ascii="Times New Roman" w:hAnsi="Times New Roman"/>
          <w:strike/>
        </w:rPr>
      </w:pPr>
      <w:r>
        <w:rPr/>
        <w:tab/>
      </w:r>
      <w:r>
        <w:rPr>
          <w:b/>
          <w:u w:val="double"/>
        </w:rPr>
        <w:t>16.2.3</w:t>
      </w:r>
      <w:r>
        <w:rPr>
          <w:strike/>
        </w:rPr>
        <w:t>&lt;.</w:t>
      </w:r>
    </w:p>
    <w:p>
      <w:pPr>
        <w:pStyle w:val="BodyText"/>
        <w:bidi w:val="0"/>
        <w:rPr>
          <w:rFonts w:ascii="Times New Roman" w:hAnsi="Times New Roman"/>
          <w:strike/>
        </w:rPr>
      </w:pPr>
      <w:r>
        <w:rPr>
          <w:strike/>
        </w:rPr>
      </w:r>
    </w:p>
    <w:p>
      <w:pPr>
        <w:pStyle w:val="BodyText"/>
        <w:bidi w:val="0"/>
        <w:rPr>
          <w:rFonts w:ascii="Times New Roman" w:hAnsi="Times New Roman"/>
        </w:rPr>
      </w:pPr>
      <w:r>
        <w:rPr>
          <w:strike/>
        </w:rPr>
        <w:t>16.2.4&gt;</w:t>
      </w:r>
      <w:r>
        <w:rPr/>
        <w:tab/>
      </w:r>
      <w:r>
        <w:rPr>
          <w:u w:val="single"/>
        </w:rPr>
        <w:t>Deemed Optional Cancellation</w:t>
      </w:r>
      <w:r>
        <w:rPr/>
        <w:t xml:space="preserve">.    If Owner terminates this Agreement either for Contractor’s inability to perform or failure to perform, and it is later determined that Owner did not have cause to terminate, then such termination will be deemed an optional cancellation by Owner under this Section 16.2; provided, however, that if the termination occurs after the Notice to Proceed Effective Date, the Contractor shall be entitled to receive the Termination Expenses plus </w:t>
      </w:r>
      <w:r>
        <w:rPr>
          <w:strike/>
        </w:rPr>
        <w:t>&lt;fifteen&gt;</w:t>
      </w:r>
      <w:r>
        <w:rPr>
          <w:b/>
          <w:u w:val="double"/>
        </w:rPr>
        <w:t>_______</w:t>
      </w:r>
      <w:r>
        <w:rPr/>
        <w:t xml:space="preserve"> percent </w:t>
      </w:r>
      <w:r>
        <w:rPr>
          <w:strike/>
        </w:rPr>
        <w:t>&lt;(15%)&gt;</w:t>
      </w:r>
      <w:r>
        <w:rPr>
          <w:b/>
          <w:u w:val="double"/>
        </w:rPr>
        <w:t>(__%)</w:t>
      </w:r>
      <w:r>
        <w:rPr/>
        <w:t xml:space="preserve"> of the Termination Expenses, rather than </w:t>
      </w:r>
      <w:r>
        <w:rPr>
          <w:strike/>
        </w:rPr>
        <w:t>&lt;ten&gt;</w:t>
      </w:r>
      <w:r>
        <w:rPr>
          <w:b/>
          <w:u w:val="double"/>
        </w:rPr>
        <w:t>________</w:t>
      </w:r>
      <w:r>
        <w:rPr/>
        <w:t xml:space="preserve"> percent </w:t>
      </w:r>
      <w:r>
        <w:rPr>
          <w:strike/>
        </w:rPr>
        <w:t>&lt;(10%)&gt;</w:t>
      </w:r>
      <w:r>
        <w:rPr>
          <w:b/>
          <w:u w:val="double"/>
        </w:rPr>
        <w:t>(__%)</w:t>
      </w:r>
      <w:r>
        <w:rPr/>
        <w:t xml:space="preserve"> thereof under Section </w:t>
      </w:r>
      <w:r>
        <w:rPr>
          <w:strike/>
        </w:rPr>
        <w:t>&lt;16.2.3.2. In no event, however, will Contractor be entitled to receive more than the Contract Price.&gt;</w:t>
      </w:r>
      <w:r>
        <w:rPr/>
        <w:t xml:space="preserve"> </w:t>
      </w:r>
      <w:r>
        <w:rPr>
          <w:b/>
          <w:u w:val="double"/>
        </w:rPr>
        <w:t>16.2.2.2.</w:t>
      </w:r>
    </w:p>
    <w:p>
      <w:pPr>
        <w:pStyle w:val="BodyText"/>
        <w:bidi w:val="0"/>
        <w:rPr>
          <w:rFonts w:ascii="Times New Roman" w:hAnsi="Times New Roman"/>
        </w:rPr>
      </w:pPr>
      <w:r>
        <w:rPr/>
      </w:r>
    </w:p>
    <w:p>
      <w:pPr>
        <w:pStyle w:val="Style2toc"/>
        <w:bidi w:val="0"/>
        <w:rPr>
          <w:rFonts w:ascii="Times New Roman" w:hAnsi="Times New Roman"/>
        </w:rPr>
      </w:pPr>
      <w:r>
        <w:rPr/>
        <w:t>16.3</w:t>
        <w:tab/>
      </w:r>
      <w:r>
        <w:rPr>
          <w:u w:val="single"/>
        </w:rPr>
        <w:t>Termination by Contractor</w:t>
      </w:r>
      <w:r>
        <w:fldChar w:fldCharType="begin"/>
      </w:r>
      <w:r>
        <w:rPr>
          <w:u w:val="single"/>
          <w:vanish/>
        </w:rPr>
        <w:instrText xml:space="preserve"> TC "16.3</w:instrText>
        <w:tab/>
        <w:instrText xml:space="preserve">Termination by Contractor672" \l 1 </w:instrText>
      </w:r>
      <w:r>
        <w:rPr>
          <w:u w:val="single"/>
          <w:vanish/>
        </w:rPr>
        <w:fldChar w:fldCharType="separate"/>
      </w:r>
      <w:bookmarkStart w:id="442" w:name="_Toc493577540"/>
      <w:bookmarkStart w:id="443" w:name="_Toc497198997"/>
      <w:bookmarkStart w:id="444" w:name="_Toc496784952"/>
      <w:bookmarkStart w:id="445" w:name="_Toc496784675"/>
      <w:bookmarkEnd w:id="442"/>
      <w:bookmarkEnd w:id="443"/>
      <w:bookmarkEnd w:id="444"/>
      <w:bookmarkEnd w:id="445"/>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16.3.1</w:t>
        <w:tab/>
      </w:r>
      <w:r>
        <w:rPr>
          <w:u w:val="single"/>
        </w:rPr>
        <w:t>Termination for Owner’s Inability to Perform</w:t>
      </w:r>
      <w:r>
        <w:rPr/>
        <w:t>.    If any proceeding is instituted against Owner seeking to adjudicate Owner as a bankrupt or insolvent and such proceeding is not dismissed within sixty (60) days of filing, or if Owner makes a general assignment for the benefit of its creditors, or if a receiver is appointed on account of the insolvency of Owner, or if Owner files a petition seeking to take advantage of any other applicable Law relating to bankruptcy, insolvency, reorganization, winding up or composition, or adjustment of debts, or if Owner admits in writing its inability to pay its debts when due, then Contractor may terminate this Agreement effective immediately upon giving written notice of such termination to Owner.    Any such termination shall be without prejudice to any existing rights, powers, or remedies of either party under this Agreement.</w:t>
      </w:r>
    </w:p>
    <w:p>
      <w:pPr>
        <w:pStyle w:val="BodyText"/>
        <w:bidi w:val="0"/>
        <w:rPr>
          <w:rFonts w:ascii="Times New Roman" w:hAnsi="Times New Roman"/>
        </w:rPr>
      </w:pPr>
      <w:r>
        <w:rPr/>
      </w:r>
    </w:p>
    <w:p>
      <w:pPr>
        <w:pStyle w:val="BodyText"/>
        <w:bidi w:val="0"/>
        <w:rPr>
          <w:rFonts w:ascii="Times New Roman" w:hAnsi="Times New Roman"/>
        </w:rPr>
      </w:pPr>
      <w:r>
        <w:rPr/>
        <w:tab/>
        <w:t>16.3.2</w:t>
        <w:tab/>
      </w:r>
      <w:r>
        <w:rPr>
          <w:u w:val="single"/>
        </w:rPr>
        <w:t>Termination for Owner’s Failure to Perform</w:t>
      </w:r>
      <w:r>
        <w:rPr/>
        <w:t>.    If:</w:t>
      </w:r>
    </w:p>
    <w:p>
      <w:pPr>
        <w:pStyle w:val="BodyText"/>
        <w:bidi w:val="0"/>
        <w:rPr>
          <w:rFonts w:ascii="Times New Roman" w:hAnsi="Times New Roman"/>
        </w:rPr>
      </w:pPr>
      <w:r>
        <w:rPr/>
      </w:r>
    </w:p>
    <w:p>
      <w:pPr>
        <w:pStyle w:val="BodyTextIndent2"/>
        <w:bidi w:val="0"/>
        <w:rPr>
          <w:rFonts w:ascii="Times New Roman" w:hAnsi="Times New Roman"/>
        </w:rPr>
      </w:pPr>
      <w:r>
        <w:rPr/>
        <w:t>16.3.2.1    Owner fails to pay Contractor any undisputed amount due under any invoice within thirty (30) days after the amount became payable;</w:t>
      </w:r>
    </w:p>
    <w:p>
      <w:pPr>
        <w:pStyle w:val="BodyText"/>
        <w:bidi w:val="0"/>
        <w:rPr>
          <w:rFonts w:ascii="Times New Roman" w:hAnsi="Times New Roman"/>
        </w:rPr>
      </w:pPr>
      <w:r>
        <w:rPr/>
      </w:r>
    </w:p>
    <w:p>
      <w:pPr>
        <w:pStyle w:val="BodyTextIndent2"/>
        <w:bidi w:val="0"/>
        <w:rPr>
          <w:rFonts w:ascii="Times New Roman" w:hAnsi="Times New Roman"/>
        </w:rPr>
      </w:pPr>
      <w:r>
        <w:rPr/>
        <w:t>16.3.2.2    Owner fails to observe or perform any of its material covenants or agreements contained in this Agreement;</w:t>
      </w:r>
    </w:p>
    <w:p>
      <w:pPr>
        <w:pStyle w:val="BodyTextIndent3"/>
        <w:bidi w:val="0"/>
        <w:rPr>
          <w:rFonts w:ascii="Times New Roman" w:hAnsi="Times New Roman"/>
        </w:rPr>
      </w:pPr>
      <w:r>
        <w:rPr/>
      </w:r>
    </w:p>
    <w:p>
      <w:pPr>
        <w:pStyle w:val="BodyTextIndent2"/>
        <w:bidi w:val="0"/>
        <w:rPr>
          <w:rFonts w:ascii="Times New Roman" w:hAnsi="Times New Roman"/>
          <w:b/>
        </w:rPr>
      </w:pPr>
      <w:r>
        <w:rPr/>
        <w:t xml:space="preserve">16.3.2.3    The Work is suspended for more than six (6) consecutive months or twelve (12) months total pursuant to Section 16.4; or    </w:t>
      </w:r>
    </w:p>
    <w:p>
      <w:pPr>
        <w:pStyle w:val="BodyTextIndent3"/>
        <w:bidi w:val="0"/>
        <w:rPr>
          <w:rFonts w:ascii="Times New Roman" w:hAnsi="Times New Roman"/>
        </w:rPr>
      </w:pPr>
      <w:r>
        <w:rPr/>
      </w:r>
    </w:p>
    <w:p>
      <w:pPr>
        <w:pStyle w:val="BodyTextIndent2"/>
        <w:bidi w:val="0"/>
        <w:rPr>
          <w:rFonts w:ascii="Times New Roman" w:hAnsi="Times New Roman"/>
        </w:rPr>
      </w:pPr>
      <w:r>
        <w:rPr/>
        <w:t>16.3.2.4    Any material representation or warranty of Owner shall have been incorrect as of the date made.</w:t>
      </w:r>
    </w:p>
    <w:p>
      <w:pPr>
        <w:pStyle w:val="BodyText"/>
        <w:bidi w:val="0"/>
        <w:rPr>
          <w:rFonts w:ascii="Times New Roman" w:hAnsi="Times New Roman"/>
        </w:rPr>
      </w:pPr>
      <w:r>
        <w:rPr/>
      </w:r>
    </w:p>
    <w:p>
      <w:pPr>
        <w:pStyle w:val="BodyText"/>
        <w:bidi w:val="0"/>
        <w:rPr>
          <w:rFonts w:ascii="Times New Roman" w:hAnsi="Times New Roman"/>
        </w:rPr>
      </w:pPr>
      <w:r>
        <w:rPr/>
        <w:t>then, in the case of 16.3.2.4 Contractor may immediately terminate this Agreement.    As to other failures specified above which involve the payment of money, Owner shall not be in default if it cures the same within fifteen (15) days after receipt of notice from Contractor specifying the default.    As to other non-monetary failures specified above, Owner shall not be in default if it promptly commences to cure the same and complete the cure diligently, and in any event within forty-five (45) days after receipt of notice from Contractor specifying the default</w:t>
      </w:r>
      <w:r>
        <w:rPr>
          <w:b/>
          <w:u w:val="double"/>
        </w:rPr>
        <w:t>; provided that, Contractor, in its sole and absolute discretion, may extend this cure period if Owner submits a reasonable plan to cure the default and is diligently pursuing the plan</w:t>
      </w:r>
      <w:r>
        <w:rPr/>
        <w:t>.    Immediately upon expiration of the applicable cure period</w:t>
      </w:r>
      <w:r>
        <w:rPr>
          <w:b/>
          <w:u w:val="double"/>
        </w:rPr>
        <w:t>, without cure,</w:t>
      </w:r>
      <w:r>
        <w:rPr/>
        <w:t xml:space="preserve"> Contractor may terminate this Agreement.    Notwithstanding Contractor’s right to terminate this Agreement pursuant to this Section 16.3.2, Contractor agrees that before any such right to terminate may be exercised, Contractor shall notify Lender in writing of the circumstances of the event of Owner default, request that Lender declare its intentions with respect to invoking its right under the financing agreements to take over all of Owner’s rights, obligations and liabilities under this Agreement through assignment, and Lender shall have declared its intentions, within a reasonable time following such written notice by Contractor, not to take over the performance of the Agreement to remedy such event of Owner default.</w:t>
      </w:r>
    </w:p>
    <w:p>
      <w:pPr>
        <w:pStyle w:val="BodyText"/>
        <w:bidi w:val="0"/>
        <w:rPr>
          <w:rFonts w:ascii="Times New Roman" w:hAnsi="Times New Roman"/>
        </w:rPr>
      </w:pPr>
      <w:r>
        <w:rPr/>
      </w:r>
    </w:p>
    <w:p>
      <w:pPr>
        <w:pStyle w:val="BodyText"/>
        <w:bidi w:val="0"/>
        <w:rPr>
          <w:rFonts w:ascii="Times New Roman" w:hAnsi="Times New Roman"/>
        </w:rPr>
      </w:pPr>
      <w:r>
        <w:rPr/>
        <w:tab/>
        <w:t xml:space="preserve">16.3.3    </w:t>
      </w:r>
      <w:r>
        <w:rPr>
          <w:u w:val="single"/>
        </w:rPr>
        <w:t>Payment on Termination by Contractor</w:t>
      </w:r>
      <w:r>
        <w:rPr/>
        <w:t>.    If this Agreement is terminated under Section 16.3.1 or 16.3.2, Contractor shall be entitled to payment on the same basis as if the carrying out of the Work had been canceled under Section 16.2</w:t>
      </w:r>
      <w:r>
        <w:rPr>
          <w:strike/>
        </w:rPr>
        <w:t>&lt;, provided that in no event shall the aggregate sum of all payments received by Contractor exceed the Contract Price&gt;</w:t>
      </w:r>
      <w:r>
        <w:rPr/>
        <w:t>.</w:t>
      </w:r>
    </w:p>
    <w:p>
      <w:pPr>
        <w:pStyle w:val="BodyText"/>
        <w:bidi w:val="0"/>
        <w:rPr>
          <w:rFonts w:ascii="Times New Roman" w:hAnsi="Times New Roman"/>
        </w:rPr>
      </w:pPr>
      <w:r>
        <w:rPr/>
      </w:r>
    </w:p>
    <w:p>
      <w:pPr>
        <w:pStyle w:val="Style2toc"/>
        <w:bidi w:val="0"/>
        <w:rPr>
          <w:rFonts w:ascii="Times New Roman" w:hAnsi="Times New Roman"/>
        </w:rPr>
      </w:pPr>
      <w:r>
        <w:rPr/>
        <w:t>16.4</w:t>
        <w:tab/>
      </w:r>
      <w:r>
        <w:rPr>
          <w:u w:val="single"/>
        </w:rPr>
        <w:t>Suspension of Work</w:t>
      </w:r>
      <w:r>
        <w:fldChar w:fldCharType="begin"/>
      </w:r>
      <w:r>
        <w:rPr>
          <w:u w:val="single"/>
          <w:vanish/>
        </w:rPr>
        <w:instrText xml:space="preserve"> TC "16.4</w:instrText>
        <w:tab/>
        <w:instrText xml:space="preserve">Suspension of Work672" \l 1 </w:instrText>
      </w:r>
      <w:r>
        <w:rPr>
          <w:u w:val="single"/>
          <w:vanish/>
        </w:rPr>
        <w:fldChar w:fldCharType="separate"/>
      </w:r>
      <w:bookmarkStart w:id="446" w:name="_Toc493577541"/>
      <w:bookmarkStart w:id="447" w:name="_Toc497198998"/>
      <w:bookmarkStart w:id="448" w:name="_Toc496784953"/>
      <w:bookmarkStart w:id="449" w:name="_Toc496784676"/>
      <w:bookmarkEnd w:id="446"/>
      <w:bookmarkEnd w:id="447"/>
      <w:bookmarkEnd w:id="448"/>
      <w:bookmarkEnd w:id="449"/>
      <w:r>
        <w:rPr>
          <w:vanish/>
          <w:u w:val="single"/>
        </w:rPr>
      </w:r>
      <w:r>
        <w:rPr>
          <w:u w:val="single"/>
          <w:vanish/>
        </w:rPr>
        <w:fldChar w:fldCharType="end"/>
      </w:r>
      <w:r>
        <w:rPr>
          <w:strike/>
        </w:rPr>
        <w:t>&lt;&lt;*&gt;&gt;</w:t>
      </w:r>
      <w:r>
        <w:rPr/>
        <w:t>.</w:t>
      </w:r>
    </w:p>
    <w:p>
      <w:pPr>
        <w:pStyle w:val="BodyText"/>
        <w:bidi w:val="0"/>
        <w:rPr>
          <w:rFonts w:ascii="Times New Roman" w:hAnsi="Times New Roman"/>
        </w:rPr>
      </w:pPr>
      <w:r>
        <w:rPr/>
      </w:r>
    </w:p>
    <w:p>
      <w:pPr>
        <w:pStyle w:val="BodyText"/>
        <w:bidi w:val="0"/>
        <w:rPr>
          <w:rFonts w:ascii="Times New Roman" w:hAnsi="Times New Roman"/>
        </w:rPr>
      </w:pPr>
      <w:r>
        <w:rPr/>
        <w:tab/>
        <w:t>16.4.1</w:t>
        <w:tab/>
        <w:t>Suspension of Work by Owner.</w:t>
      </w:r>
    </w:p>
    <w:p>
      <w:pPr>
        <w:pStyle w:val="BodyText"/>
        <w:bidi w:val="0"/>
        <w:rPr>
          <w:rFonts w:ascii="Times New Roman" w:hAnsi="Times New Roman"/>
        </w:rPr>
      </w:pPr>
      <w:r>
        <w:rPr/>
      </w:r>
    </w:p>
    <w:p>
      <w:pPr>
        <w:pStyle w:val="BodyTextIndent2"/>
        <w:bidi w:val="0"/>
        <w:rPr>
          <w:rFonts w:ascii="Times New Roman" w:hAnsi="Times New Roman"/>
        </w:rPr>
      </w:pPr>
      <w:r>
        <w:rPr/>
        <w:t xml:space="preserve">16.4.1.1    At any time and from time to time and for any reason, Owner may by written notice to Contractor suspend the carrying out of the Work or any part thereof.    On receipt of Owner’s notice, Contractor shall suspend the carrying out of the Work or </w:t>
      </w:r>
      <w:r>
        <w:rPr>
          <w:strike/>
        </w:rPr>
        <w:t>&lt;any&gt;</w:t>
      </w:r>
      <w:r>
        <w:rPr/>
        <w:t xml:space="preserve"> </w:t>
      </w:r>
      <w:r>
        <w:rPr>
          <w:b/>
          <w:u w:val="double"/>
        </w:rPr>
        <w:t>the specified</w:t>
      </w:r>
      <w:r>
        <w:rPr/>
        <w:t xml:space="preserve"> part thereof for such time and in such manner as Owner may require and shall during any such suspension properly protect and secure the Work in such manner as Owner shall reasonably require.    Unless otherwise instructed by Owner, during any such suspension Contractor shall maintain its staff and labor on or near the Site ready to proceed with the Work upon receipt of Owner’s further instructions.</w:t>
      </w:r>
    </w:p>
    <w:p>
      <w:pPr>
        <w:pStyle w:val="BodyTextIndent3"/>
        <w:bidi w:val="0"/>
        <w:rPr>
          <w:rFonts w:ascii="Times New Roman" w:hAnsi="Times New Roman"/>
        </w:rPr>
      </w:pPr>
      <w:r>
        <w:rPr/>
      </w:r>
    </w:p>
    <w:p>
      <w:pPr>
        <w:pStyle w:val="BodyTextIndent2"/>
        <w:bidi w:val="0"/>
        <w:rPr>
          <w:rFonts w:ascii="Times New Roman" w:hAnsi="Times New Roman"/>
        </w:rPr>
      </w:pPr>
      <w:r>
        <w:rPr/>
        <w:t>16.4.1.2    Owner at any time following a suspension may give notice to Contractor to proceed with the Work previously suspended.</w:t>
      </w:r>
    </w:p>
    <w:p>
      <w:pPr>
        <w:pStyle w:val="BodyTextIndent3"/>
        <w:bidi w:val="0"/>
        <w:rPr>
          <w:rFonts w:ascii="Times New Roman" w:hAnsi="Times New Roman"/>
        </w:rPr>
      </w:pPr>
      <w:r>
        <w:rPr/>
      </w:r>
    </w:p>
    <w:p>
      <w:pPr>
        <w:pStyle w:val="BodyTextIndent2"/>
        <w:bidi w:val="0"/>
        <w:rPr>
          <w:rFonts w:ascii="Times New Roman" w:hAnsi="Times New Roman"/>
        </w:rPr>
      </w:pPr>
      <w:r>
        <w:rPr/>
        <w:t>16.4.1.3    Upon receipt of any such notice to proceed, Contractor shall examine the Equipment delivered to Contractor affected by the suspension and shall, at Owner’s expense, make good any deterioration of or damage to such Equipment that may have occurred during the suspension (unless resulting from any breach by Contractor of its obligations to protect and secure the Work) and shall proceed with the Work previously suspended.</w:t>
      </w:r>
    </w:p>
    <w:p>
      <w:pPr>
        <w:pStyle w:val="BodyTextIndent3"/>
        <w:bidi w:val="0"/>
        <w:rPr>
          <w:rFonts w:ascii="Times New Roman" w:hAnsi="Times New Roman"/>
        </w:rPr>
      </w:pPr>
      <w:r>
        <w:rPr/>
      </w:r>
    </w:p>
    <w:p>
      <w:pPr>
        <w:pStyle w:val="BodyText"/>
        <w:bidi w:val="0"/>
        <w:rPr>
          <w:rFonts w:ascii="Times New Roman" w:hAnsi="Times New Roman"/>
        </w:rPr>
      </w:pPr>
      <w:r>
        <w:rPr/>
        <w:tab/>
        <w:t>16.4.2</w:t>
        <w:tab/>
        <w:t>Suspension of Work by Contractor.</w:t>
      </w:r>
    </w:p>
    <w:p>
      <w:pPr>
        <w:pStyle w:val="BodyText"/>
        <w:bidi w:val="0"/>
        <w:rPr>
          <w:rFonts w:ascii="Times New Roman" w:hAnsi="Times New Roman"/>
        </w:rPr>
      </w:pPr>
      <w:r>
        <w:rPr/>
      </w:r>
    </w:p>
    <w:p>
      <w:pPr>
        <w:pStyle w:val="BodyTextIndent2"/>
        <w:bidi w:val="0"/>
        <w:rPr>
          <w:rFonts w:ascii="Times New Roman" w:hAnsi="Times New Roman"/>
        </w:rPr>
      </w:pPr>
      <w:r>
        <w:rPr/>
        <w:t>16.4.2.1 Contractor may, by giving fifteen (15) days written notice to Owner, suspend the carrying out of the Work or any part thereof if Owner fails to pay Contractor any undisputed amount due under any invoice within thirty (30) days after the amount becomes payable under this Agreement, unless prior to the end of the fifteen (15) days notice period Owner has paid the overdue amount.    During any such suspension Contractor shall properly protect and secure the Work in such manner as Owner shall require.    Unless otherwise instructed by Owner, during any such suspension Contractor shall maintain its staff and labor on or near the Site ready to proceed with the Work immediately upon receipt of the overdue amount.</w:t>
      </w:r>
    </w:p>
    <w:p>
      <w:pPr>
        <w:pStyle w:val="BodyTextIndent3"/>
        <w:bidi w:val="0"/>
        <w:rPr>
          <w:rFonts w:ascii="Times New Roman" w:hAnsi="Times New Roman"/>
        </w:rPr>
      </w:pPr>
      <w:r>
        <w:rPr/>
      </w:r>
    </w:p>
    <w:p>
      <w:pPr>
        <w:pStyle w:val="BodyTextIndent2"/>
        <w:bidi w:val="0"/>
        <w:rPr>
          <w:rFonts w:ascii="Times New Roman" w:hAnsi="Times New Roman"/>
        </w:rPr>
      </w:pPr>
      <w:r>
        <w:rPr/>
        <w:t>16.4.2.2 Upon payment by Owner of such overdue amount, Contractor shall examine the Equipment delivered to Contractor affected by the suspension and shall, at Owner’s expense, make good any deterioration or damage to or of such Equipment that may have occurred during the suspension (unless resulting from any breach by Contractor of its obligations to protect and secure the Work) and shall proceed with the Work previously suspended.</w:t>
      </w:r>
    </w:p>
    <w:p>
      <w:pPr>
        <w:pStyle w:val="BodyTextIndent2"/>
        <w:bidi w:val="0"/>
        <w:rPr>
          <w:rFonts w:ascii="Times New Roman" w:hAnsi="Times New Roman"/>
        </w:rPr>
      </w:pPr>
      <w:r>
        <w:rPr/>
      </w:r>
    </w:p>
    <w:p>
      <w:pPr>
        <w:pStyle w:val="BodyText"/>
        <w:bidi w:val="0"/>
        <w:rPr>
          <w:rFonts w:ascii="Times New Roman" w:hAnsi="Times New Roman"/>
        </w:rPr>
      </w:pPr>
      <w:r>
        <w:rPr/>
        <w:tab/>
        <w:t>16.4.3</w:t>
        <w:tab/>
      </w:r>
      <w:r>
        <w:rPr>
          <w:u w:val="single"/>
        </w:rPr>
        <w:t>Adjustment and Compensation for Suspension</w:t>
      </w:r>
      <w:r>
        <w:rPr/>
        <w:t xml:space="preserve">.    In the event of a suspension of the Work </w:t>
      </w:r>
      <w:r>
        <w:rPr>
          <w:strike/>
        </w:rPr>
        <w:t>&lt;pursuant to&gt;</w:t>
      </w:r>
      <w:r>
        <w:rPr/>
        <w:t xml:space="preserve"> </w:t>
      </w:r>
      <w:r>
        <w:rPr>
          <w:b/>
          <w:u w:val="double"/>
        </w:rPr>
        <w:t>under</w:t>
      </w:r>
      <w:r>
        <w:rPr/>
        <w:t xml:space="preserve"> this Section 16.4, Contractor shall be entitled to a Change Order for reimbursement, on a monthly basis, in accordance with the invoicing and payment provisions set forth in Section 7.2, for all actual, direct, out-of-pocket costs plus Contractor’s personnel costs (verified to Owner’s reasonable satisfaction) which are reasonably incurred by Contractor as a result of such suspension and any increase in cost or delays resulting from such suspension.    In the event of a suspension </w:t>
      </w:r>
      <w:r>
        <w:rPr>
          <w:strike/>
        </w:rPr>
        <w:t>&lt;pursuant to&gt;</w:t>
      </w:r>
      <w:r>
        <w:rPr/>
        <w:t xml:space="preserve"> </w:t>
      </w:r>
      <w:r>
        <w:rPr>
          <w:b/>
          <w:u w:val="double"/>
        </w:rPr>
        <w:t>under</w:t>
      </w:r>
      <w:r>
        <w:rPr/>
        <w:t xml:space="preserve"> Section 16.4. that extends for more than seven (7) days, Contractor shall be entitled to a Change Order which, in addition to providing for reimbursement for costs incurred, also provides for a reasonable extension to the Project Schedule in respect of any delay suffered by reason of the suspension.</w:t>
      </w:r>
    </w:p>
    <w:p>
      <w:pPr>
        <w:pStyle w:val="BodyText"/>
        <w:bidi w:val="0"/>
        <w:rPr>
          <w:rFonts w:ascii="Times New Roman" w:hAnsi="Times New Roman"/>
        </w:rPr>
      </w:pPr>
      <w:r>
        <w:rPr/>
      </w:r>
    </w:p>
    <w:p>
      <w:pPr>
        <w:pStyle w:val="Style1toc"/>
        <w:keepNext w:val="true"/>
        <w:bidi w:val="0"/>
        <w:rPr>
          <w:rFonts w:ascii="Times New Roman" w:hAnsi="Times New Roman"/>
        </w:rPr>
      </w:pPr>
      <w:r>
        <w:rPr/>
        <w:t>ARTICLE 17</w:t>
      </w:r>
      <w:r>
        <w:fldChar w:fldCharType="begin"/>
      </w:r>
      <w:r>
        <w:rPr>
          <w:vanish/>
        </w:rPr>
        <w:instrText xml:space="preserve"> TC "ARTICLE 17  FORCE MAJEURE671" \l 1 </w:instrText>
      </w:r>
      <w:r>
        <w:rPr>
          <w:vanish/>
        </w:rPr>
        <w:fldChar w:fldCharType="separate"/>
      </w:r>
      <w:bookmarkStart w:id="450" w:name="_Toc493577542"/>
      <w:bookmarkStart w:id="451" w:name="_Toc496784677"/>
      <w:bookmarkStart w:id="452" w:name="_Toc496784954"/>
      <w:bookmarkStart w:id="453" w:name="_Toc497198999"/>
      <w:bookmarkEnd w:id="450"/>
      <w:bookmarkEnd w:id="451"/>
      <w:bookmarkEnd w:id="452"/>
      <w:bookmarkEnd w:id="453"/>
      <w:r>
        <w:rPr>
          <w:vanish/>
        </w:rPr>
      </w:r>
      <w:r>
        <w:rPr>
          <w:vanish/>
        </w:rPr>
        <w:fldChar w:fldCharType="end"/>
      </w:r>
      <w:r>
        <w:rPr>
          <w:strike/>
        </w:rPr>
        <w:t>&lt;&lt;*&gt;&gt;</w:t>
      </w:r>
    </w:p>
    <w:p>
      <w:pPr>
        <w:pStyle w:val="Style1toc"/>
        <w:keepNext w:val="true"/>
        <w:bidi w:val="0"/>
        <w:rPr>
          <w:rFonts w:ascii="Times New Roman" w:hAnsi="Times New Roman"/>
        </w:rPr>
      </w:pPr>
      <w:r>
        <w:rPr/>
        <w:t>FORCE MAJEURE</w:t>
      </w:r>
    </w:p>
    <w:p>
      <w:pPr>
        <w:pStyle w:val="Style1toc"/>
        <w:keepNext w:val="true"/>
        <w:bidi w:val="0"/>
        <w:rPr>
          <w:rFonts w:ascii="Times New Roman" w:hAnsi="Times New Roman"/>
          <w:b/>
        </w:rPr>
      </w:pPr>
      <w:r>
        <w:rPr>
          <w:b/>
        </w:rPr>
      </w:r>
    </w:p>
    <w:p>
      <w:pPr>
        <w:pStyle w:val="Style1toc"/>
        <w:keepNext w:val="true"/>
        <w:bidi w:val="0"/>
        <w:rPr>
          <w:rFonts w:ascii="Times New Roman" w:hAnsi="Times New Roman"/>
          <w:b/>
        </w:rPr>
      </w:pPr>
      <w:r>
        <w:rPr>
          <w:b/>
          <w:u w:val="double"/>
        </w:rPr>
        <w:t>[TO BE CONFORMED WITH FINANCING DOCUMENTS.]</w:t>
      </w:r>
    </w:p>
    <w:p>
      <w:pPr>
        <w:pStyle w:val="bodytext1"/>
        <w:bidi w:val="0"/>
        <w:spacing w:lineRule="atLeast" w:line="240"/>
        <w:ind w:hanging="0" w:start="720"/>
        <w:jc w:val="both"/>
        <w:rPr>
          <w:rFonts w:ascii="Times New Roman" w:hAnsi="Times New Roman"/>
          <w:sz w:val="23"/>
        </w:rPr>
      </w:pPr>
      <w:r>
        <w:rPr>
          <w:sz w:val="23"/>
        </w:rPr>
        <w:t>17.1</w:t>
        <w:tab/>
      </w:r>
      <w:r>
        <w:rPr>
          <w:sz w:val="23"/>
          <w:u w:val="single"/>
        </w:rPr>
        <w:t>Failure to Perform Due to an Event of Force Majeure</w:t>
      </w:r>
      <w:r>
        <w:rPr>
          <w:sz w:val="23"/>
        </w:rPr>
        <w:t>.</w:t>
      </w:r>
      <w:r>
        <w:fldChar w:fldCharType="begin"/>
      </w:r>
      <w:r>
        <w:rPr>
          <w:sz w:val="23"/>
          <w:vanish/>
        </w:rPr>
        <w:instrText xml:space="preserve"> TC "17.1</w:instrText>
        <w:tab/>
        <w:instrText xml:space="preserve">Failure to Perform Due to an Event of Force Majeure672" \l 1 </w:instrText>
      </w:r>
      <w:r>
        <w:rPr>
          <w:sz w:val="23"/>
          <w:vanish/>
        </w:rPr>
        <w:fldChar w:fldCharType="separate"/>
      </w:r>
      <w:bookmarkStart w:id="454" w:name="_Toc493577543"/>
      <w:bookmarkStart w:id="455" w:name="_Toc497199000"/>
      <w:bookmarkStart w:id="456" w:name="_Toc496784955"/>
      <w:bookmarkStart w:id="457" w:name="_Toc496784678"/>
      <w:bookmarkEnd w:id="454"/>
      <w:bookmarkEnd w:id="455"/>
      <w:bookmarkEnd w:id="456"/>
      <w:bookmarkEnd w:id="457"/>
      <w:r>
        <w:rPr>
          <w:vanish/>
          <w:sz w:val="23"/>
        </w:rPr>
      </w:r>
      <w:r>
        <w:rPr>
          <w:sz w:val="23"/>
          <w:vanish/>
        </w:rPr>
        <w:fldChar w:fldCharType="end"/>
      </w:r>
      <w:r>
        <w:rPr>
          <w:sz w:val="23"/>
        </w:rPr>
        <w:t xml:space="preserve">    </w:t>
      </w:r>
      <w:r>
        <w:rPr>
          <w:strike/>
          <w:sz w:val="23"/>
        </w:rPr>
        <w:t>&lt;&lt;*&gt;&gt;</w:t>
      </w:r>
      <w:r>
        <w:rPr>
          <w:sz w:val="23"/>
        </w:rPr>
        <w:t>Subject to the terms of this Article 17, either party shall be entitled to delay performance and shall not be considered to be in default with respect to any obligation under this Agreement by the number of days, including recovery time, that performance is actually delayed by an Event of Force Majeure.    However, no Event of Force Majeure affecting a party shall, of itself, excuse that party from making any payment otherwise due and payable by the party under this Agreement.</w:t>
      </w:r>
    </w:p>
    <w:p>
      <w:pPr>
        <w:pStyle w:val="bodytext1"/>
        <w:bidi w:val="0"/>
        <w:spacing w:lineRule="atLeast" w:line="240"/>
        <w:ind w:hanging="0" w:start="720"/>
        <w:jc w:val="both"/>
        <w:rPr>
          <w:rFonts w:ascii="Times New Roman" w:hAnsi="Times New Roman"/>
          <w:sz w:val="23"/>
        </w:rPr>
      </w:pPr>
      <w:r>
        <w:rPr>
          <w:sz w:val="23"/>
        </w:rPr>
        <w:t>17.2</w:t>
        <w:tab/>
      </w:r>
      <w:r>
        <w:rPr>
          <w:sz w:val="23"/>
          <w:u w:val="single"/>
        </w:rPr>
        <w:t>Limitations of Events of Force Majeure</w:t>
      </w:r>
      <w:r>
        <w:rPr>
          <w:sz w:val="23"/>
        </w:rPr>
        <w:t>.</w:t>
      </w:r>
      <w:r>
        <w:fldChar w:fldCharType="begin"/>
      </w:r>
      <w:r>
        <w:rPr>
          <w:sz w:val="23"/>
          <w:vanish/>
        </w:rPr>
        <w:instrText xml:space="preserve"> TC "17.2</w:instrText>
        <w:tab/>
        <w:instrText xml:space="preserve">Limitations of Events of Force Majeure672" \l 1 </w:instrText>
      </w:r>
      <w:r>
        <w:rPr>
          <w:sz w:val="23"/>
          <w:vanish/>
        </w:rPr>
        <w:fldChar w:fldCharType="separate"/>
      </w:r>
      <w:bookmarkStart w:id="458" w:name="_Toc493577544"/>
      <w:bookmarkStart w:id="459" w:name="_Toc496784679"/>
      <w:bookmarkStart w:id="460" w:name="_Toc496784956"/>
      <w:bookmarkStart w:id="461" w:name="_Toc497199001"/>
      <w:bookmarkEnd w:id="458"/>
      <w:bookmarkEnd w:id="459"/>
      <w:bookmarkEnd w:id="460"/>
      <w:bookmarkEnd w:id="461"/>
      <w:r>
        <w:rPr>
          <w:vanish/>
          <w:sz w:val="23"/>
        </w:rPr>
      </w:r>
      <w:r>
        <w:rPr>
          <w:sz w:val="23"/>
          <w:vanish/>
        </w:rPr>
        <w:fldChar w:fldCharType="end"/>
      </w:r>
      <w:r>
        <w:rPr>
          <w:sz w:val="23"/>
        </w:rPr>
        <w:t xml:space="preserve">    </w:t>
      </w:r>
      <w:r>
        <w:rPr>
          <w:strike/>
          <w:sz w:val="23"/>
        </w:rPr>
        <w:t>&lt;&lt;*&gt;&gt;</w:t>
      </w:r>
      <w:r>
        <w:rPr>
          <w:sz w:val="23"/>
        </w:rPr>
        <w:t>Events of Force Majeure shall be limited to the circumstances set forth in Section 17.4 (the “Events of Force Majeure”) and shall entitle a party to delay performance (or to an extension of the Guaranteed Completion Date or the End Date) only to the extent:</w:t>
      </w:r>
    </w:p>
    <w:p>
      <w:pPr>
        <w:pStyle w:val="bodytext1"/>
        <w:bidi w:val="0"/>
        <w:spacing w:lineRule="atLeast" w:line="240"/>
        <w:ind w:firstLine="720" w:start="720"/>
        <w:jc w:val="both"/>
        <w:rPr>
          <w:rFonts w:ascii="Times New Roman" w:hAnsi="Times New Roman"/>
          <w:sz w:val="23"/>
        </w:rPr>
      </w:pPr>
      <w:r>
        <w:rPr>
          <w:sz w:val="23"/>
        </w:rPr>
        <w:t>(a)</w:t>
        <w:tab/>
        <w:t>such circumstance is not within the reasonable control of the party affected;</w:t>
      </w:r>
    </w:p>
    <w:p>
      <w:pPr>
        <w:pStyle w:val="bodytext1"/>
        <w:bidi w:val="0"/>
        <w:spacing w:lineRule="atLeast" w:line="240"/>
        <w:ind w:firstLine="720" w:start="720"/>
        <w:jc w:val="both"/>
        <w:rPr>
          <w:rFonts w:ascii="Times New Roman" w:hAnsi="Times New Roman"/>
          <w:sz w:val="23"/>
        </w:rPr>
      </w:pPr>
      <w:r>
        <w:rPr>
          <w:sz w:val="23"/>
        </w:rPr>
        <w:t>(b)</w:t>
        <w:tab/>
        <w:t>such circumstance, despite the exercise of reasonable diligence, cannot be prevented, avoided or removed by such party;</w:t>
      </w:r>
    </w:p>
    <w:p>
      <w:pPr>
        <w:pStyle w:val="bodytext1"/>
        <w:bidi w:val="0"/>
        <w:spacing w:lineRule="atLeast" w:line="240"/>
        <w:ind w:firstLine="720" w:start="720"/>
        <w:jc w:val="both"/>
        <w:rPr>
          <w:rFonts w:ascii="Times New Roman" w:hAnsi="Times New Roman"/>
          <w:sz w:val="23"/>
        </w:rPr>
      </w:pPr>
      <w:r>
        <w:rPr>
          <w:sz w:val="23"/>
        </w:rPr>
        <w:t>(c)</w:t>
        <w:tab/>
        <w:t>such circumstance prevents the affected party from fulfilling its obligations under this Agreement;</w:t>
      </w:r>
    </w:p>
    <w:p>
      <w:pPr>
        <w:pStyle w:val="bodytext1"/>
        <w:bidi w:val="0"/>
        <w:spacing w:lineRule="atLeast" w:line="240"/>
        <w:ind w:firstLine="720" w:start="720"/>
        <w:jc w:val="both"/>
        <w:rPr>
          <w:rFonts w:ascii="Times New Roman" w:hAnsi="Times New Roman"/>
          <w:sz w:val="23"/>
        </w:rPr>
      </w:pPr>
      <w:r>
        <w:rPr>
          <w:sz w:val="23"/>
        </w:rPr>
        <w:t>(d)</w:t>
        <w:tab/>
        <w:t>the affected party has taken all reasonable precautions, due care and reasonable alternative measures in order to avoid the effect of such event on the affected party’s ability to fulfill its obligations under this Agreement and to mitigate the consequences thereof;</w:t>
      </w:r>
    </w:p>
    <w:p>
      <w:pPr>
        <w:pStyle w:val="bodytext1"/>
        <w:bidi w:val="0"/>
        <w:spacing w:lineRule="atLeast" w:line="240"/>
        <w:ind w:firstLine="720" w:start="720"/>
        <w:jc w:val="both"/>
        <w:rPr>
          <w:rFonts w:ascii="Times New Roman" w:hAnsi="Times New Roman"/>
          <w:sz w:val="23"/>
        </w:rPr>
      </w:pPr>
      <w:r>
        <w:rPr>
          <w:sz w:val="23"/>
        </w:rPr>
        <w:t>(e)</w:t>
        <w:tab/>
        <w:t>such event is not the result of any failure of such party to perform any of its obligations under this Agreement; and</w:t>
      </w:r>
    </w:p>
    <w:p>
      <w:pPr>
        <w:pStyle w:val="bodytext1"/>
        <w:bidi w:val="0"/>
        <w:spacing w:lineRule="atLeast" w:line="240"/>
        <w:ind w:firstLine="720" w:start="720"/>
        <w:jc w:val="both"/>
        <w:rPr>
          <w:rFonts w:ascii="Times New Roman" w:hAnsi="Times New Roman"/>
          <w:sz w:val="23"/>
        </w:rPr>
      </w:pPr>
      <w:r>
        <w:rPr>
          <w:sz w:val="23"/>
        </w:rPr>
        <w:t>(f)</w:t>
        <w:tab/>
        <w:t xml:space="preserve">such party has given notice of the event in accordance with this Article 17.    </w:t>
      </w:r>
    </w:p>
    <w:p>
      <w:pPr>
        <w:pStyle w:val="bodytext1"/>
        <w:bidi w:val="0"/>
        <w:spacing w:lineRule="atLeast" w:line="240"/>
        <w:ind w:hanging="0" w:start="720"/>
        <w:jc w:val="both"/>
        <w:rPr>
          <w:rFonts w:ascii="Times New Roman" w:hAnsi="Times New Roman"/>
          <w:sz w:val="23"/>
        </w:rPr>
      </w:pPr>
      <w:r>
        <w:rPr>
          <w:sz w:val="23"/>
        </w:rPr>
        <w:t>17.3</w:t>
        <w:tab/>
      </w:r>
      <w:r>
        <w:rPr>
          <w:sz w:val="23"/>
          <w:u w:val="single"/>
        </w:rPr>
        <w:t xml:space="preserve">Notice </w:t>
      </w:r>
      <w:r>
        <w:rPr>
          <w:b/>
          <w:sz w:val="23"/>
          <w:u w:val="double"/>
        </w:rPr>
        <w:t>of</w:t>
      </w:r>
      <w:r>
        <w:rPr>
          <w:sz w:val="23"/>
          <w:u w:val="single"/>
        </w:rPr>
        <w:t xml:space="preserve"> Event of Force Majeure</w:t>
      </w:r>
      <w:r>
        <w:rPr>
          <w:sz w:val="23"/>
        </w:rPr>
        <w:t>.</w:t>
      </w:r>
      <w:r>
        <w:fldChar w:fldCharType="begin"/>
      </w:r>
      <w:r>
        <w:rPr>
          <w:sz w:val="23"/>
          <w:vanish/>
        </w:rPr>
        <w:instrText xml:space="preserve"> TC "17.3</w:instrText>
        <w:tab/>
        <w:instrText xml:space="preserve">Notice of Event of Force Majeure672" \l 1 </w:instrText>
      </w:r>
      <w:r>
        <w:rPr>
          <w:sz w:val="23"/>
          <w:vanish/>
        </w:rPr>
        <w:fldChar w:fldCharType="separate"/>
      </w:r>
      <w:bookmarkStart w:id="462" w:name="_Toc493577545"/>
      <w:bookmarkStart w:id="463" w:name="_Toc497199002"/>
      <w:bookmarkStart w:id="464" w:name="_Toc496784957"/>
      <w:bookmarkStart w:id="465" w:name="_Toc496784680"/>
      <w:bookmarkEnd w:id="462"/>
      <w:bookmarkEnd w:id="463"/>
      <w:bookmarkEnd w:id="464"/>
      <w:bookmarkEnd w:id="465"/>
      <w:r>
        <w:rPr>
          <w:vanish/>
          <w:sz w:val="23"/>
        </w:rPr>
      </w:r>
      <w:r>
        <w:rPr>
          <w:sz w:val="23"/>
          <w:vanish/>
        </w:rPr>
        <w:fldChar w:fldCharType="end"/>
      </w:r>
      <w:r>
        <w:rPr>
          <w:sz w:val="23"/>
        </w:rPr>
        <w:t xml:space="preserve">    </w:t>
      </w:r>
      <w:r>
        <w:rPr>
          <w:strike/>
          <w:sz w:val="23"/>
        </w:rPr>
        <w:t>&lt;&lt;*&gt;&gt;</w:t>
      </w:r>
      <w:r>
        <w:rPr>
          <w:sz w:val="23"/>
        </w:rPr>
        <w:t xml:space="preserve">As soon as possible following the date of commencement of any Event of Force Majeure, if either party desires to invoke such Event of Force Majeure as a cause for delay in the performance of any obligation hereunder or an adjustment in the Contract Price (or as the cause for an extension of the Guaranteed Completion Date or the End Date), it shall promptly (but not later than three (3) days after learning of such Event of Force Majeure), advise the other party in writing of such date of commencement.    Notices shall be in accordance with Section 22.2.    Within seven (7) days after learning of such Event of Force Majeure, the affected party shall provide in writing a description of the event, reasonable alternative measures which the affected party has taken in order to avoid the effect of such event on </w:t>
      </w:r>
      <w:r>
        <w:rPr>
          <w:strike/>
          <w:sz w:val="23"/>
        </w:rPr>
        <w:t>&lt;such&gt;</w:t>
      </w:r>
      <w:r>
        <w:rPr>
          <w:sz w:val="23"/>
        </w:rPr>
        <w:t xml:space="preserve"> </w:t>
      </w:r>
      <w:r>
        <w:rPr>
          <w:b/>
          <w:sz w:val="23"/>
          <w:u w:val="double"/>
        </w:rPr>
        <w:t>the</w:t>
      </w:r>
      <w:r>
        <w:rPr>
          <w:sz w:val="23"/>
        </w:rPr>
        <w:t xml:space="preserve"> party’s ability to fulfill its obligations under this Agreement and to mitigate the consequences thereof, and the nature and expected duration of such Event of Force Majeure.    The affected party shall provide additional information concerning the event as reasonably requested by the other party (including updating of any information already provided under this Section 17.3).    As soon as practicable after the commencement of the Event of Force Majeure, the affected party shall allow the other party’s professional advisers access to its premises and equipment to enable the other party to assess the </w:t>
      </w:r>
      <w:r>
        <w:rPr>
          <w:strike/>
          <w:sz w:val="23"/>
        </w:rPr>
        <w:t>&lt;event&gt;</w:t>
      </w:r>
      <w:r>
        <w:rPr>
          <w:sz w:val="23"/>
        </w:rPr>
        <w:t xml:space="preserve"> </w:t>
      </w:r>
      <w:r>
        <w:rPr>
          <w:b/>
          <w:sz w:val="23"/>
          <w:u w:val="double"/>
        </w:rPr>
        <w:t>Event</w:t>
      </w:r>
      <w:r>
        <w:rPr>
          <w:sz w:val="23"/>
        </w:rPr>
        <w:t xml:space="preserve"> and the steps to avoid or remove the circumstances constituting the </w:t>
      </w:r>
      <w:r>
        <w:rPr>
          <w:strike/>
          <w:sz w:val="23"/>
        </w:rPr>
        <w:t>&lt;event&gt;</w:t>
      </w:r>
      <w:r>
        <w:rPr>
          <w:sz w:val="23"/>
        </w:rPr>
        <w:t xml:space="preserve"> </w:t>
      </w:r>
      <w:r>
        <w:rPr>
          <w:b/>
          <w:sz w:val="23"/>
          <w:u w:val="double"/>
        </w:rPr>
        <w:t>Event</w:t>
      </w:r>
      <w:r>
        <w:rPr>
          <w:sz w:val="23"/>
        </w:rPr>
        <w:t>.    Within a reasonable time following the date of termination of such Event of Force Majeure, the party having invoked such Event of Force Majeure as a cause for delay or an adjustment in the Contract Price (or as the cause for an extension of the Guaranteed Completion Date or the End Date) shall submit to the other party as soon as practicable, reasonable proof of the nature of such delay and its effect.    The burden of proof to demonstrate that an Event of Force Majeure has occurred and that the affected party is entitled under this Article 17 to the relief it seeks in connection with the same,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any adjustment in the Contract Price or extension of the Guaranteed Completion Date or the End Date.    The parties:</w:t>
      </w:r>
    </w:p>
    <w:p>
      <w:pPr>
        <w:pStyle w:val="bodytext1"/>
        <w:bidi w:val="0"/>
        <w:spacing w:lineRule="atLeast" w:line="240"/>
        <w:ind w:firstLine="720" w:start="720"/>
        <w:jc w:val="both"/>
        <w:rPr>
          <w:rFonts w:ascii="Times New Roman" w:hAnsi="Times New Roman"/>
          <w:sz w:val="23"/>
        </w:rPr>
      </w:pPr>
      <w:r>
        <w:rPr>
          <w:sz w:val="23"/>
        </w:rPr>
        <w:t>(a)</w:t>
        <w:tab/>
        <w:t>shall make all reasonable efforts to prevent and reduce to a minimum and mitigate the effect of any delay, extension or potential adjustment of the Contract Price occasioned by any Event of Force Majeure including recourse to alternate acceptable source of services, equipment and materials and construction equipment; and</w:t>
      </w:r>
    </w:p>
    <w:p>
      <w:pPr>
        <w:pStyle w:val="bodytext1"/>
        <w:bidi w:val="0"/>
        <w:spacing w:lineRule="atLeast" w:line="240"/>
        <w:ind w:firstLine="720" w:start="720"/>
        <w:jc w:val="both"/>
        <w:rPr>
          <w:rFonts w:ascii="Times New Roman" w:hAnsi="Times New Roman"/>
          <w:sz w:val="23"/>
        </w:rPr>
      </w:pPr>
      <w:r>
        <w:rPr>
          <w:sz w:val="23"/>
        </w:rPr>
        <w:t>(b)</w:t>
        <w:tab/>
        <w:t>shall use their best efforts to ensure resumption of normal performance of this Agreement after the occurrence of any Event of Force Majeure and shall perform their obligations to the maximum extent practicable as agreed between the parties.</w:t>
      </w:r>
    </w:p>
    <w:p>
      <w:pPr>
        <w:pStyle w:val="bodytext1"/>
        <w:bidi w:val="0"/>
        <w:spacing w:lineRule="atLeast" w:line="240"/>
        <w:ind w:hanging="0" w:start="720"/>
        <w:jc w:val="both"/>
        <w:rPr>
          <w:rFonts w:ascii="Times New Roman" w:hAnsi="Times New Roman"/>
          <w:sz w:val="23"/>
        </w:rPr>
      </w:pPr>
      <w:r>
        <w:rPr>
          <w:sz w:val="23"/>
        </w:rPr>
        <w:t>17.4</w:t>
        <w:tab/>
      </w:r>
      <w:r>
        <w:rPr>
          <w:sz w:val="23"/>
          <w:u w:val="single"/>
        </w:rPr>
        <w:t>Events of Force Majeure</w:t>
      </w:r>
      <w:r>
        <w:rPr>
          <w:sz w:val="23"/>
        </w:rPr>
        <w:t>.</w:t>
      </w:r>
      <w:r>
        <w:fldChar w:fldCharType="begin"/>
      </w:r>
      <w:r>
        <w:rPr>
          <w:sz w:val="23"/>
          <w:vanish/>
        </w:rPr>
        <w:instrText xml:space="preserve"> TC "17.4</w:instrText>
        <w:tab/>
        <w:instrText xml:space="preserve">Events of Force Majeure672" \l 1 </w:instrText>
      </w:r>
      <w:r>
        <w:rPr>
          <w:sz w:val="23"/>
          <w:vanish/>
        </w:rPr>
        <w:fldChar w:fldCharType="separate"/>
      </w:r>
      <w:bookmarkStart w:id="466" w:name="_Toc493577546"/>
      <w:bookmarkStart w:id="467" w:name="_Toc497199003"/>
      <w:bookmarkStart w:id="468" w:name="_Toc496784958"/>
      <w:bookmarkStart w:id="469" w:name="_Toc496784681"/>
      <w:bookmarkEnd w:id="466"/>
      <w:bookmarkEnd w:id="467"/>
      <w:bookmarkEnd w:id="468"/>
      <w:bookmarkEnd w:id="469"/>
      <w:r>
        <w:rPr>
          <w:vanish/>
          <w:sz w:val="23"/>
        </w:rPr>
      </w:r>
      <w:r>
        <w:rPr>
          <w:sz w:val="23"/>
          <w:vanish/>
        </w:rPr>
        <w:fldChar w:fldCharType="end"/>
      </w:r>
      <w:r>
        <w:rPr>
          <w:sz w:val="23"/>
        </w:rPr>
        <w:t xml:space="preserve">    </w:t>
      </w:r>
      <w:r>
        <w:rPr>
          <w:strike/>
          <w:sz w:val="23"/>
        </w:rPr>
        <w:t>&lt;&lt;*&gt;&gt;</w:t>
      </w:r>
      <w:r>
        <w:rPr>
          <w:sz w:val="23"/>
        </w:rPr>
        <w:t>Subject to the provisions of Sections 17.2 and 17.5, Events of Force Majeure shall mean the following:</w:t>
      </w:r>
    </w:p>
    <w:p>
      <w:pPr>
        <w:pStyle w:val="bodytext1"/>
        <w:bidi w:val="0"/>
        <w:spacing w:lineRule="atLeast" w:line="240"/>
        <w:ind w:firstLine="720" w:start="720"/>
        <w:jc w:val="both"/>
        <w:rPr>
          <w:rFonts w:ascii="Times New Roman" w:hAnsi="Times New Roman"/>
          <w:sz w:val="23"/>
        </w:rPr>
      </w:pPr>
      <w:r>
        <w:rPr>
          <w:sz w:val="23"/>
        </w:rPr>
        <w:t>(a)</w:t>
        <w:tab/>
        <w:t>explosions, fires, nuclear radiation contamination, hurricanes, earthquakes, floods, natural disasters, epidemics, other acts of God, and any other similar circumstances;</w:t>
      </w:r>
    </w:p>
    <w:p>
      <w:pPr>
        <w:pStyle w:val="bodytext1"/>
        <w:bidi w:val="0"/>
        <w:spacing w:lineRule="atLeast" w:line="240"/>
        <w:ind w:firstLine="720" w:start="720"/>
        <w:jc w:val="both"/>
        <w:rPr>
          <w:rFonts w:ascii="Times New Roman" w:hAnsi="Times New Roman"/>
          <w:sz w:val="23"/>
        </w:rPr>
      </w:pPr>
      <w:r>
        <w:rPr>
          <w:sz w:val="23"/>
        </w:rPr>
        <w:t>(b)</w:t>
        <w:tab/>
        <w:t>war and other hostilities (whether declared or not), revolution, public disorders, insurrection, rebellion, sabotage, acts of public officials or terrorist action;</w:t>
      </w:r>
    </w:p>
    <w:p>
      <w:pPr>
        <w:pStyle w:val="bodytext1"/>
        <w:bidi w:val="0"/>
        <w:spacing w:lineRule="atLeast" w:line="240"/>
        <w:ind w:firstLine="720" w:start="720"/>
        <w:jc w:val="both"/>
        <w:rPr>
          <w:rFonts w:ascii="Times New Roman" w:hAnsi="Times New Roman"/>
          <w:sz w:val="23"/>
        </w:rPr>
      </w:pPr>
      <w:r>
        <w:rPr>
          <w:sz w:val="23"/>
        </w:rPr>
        <w:t>(c)</w:t>
        <w:tab/>
        <w:t xml:space="preserve">any material action or material inaction taken by any national or local government or judicial authority after the date of this Agreement, including without limitation any order, legislation, enactment, judgment, ruling or decision, provided, however that such government and judicial action does not result from any breach of this Agreement or violation of applicable </w:t>
      </w:r>
      <w:r>
        <w:rPr>
          <w:strike/>
          <w:sz w:val="23"/>
        </w:rPr>
        <w:t>&lt;law&gt;</w:t>
      </w:r>
      <w:r>
        <w:rPr>
          <w:sz w:val="23"/>
        </w:rPr>
        <w:t xml:space="preserve"> </w:t>
      </w:r>
      <w:r>
        <w:rPr>
          <w:b/>
          <w:sz w:val="23"/>
          <w:u w:val="double"/>
        </w:rPr>
        <w:t>Law</w:t>
      </w:r>
      <w:r>
        <w:rPr>
          <w:sz w:val="23"/>
        </w:rPr>
        <w:t xml:space="preserve"> by the party seeking to establish such event as an Event of Force Majeure;</w:t>
      </w:r>
    </w:p>
    <w:p>
      <w:pPr>
        <w:pStyle w:val="bodytext1"/>
        <w:bidi w:val="0"/>
        <w:spacing w:lineRule="atLeast" w:line="240"/>
        <w:ind w:firstLine="720" w:start="720"/>
        <w:jc w:val="both"/>
        <w:rPr>
          <w:rFonts w:ascii="Times New Roman" w:hAnsi="Times New Roman"/>
          <w:sz w:val="23"/>
        </w:rPr>
      </w:pPr>
      <w:r>
        <w:rPr>
          <w:sz w:val="23"/>
        </w:rPr>
        <w:t>(d)</w:t>
        <w:tab/>
        <w:t xml:space="preserve">national or regional strikes and strikes specific to the Site or to Seller's manufacturing facilities;    </w:t>
      </w:r>
    </w:p>
    <w:p>
      <w:pPr>
        <w:pStyle w:val="bodytext1"/>
        <w:bidi w:val="0"/>
        <w:spacing w:lineRule="atLeast" w:line="240"/>
        <w:ind w:firstLine="720" w:start="720"/>
        <w:jc w:val="both"/>
        <w:rPr>
          <w:rFonts w:ascii="Times New Roman" w:hAnsi="Times New Roman"/>
          <w:sz w:val="23"/>
        </w:rPr>
      </w:pPr>
      <w:r>
        <w:rPr>
          <w:sz w:val="23"/>
        </w:rPr>
        <w:t>(e)</w:t>
        <w:tab/>
        <w:t>any other event beyond the party’s reasonable control, which event or the effects thereof are not attributable to failure to perform its obligations under this Agreement or to exercise reasonable efforts to prevent, avoid, delay or mitigate the effect of such event.</w:t>
      </w:r>
    </w:p>
    <w:p>
      <w:pPr>
        <w:pStyle w:val="bodytext1"/>
        <w:bidi w:val="0"/>
        <w:spacing w:lineRule="atLeast" w:line="240"/>
        <w:ind w:hanging="0" w:start="720"/>
        <w:jc w:val="both"/>
        <w:rPr>
          <w:rFonts w:ascii="Times New Roman" w:hAnsi="Times New Roman"/>
          <w:sz w:val="23"/>
        </w:rPr>
      </w:pPr>
      <w:r>
        <w:rPr>
          <w:sz w:val="23"/>
        </w:rPr>
        <w:t>17.5</w:t>
        <w:tab/>
      </w:r>
      <w:r>
        <w:rPr>
          <w:sz w:val="23"/>
          <w:u w:val="single"/>
        </w:rPr>
        <w:t>Certain Events Not Excused</w:t>
      </w:r>
      <w:r>
        <w:rPr>
          <w:sz w:val="23"/>
        </w:rPr>
        <w:t>.</w:t>
      </w:r>
      <w:r>
        <w:fldChar w:fldCharType="begin"/>
      </w:r>
      <w:r>
        <w:rPr>
          <w:sz w:val="23"/>
          <w:vanish/>
        </w:rPr>
        <w:instrText xml:space="preserve"> TC "17.5</w:instrText>
        <w:tab/>
        <w:instrText xml:space="preserve">Certain Events Not Excused672" \l 1 </w:instrText>
      </w:r>
      <w:r>
        <w:rPr>
          <w:sz w:val="23"/>
          <w:vanish/>
        </w:rPr>
        <w:fldChar w:fldCharType="separate"/>
      </w:r>
      <w:bookmarkStart w:id="470" w:name="_Toc493577547"/>
      <w:bookmarkStart w:id="471" w:name="_Toc497199004"/>
      <w:bookmarkStart w:id="472" w:name="_Toc496784959"/>
      <w:bookmarkStart w:id="473" w:name="_Toc496784682"/>
      <w:bookmarkEnd w:id="470"/>
      <w:bookmarkEnd w:id="471"/>
      <w:bookmarkEnd w:id="472"/>
      <w:bookmarkEnd w:id="473"/>
      <w:r>
        <w:rPr>
          <w:vanish/>
          <w:sz w:val="23"/>
        </w:rPr>
      </w:r>
      <w:r>
        <w:rPr>
          <w:sz w:val="23"/>
          <w:vanish/>
        </w:rPr>
        <w:fldChar w:fldCharType="end"/>
      </w:r>
      <w:r>
        <w:rPr>
          <w:sz w:val="23"/>
        </w:rPr>
        <w:t xml:space="preserve">    </w:t>
      </w:r>
      <w:r>
        <w:rPr>
          <w:strike/>
          <w:sz w:val="23"/>
        </w:rPr>
        <w:t>&lt;&lt;*&gt;&gt;</w:t>
      </w:r>
      <w:r>
        <w:rPr>
          <w:sz w:val="23"/>
        </w:rPr>
        <w:t xml:space="preserve">Notwithstanding that an Event of Force Majeure may otherwise exist and without limiting the generality or effect of any other provision of this Article 17, the provisions of this Article 17 shall not excuse: </w:t>
      </w:r>
    </w:p>
    <w:p>
      <w:pPr>
        <w:pStyle w:val="bodytext1"/>
        <w:bidi w:val="0"/>
        <w:spacing w:lineRule="atLeast" w:line="240"/>
        <w:ind w:firstLine="720" w:start="720"/>
        <w:jc w:val="both"/>
        <w:rPr>
          <w:rFonts w:ascii="Times New Roman" w:hAnsi="Times New Roman"/>
          <w:sz w:val="23"/>
        </w:rPr>
      </w:pPr>
      <w:r>
        <w:rPr>
          <w:sz w:val="23"/>
        </w:rPr>
        <w:t>(a)</w:t>
        <w:tab/>
        <w:t xml:space="preserve">late delivery of equipment or materials caused by Contractor, or caused by any of the Subcontractors of Contractor, if Contractor could have avoided such late delivery by exercising all reasonable </w:t>
      </w:r>
      <w:r>
        <w:rPr>
          <w:strike/>
          <w:sz w:val="23"/>
        </w:rPr>
        <w:t>&lt;endeavors&gt;</w:t>
      </w:r>
      <w:r>
        <w:rPr>
          <w:sz w:val="23"/>
        </w:rPr>
        <w:t xml:space="preserve"> </w:t>
      </w:r>
      <w:r>
        <w:rPr>
          <w:b/>
          <w:sz w:val="23"/>
          <w:u w:val="double"/>
        </w:rPr>
        <w:t>efforts</w:t>
      </w:r>
      <w:r>
        <w:rPr>
          <w:sz w:val="23"/>
        </w:rPr>
        <w:t xml:space="preserve"> as a prudent general contractor;</w:t>
      </w:r>
    </w:p>
    <w:p>
      <w:pPr>
        <w:pStyle w:val="bodytext1"/>
        <w:bidi w:val="0"/>
        <w:spacing w:lineRule="atLeast" w:line="240"/>
        <w:ind w:firstLine="720" w:start="720"/>
        <w:jc w:val="both"/>
        <w:rPr>
          <w:rFonts w:ascii="Times New Roman" w:hAnsi="Times New Roman"/>
          <w:sz w:val="23"/>
        </w:rPr>
      </w:pPr>
      <w:r>
        <w:rPr>
          <w:sz w:val="23"/>
        </w:rPr>
        <w:t>(b)</w:t>
        <w:tab/>
        <w:t>late performance by Contractor resulting from the late performance or default of a vendor or otherwise caused by Contractor’s failure to engage qualified Subcontractors and suppliers or to hire an adequate number of personnel or labor or by inefficiencies on the part of Contractor;</w:t>
      </w:r>
    </w:p>
    <w:p>
      <w:pPr>
        <w:pStyle w:val="bodytext1"/>
        <w:bidi w:val="0"/>
        <w:spacing w:lineRule="atLeast" w:line="240"/>
        <w:ind w:firstLine="720" w:start="720"/>
        <w:jc w:val="both"/>
        <w:rPr>
          <w:rFonts w:ascii="Times New Roman" w:hAnsi="Times New Roman"/>
          <w:sz w:val="23"/>
        </w:rPr>
      </w:pPr>
      <w:r>
        <w:rPr>
          <w:sz w:val="23"/>
        </w:rPr>
        <w:t>(c)</w:t>
        <w:tab/>
        <w:t>delays resulting from reasonably foreseeable unfavorable weather or reasonably foreseeable unsuitable ground conditions; or</w:t>
      </w:r>
    </w:p>
    <w:p>
      <w:pPr>
        <w:pStyle w:val="bodytext1"/>
        <w:bidi w:val="0"/>
        <w:spacing w:lineRule="atLeast" w:line="240"/>
        <w:ind w:firstLine="720" w:start="720"/>
        <w:jc w:val="both"/>
        <w:rPr>
          <w:rFonts w:ascii="Times New Roman" w:hAnsi="Times New Roman"/>
          <w:sz w:val="23"/>
        </w:rPr>
      </w:pPr>
      <w:r>
        <w:rPr>
          <w:sz w:val="23"/>
        </w:rPr>
        <w:t>(d)</w:t>
        <w:tab/>
        <w:t>any delay on the part of a party resulting from a cause of delay known by the party to be in existence on the date of this Agreement.</w:t>
      </w:r>
    </w:p>
    <w:p>
      <w:pPr>
        <w:pStyle w:val="bodytext1"/>
        <w:bidi w:val="0"/>
        <w:spacing w:lineRule="atLeast" w:line="240"/>
        <w:ind w:hanging="0" w:start="720"/>
        <w:jc w:val="both"/>
        <w:rPr>
          <w:rFonts w:ascii="Times New Roman" w:hAnsi="Times New Roman"/>
          <w:sz w:val="23"/>
        </w:rPr>
      </w:pPr>
      <w:r>
        <w:rPr>
          <w:sz w:val="23"/>
        </w:rPr>
        <w:t>17.6</w:t>
        <w:tab/>
      </w:r>
      <w:r>
        <w:rPr>
          <w:sz w:val="23"/>
          <w:u w:val="single"/>
        </w:rPr>
        <w:t>Continued Performance</w:t>
      </w:r>
      <w:r>
        <w:rPr>
          <w:sz w:val="23"/>
        </w:rPr>
        <w:t>.</w:t>
      </w:r>
      <w:r>
        <w:fldChar w:fldCharType="begin"/>
      </w:r>
      <w:r>
        <w:rPr>
          <w:sz w:val="23"/>
          <w:vanish/>
        </w:rPr>
        <w:instrText xml:space="preserve"> TC "17.6</w:instrText>
        <w:tab/>
        <w:instrText xml:space="preserve">Continued Performance672" \l 1 </w:instrText>
      </w:r>
      <w:r>
        <w:rPr>
          <w:sz w:val="23"/>
          <w:vanish/>
        </w:rPr>
        <w:fldChar w:fldCharType="separate"/>
      </w:r>
      <w:bookmarkStart w:id="474" w:name="_Toc496784683"/>
      <w:bookmarkStart w:id="475" w:name="_Toc496784960"/>
      <w:bookmarkStart w:id="476" w:name="_Toc497199005"/>
      <w:bookmarkStart w:id="477" w:name="_Toc493577548"/>
      <w:bookmarkEnd w:id="474"/>
      <w:bookmarkEnd w:id="475"/>
      <w:bookmarkEnd w:id="476"/>
      <w:bookmarkEnd w:id="477"/>
      <w:r>
        <w:rPr>
          <w:vanish/>
          <w:sz w:val="23"/>
        </w:rPr>
      </w:r>
      <w:r>
        <w:rPr>
          <w:sz w:val="23"/>
          <w:vanish/>
        </w:rPr>
        <w:fldChar w:fldCharType="end"/>
      </w:r>
      <w:r>
        <w:rPr>
          <w:sz w:val="23"/>
        </w:rPr>
        <w:t xml:space="preserve">    </w:t>
      </w:r>
      <w:r>
        <w:rPr>
          <w:strike/>
          <w:sz w:val="23"/>
        </w:rPr>
        <w:t>&lt;&lt;*&gt;&gt;</w:t>
      </w:r>
      <w:r>
        <w:rPr>
          <w:sz w:val="23"/>
        </w:rPr>
        <w:t>Upon the occurrence of any Event of Force Majeure, the parties shall endeavor to continue to perform their obligations under this Agreement so far as reasonably practicable and Contractor shall, during the period of such circumstances, protect and secure the Work and Equipment in such manner as Owner shall require.    Contractor shall notify Owner of the steps it proposes to take, including any reasonable alternative means for performance of the Scope of Work not prevented by the Event of Force Majeure.</w:t>
      </w:r>
    </w:p>
    <w:p>
      <w:pPr>
        <w:pStyle w:val="bodytext1"/>
        <w:bidi w:val="0"/>
        <w:spacing w:lineRule="atLeast" w:line="240"/>
        <w:ind w:hanging="0" w:start="720"/>
        <w:jc w:val="both"/>
        <w:rPr>
          <w:rFonts w:ascii="Times New Roman" w:hAnsi="Times New Roman"/>
          <w:sz w:val="23"/>
        </w:rPr>
      </w:pPr>
      <w:r>
        <w:rPr>
          <w:sz w:val="23"/>
        </w:rPr>
        <w:t>17.7</w:t>
        <w:tab/>
      </w:r>
      <w:r>
        <w:rPr>
          <w:sz w:val="23"/>
          <w:u w:val="single"/>
        </w:rPr>
        <w:t>Event of Force Majeure - Cost</w:t>
      </w:r>
      <w:r>
        <w:rPr>
          <w:sz w:val="23"/>
        </w:rPr>
        <w:t>.</w:t>
      </w:r>
      <w:r>
        <w:fldChar w:fldCharType="begin"/>
      </w:r>
      <w:r>
        <w:rPr>
          <w:sz w:val="23"/>
          <w:vanish/>
        </w:rPr>
        <w:instrText xml:space="preserve"> TC "17.7</w:instrText>
        <w:tab/>
        <w:instrText xml:space="preserve">Event of Force Majeure -  Cost672" \l 1 </w:instrText>
      </w:r>
      <w:r>
        <w:rPr>
          <w:sz w:val="23"/>
          <w:vanish/>
        </w:rPr>
        <w:fldChar w:fldCharType="separate"/>
      </w:r>
      <w:bookmarkStart w:id="478" w:name="_Toc497199006"/>
      <w:bookmarkStart w:id="479" w:name="_Toc496784961"/>
      <w:bookmarkStart w:id="480" w:name="_Toc496784684"/>
      <w:bookmarkStart w:id="481" w:name="_Toc493577549"/>
      <w:bookmarkEnd w:id="478"/>
      <w:bookmarkEnd w:id="479"/>
      <w:bookmarkEnd w:id="480"/>
      <w:bookmarkEnd w:id="481"/>
      <w:r>
        <w:rPr>
          <w:vanish/>
          <w:sz w:val="23"/>
        </w:rPr>
      </w:r>
      <w:r>
        <w:rPr>
          <w:sz w:val="23"/>
          <w:vanish/>
        </w:rPr>
        <w:fldChar w:fldCharType="end"/>
      </w:r>
      <w:r>
        <w:rPr>
          <w:sz w:val="23"/>
        </w:rPr>
        <w:t xml:space="preserve">    </w:t>
      </w:r>
      <w:r>
        <w:rPr>
          <w:strike/>
          <w:sz w:val="23"/>
        </w:rPr>
        <w:t>&lt;&lt;*&gt;&gt;</w:t>
      </w:r>
      <w:r>
        <w:rPr>
          <w:sz w:val="23"/>
        </w:rPr>
        <w:t xml:space="preserve">Contractor shall bear its own delay costs with respect to the Scope of Work occasioned by any Event of Force Majeure for the first </w:t>
      </w:r>
      <w:r>
        <w:rPr>
          <w:b/>
          <w:sz w:val="23"/>
          <w:u w:val="double"/>
        </w:rPr>
        <w:t>[</w:t>
      </w:r>
      <w:r>
        <w:rPr>
          <w:b/>
          <w:sz w:val="23"/>
        </w:rPr>
        <w:t>thirty (30)</w:t>
      </w:r>
      <w:r>
        <w:rPr>
          <w:b/>
          <w:sz w:val="23"/>
          <w:u w:val="double"/>
        </w:rPr>
        <w:t>]</w:t>
      </w:r>
      <w:r>
        <w:rPr>
          <w:sz w:val="23"/>
        </w:rPr>
        <w:t xml:space="preserve"> day period during the occurrence or continuance of each such Event of Force Majeure.    If an Event of Force Majeure continues beyond such </w:t>
      </w:r>
      <w:r>
        <w:rPr>
          <w:b/>
          <w:sz w:val="23"/>
          <w:u w:val="double"/>
        </w:rPr>
        <w:t>[</w:t>
      </w:r>
      <w:r>
        <w:rPr>
          <w:b/>
          <w:sz w:val="23"/>
        </w:rPr>
        <w:t>thirty (30)</w:t>
      </w:r>
      <w:r>
        <w:rPr>
          <w:b/>
          <w:sz w:val="23"/>
          <w:u w:val="double"/>
        </w:rPr>
        <w:t>]</w:t>
      </w:r>
      <w:r>
        <w:rPr>
          <w:sz w:val="23"/>
        </w:rPr>
        <w:t xml:space="preserve"> day period, provided Contractor has properly invoked and observed the provisions of Section 17.3 in respect thereof, Contractor shall be entitled, subject to the provisions of Section 6.3, to recover delay costs with respect to the Work occasioned by each such Event of Force Majeure which accrue after each such </w:t>
      </w:r>
      <w:r>
        <w:rPr>
          <w:b/>
          <w:sz w:val="23"/>
          <w:u w:val="double"/>
        </w:rPr>
        <w:t>[</w:t>
      </w:r>
      <w:r>
        <w:rPr>
          <w:b/>
          <w:sz w:val="23"/>
        </w:rPr>
        <w:t>thirty (30)</w:t>
      </w:r>
      <w:r>
        <w:rPr>
          <w:b/>
          <w:sz w:val="23"/>
          <w:u w:val="double"/>
        </w:rPr>
        <w:t>]</w:t>
      </w:r>
      <w:r>
        <w:rPr>
          <w:sz w:val="23"/>
        </w:rPr>
        <w:t xml:space="preserve"> day period and the Contract Price shall be adjusted in accordance with Article 6.</w:t>
      </w:r>
    </w:p>
    <w:p>
      <w:pPr>
        <w:pStyle w:val="BodyText"/>
        <w:bidi w:val="0"/>
        <w:rPr>
          <w:rFonts w:ascii="Times New Roman" w:hAnsi="Times New Roman"/>
        </w:rPr>
      </w:pPr>
      <w:r>
        <w:rPr/>
      </w:r>
    </w:p>
    <w:p>
      <w:pPr>
        <w:pStyle w:val="Style1toc"/>
        <w:keepNext w:val="true"/>
        <w:bidi w:val="0"/>
        <w:rPr>
          <w:rFonts w:ascii="Times New Roman" w:hAnsi="Times New Roman"/>
        </w:rPr>
      </w:pPr>
      <w:r>
        <w:rPr/>
        <w:t>ARTICLE 18</w:t>
      </w:r>
      <w:r>
        <w:fldChar w:fldCharType="begin"/>
      </w:r>
      <w:r>
        <w:rPr>
          <w:vanish/>
        </w:rPr>
        <w:instrText xml:space="preserve"> TC "ARTICLE 18  INDEMNITIES671" \l 1 </w:instrText>
      </w:r>
      <w:r>
        <w:rPr>
          <w:vanish/>
        </w:rPr>
        <w:fldChar w:fldCharType="separate"/>
      </w:r>
      <w:bookmarkStart w:id="482" w:name="_Toc493577550"/>
      <w:bookmarkStart w:id="483" w:name="_Toc497199007"/>
      <w:bookmarkStart w:id="484" w:name="_Toc496784962"/>
      <w:bookmarkStart w:id="485" w:name="_Toc496784685"/>
      <w:bookmarkEnd w:id="482"/>
      <w:bookmarkEnd w:id="483"/>
      <w:bookmarkEnd w:id="484"/>
      <w:bookmarkEnd w:id="485"/>
      <w:r>
        <w:rPr>
          <w:vanish/>
        </w:rPr>
      </w:r>
      <w:r>
        <w:rPr>
          <w:vanish/>
        </w:rPr>
        <w:fldChar w:fldCharType="end"/>
      </w:r>
      <w:r>
        <w:rPr>
          <w:strike/>
        </w:rPr>
        <w:t>&lt;&lt;*&gt;&gt;</w:t>
      </w:r>
    </w:p>
    <w:p>
      <w:pPr>
        <w:pStyle w:val="Style1toc"/>
        <w:keepNext w:val="true"/>
        <w:bidi w:val="0"/>
        <w:rPr>
          <w:rFonts w:ascii="Times New Roman" w:hAnsi="Times New Roman"/>
        </w:rPr>
      </w:pPr>
      <w:r>
        <w:rPr/>
        <w:t>INDEMNITIES</w:t>
      </w:r>
    </w:p>
    <w:p>
      <w:pPr>
        <w:pStyle w:val="bodytext1"/>
        <w:bidi w:val="0"/>
        <w:spacing w:lineRule="atLeast" w:line="240"/>
        <w:ind w:hanging="0" w:start="720"/>
        <w:jc w:val="both"/>
        <w:rPr>
          <w:rFonts w:ascii="Times New Roman" w:hAnsi="Times New Roman"/>
          <w:sz w:val="23"/>
        </w:rPr>
      </w:pPr>
      <w:r>
        <w:rPr>
          <w:sz w:val="23"/>
        </w:rPr>
        <w:t>18.1</w:t>
        <w:tab/>
      </w:r>
      <w:r>
        <w:rPr>
          <w:sz w:val="23"/>
          <w:u w:val="single"/>
        </w:rPr>
        <w:t>Contractor Indemnity</w:t>
      </w:r>
      <w:r>
        <w:fldChar w:fldCharType="begin"/>
      </w:r>
      <w:r>
        <w:rPr>
          <w:sz w:val="23"/>
          <w:u w:val="single"/>
          <w:vanish/>
        </w:rPr>
        <w:instrText xml:space="preserve"> TC "18.1</w:instrText>
        <w:tab/>
        <w:instrText xml:space="preserve">Contractor Indemnity672" \l 1 </w:instrText>
      </w:r>
      <w:r>
        <w:rPr>
          <w:sz w:val="23"/>
          <w:u w:val="single"/>
          <w:vanish/>
        </w:rPr>
        <w:fldChar w:fldCharType="separate"/>
      </w:r>
      <w:bookmarkStart w:id="486" w:name="_Toc496784963"/>
      <w:bookmarkStart w:id="487" w:name="_Toc497199008"/>
      <w:bookmarkEnd w:id="486"/>
      <w:bookmarkEnd w:id="487"/>
      <w:r>
        <w:rPr>
          <w:vanish/>
          <w:sz w:val="23"/>
          <w:u w:val="single"/>
        </w:rPr>
      </w:r>
      <w:r>
        <w:rPr>
          <w:sz w:val="23"/>
          <w:u w:val="single"/>
          <w:vanish/>
        </w:rPr>
        <w:fldChar w:fldCharType="end"/>
      </w:r>
      <w:r>
        <w:rPr>
          <w:strike/>
          <w:sz w:val="23"/>
        </w:rPr>
        <w:t>&lt;&lt;*&gt;&gt;</w:t>
      </w:r>
      <w:r>
        <w:rPr>
          <w:sz w:val="23"/>
        </w:rPr>
        <w:t xml:space="preserve">.    Contractor shall indemnify, defend and hold harmless Owner Indemnitees from and against all (a) demands, liens or other encumbrances on Owner, the Work, the Facility, or Owner’s property and (b) claims, losses, damages, causes of action, liabilities and expenses, including without limitation experts’ and attorneys’ fees and costs (collectively “Losses”), of every kind or character (including those arising in favor of or brought by any of Contractor’s employees, agents, Subcontractors, or representatives, or by any governmental agency or any other third party) to the extent caused by (i) the </w:t>
      </w:r>
      <w:r>
        <w:rPr>
          <w:strike/>
          <w:sz w:val="23"/>
        </w:rPr>
        <w:t>&lt;failure&gt;</w:t>
      </w:r>
      <w:r>
        <w:rPr>
          <w:sz w:val="23"/>
        </w:rPr>
        <w:t xml:space="preserve"> </w:t>
      </w:r>
      <w:r>
        <w:rPr>
          <w:b/>
          <w:sz w:val="23"/>
          <w:u w:val="double"/>
        </w:rPr>
        <w:t>negligence or willful misconduct</w:t>
      </w:r>
      <w:r>
        <w:rPr>
          <w:sz w:val="23"/>
        </w:rPr>
        <w:t xml:space="preserve"> of Contractor, any Subcontractor, their respective employees and agents and others for whom Contractor is responsible</w:t>
      </w:r>
      <w:r>
        <w:rPr>
          <w:strike/>
          <w:sz w:val="23"/>
        </w:rPr>
        <w:t>&lt;, to comply with this Agreement or any of their negligence or willful misconduct&gt;</w:t>
      </w:r>
      <w:r>
        <w:rPr>
          <w:sz w:val="23"/>
        </w:rPr>
        <w:t xml:space="preserve"> or (ii) infringement of patents or the improper use of other proprietary or intellectual property rights which may occur in connection with Contractor’s or any Subcontractor’s performance of the Work or breach of any warranty set forth in Section 20.6 (provided that Contractor shall have no indemnity obligations hereunder with respect to any Losses arising out of use of Equipment in combination with devices or products other than as intended in connection with the Facility); provided, however, that Contractor’s contractual indemnity obligation shall not extend to the percentage of any Owner Indemnitee’s Losses attributable to that Owner Indemnitee’s negligence, breach of a contract or warranty or to strict liability imposed upon that Owner Indemnitee as a matter of law. 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w:t>
      </w:r>
      <w:r>
        <w:rPr>
          <w:strike/>
          <w:sz w:val="23"/>
        </w:rPr>
        <w:t>&lt;, and shall not be limited by any insurance carried or provided by Contractor in accordance with this Agreement or otherwise&gt;</w:t>
      </w:r>
      <w:r>
        <w:rPr>
          <w:sz w:val="23"/>
        </w:rPr>
        <w:t>.</w:t>
      </w:r>
    </w:p>
    <w:p>
      <w:pPr>
        <w:pStyle w:val="bodytext1"/>
        <w:bidi w:val="0"/>
        <w:spacing w:lineRule="atLeast" w:line="240"/>
        <w:ind w:hanging="0" w:start="720"/>
        <w:jc w:val="both"/>
        <w:rPr>
          <w:rFonts w:ascii="Times New Roman" w:hAnsi="Times New Roman"/>
          <w:sz w:val="23"/>
        </w:rPr>
      </w:pPr>
      <w:r>
        <w:rPr>
          <w:sz w:val="23"/>
        </w:rPr>
        <w:t>18.2</w:t>
        <w:tab/>
      </w:r>
      <w:r>
        <w:rPr>
          <w:sz w:val="23"/>
          <w:u w:val="single"/>
        </w:rPr>
        <w:t>Owner Indemnity</w:t>
      </w:r>
      <w:r>
        <w:fldChar w:fldCharType="begin"/>
      </w:r>
      <w:r>
        <w:rPr>
          <w:sz w:val="23"/>
          <w:u w:val="single"/>
          <w:vanish/>
        </w:rPr>
        <w:instrText xml:space="preserve"> TC "18.2</w:instrText>
        <w:tab/>
        <w:instrText xml:space="preserve">Owner Indemnity672" \l 1 </w:instrText>
      </w:r>
      <w:r>
        <w:rPr>
          <w:sz w:val="23"/>
          <w:u w:val="single"/>
          <w:vanish/>
        </w:rPr>
        <w:fldChar w:fldCharType="separate"/>
      </w:r>
      <w:bookmarkStart w:id="488" w:name="_Toc493577551"/>
      <w:bookmarkStart w:id="489" w:name="_Toc497199009"/>
      <w:bookmarkStart w:id="490" w:name="_Toc496784964"/>
      <w:bookmarkStart w:id="491" w:name="_Toc496784686"/>
      <w:bookmarkEnd w:id="488"/>
      <w:bookmarkEnd w:id="489"/>
      <w:bookmarkEnd w:id="490"/>
      <w:bookmarkEnd w:id="491"/>
      <w:r>
        <w:rPr>
          <w:vanish/>
          <w:sz w:val="23"/>
          <w:u w:val="single"/>
        </w:rPr>
      </w:r>
      <w:r>
        <w:rPr>
          <w:sz w:val="23"/>
          <w:u w:val="single"/>
          <w:vanish/>
        </w:rPr>
        <w:fldChar w:fldCharType="end"/>
      </w:r>
      <w:r>
        <w:rPr>
          <w:strike/>
          <w:sz w:val="23"/>
        </w:rPr>
        <w:t>&lt;&lt;*&gt;&gt;</w:t>
      </w:r>
      <w:r>
        <w:rPr>
          <w:sz w:val="23"/>
        </w:rPr>
        <w:t xml:space="preserve">.    Owner shall indemnify, defend and hold harmless Contractor Indemnitees from and against all third party losses attributable to bodily injury (including death) or property damage of third parties to the extent caused by </w:t>
      </w:r>
      <w:r>
        <w:rPr>
          <w:strike/>
          <w:sz w:val="23"/>
        </w:rPr>
        <w:t>&lt;(a) the failure&gt;</w:t>
      </w:r>
      <w:r>
        <w:rPr>
          <w:sz w:val="23"/>
        </w:rPr>
        <w:t xml:space="preserve"> </w:t>
      </w:r>
      <w:r>
        <w:rPr>
          <w:b/>
          <w:sz w:val="23"/>
          <w:u w:val="double"/>
        </w:rPr>
        <w:t>the negligence or willful misconduct</w:t>
      </w:r>
      <w:r>
        <w:rPr>
          <w:sz w:val="23"/>
        </w:rPr>
        <w:t xml:space="preserve"> of Owner</w:t>
      </w:r>
      <w:r>
        <w:rPr>
          <w:b/>
          <w:sz w:val="23"/>
          <w:u w:val="double"/>
        </w:rPr>
        <w:t>[</w:t>
      </w:r>
      <w:r>
        <w:rPr>
          <w:b/>
          <w:sz w:val="23"/>
        </w:rPr>
        <w:t xml:space="preserve">, its employees, agents or others for whom Owner is responsible </w:t>
      </w:r>
      <w:r>
        <w:rPr>
          <w:b/>
          <w:strike/>
          <w:sz w:val="23"/>
        </w:rPr>
        <w:t>&lt;to comply with this Agreement or any of their negligence or willful misconduct, (b) the presence of Hazardous Substances existing at the Site on the Effective Date, but excluding any negligent disturbance of Hazardous Substances caused directly or indirectly by any Contractor Indemnitor or by Contractor’s breach of Section 3.18.1 or (c) Owner’s use of the drawings and other materials specified in Section 18.1 for work on which Contractor is not retained; provided, however, that Owner’s contractual indemnity obligation shall not extend to the percentage of any Contractor Indemnitee’s Losses attributable to that Contractor Indemnitee’s negligence, breach of a contract or warranty or to strict liability imposed upon that Contractor Indemnitee as a matter of law&gt;</w:t>
      </w:r>
      <w:r>
        <w:rPr>
          <w:b/>
          <w:sz w:val="23"/>
          <w:u w:val="double"/>
        </w:rPr>
        <w:t>]</w:t>
      </w:r>
      <w:r>
        <w:rPr>
          <w:sz w:val="23"/>
        </w:rPr>
        <w:t>.    This indemnification obligation shall apply regardless of the amount of insurance coverage held by Owner, including that under any worker’s compensation act, disability act, or other act or law which would limit the amount or type of damages, compensation, or benefits payable by or for Owner</w:t>
      </w:r>
      <w:r>
        <w:rPr>
          <w:strike/>
          <w:sz w:val="23"/>
        </w:rPr>
        <w:t>&lt;, and shall not be limited by any insurance carried or provided by Owner in accordance with this Agreement or otherwise&gt;</w:t>
      </w:r>
      <w:r>
        <w:rPr>
          <w:sz w:val="23"/>
        </w:rPr>
        <w:t>.    Owner’s contractual obligation of indemnification under this Section 18.2 shall not extend to claims of any of Contractor’s or Subcontractors’ employees or agents.</w:t>
      </w:r>
    </w:p>
    <w:p>
      <w:pPr>
        <w:pStyle w:val="bodytext1"/>
        <w:tabs>
          <w:tab w:val="clear" w:pos="720"/>
          <w:tab w:val="left" w:pos="1440" w:leader="none"/>
        </w:tabs>
        <w:bidi w:val="0"/>
        <w:spacing w:lineRule="atLeast" w:line="240"/>
        <w:ind w:hanging="720" w:start="1440"/>
        <w:jc w:val="both"/>
        <w:rPr>
          <w:rFonts w:ascii="Times New Roman" w:hAnsi="Times New Roman"/>
          <w:b/>
          <w:sz w:val="23"/>
          <w:u w:val="double"/>
        </w:rPr>
      </w:pPr>
      <w:r>
        <w:rPr>
          <w:sz w:val="23"/>
        </w:rPr>
        <w:t>18.3</w:t>
        <w:tab/>
      </w:r>
      <w:r>
        <w:rPr>
          <w:b/>
          <w:sz w:val="23"/>
          <w:u w:val="double"/>
        </w:rPr>
        <w:t>Construction Manager Indemnity.    Construction Manager shall indemnify, defend and hold harmless Contractor Indemnitees from and against any and all claims, demands, losses, damages, causes of action, suits and liabilities (including expenses of litigation, court costs and reasonable attorney’s fees):</w:t>
      </w:r>
    </w:p>
    <w:p>
      <w:pPr>
        <w:pStyle w:val="bodytext1"/>
        <w:numPr>
          <w:ilvl w:val="0"/>
          <w:numId w:val="1"/>
        </w:numPr>
        <w:tabs>
          <w:tab w:val="clear" w:pos="720"/>
          <w:tab w:val="left" w:pos="2160" w:leader="none"/>
        </w:tabs>
        <w:bidi w:val="0"/>
        <w:spacing w:lineRule="atLeast" w:line="240"/>
        <w:ind w:hanging="720" w:start="2160"/>
        <w:jc w:val="both"/>
        <w:rPr>
          <w:rFonts w:ascii="Times New Roman" w:hAnsi="Times New Roman"/>
          <w:b/>
          <w:sz w:val="23"/>
          <w:u w:val="double"/>
        </w:rPr>
      </w:pPr>
      <w:r>
        <w:rPr>
          <w:b/>
          <w:sz w:val="23"/>
          <w:u w:val="double"/>
        </w:rPr>
        <w:t>attributable to bodily injury (including death) of any person or property damage of third parties to the extent caused by the gross negligence or willful misconduct of any of the Owner Indemnitees, or</w:t>
      </w:r>
    </w:p>
    <w:p>
      <w:pPr>
        <w:pStyle w:val="bodytext1"/>
        <w:numPr>
          <w:ilvl w:val="0"/>
          <w:numId w:val="1"/>
        </w:numPr>
        <w:tabs>
          <w:tab w:val="clear" w:pos="720"/>
          <w:tab w:val="left" w:pos="2160" w:leader="none"/>
        </w:tabs>
        <w:bidi w:val="0"/>
        <w:spacing w:lineRule="atLeast" w:line="240"/>
        <w:ind w:hanging="720" w:start="2160"/>
        <w:jc w:val="both"/>
        <w:rPr>
          <w:rFonts w:ascii="Times New Roman" w:hAnsi="Times New Roman"/>
          <w:b/>
          <w:sz w:val="23"/>
          <w:u w:val="double"/>
        </w:rPr>
      </w:pPr>
      <w:r>
        <w:rPr>
          <w:b/>
          <w:sz w:val="23"/>
          <w:u w:val="double"/>
        </w:rPr>
        <w:t>attributable to bodily injury (including death) or property damage (including property of any Contractor Indemnitee and of third parties) caused by any spill or release of Hazardous Substances for which Construction Manager is responsible under Section 3.18 [?]</w:t>
      </w:r>
      <w:r>
        <w:rPr>
          <w:sz w:val="23"/>
        </w:rPr>
        <w:t xml:space="preserve"> </w:t>
      </w:r>
      <w:r>
        <w:rPr>
          <w:b/>
          <w:sz w:val="23"/>
          <w:u w:val="double"/>
        </w:rPr>
        <w:t>unless such injury or damage is caused by the gross negligence or willful misconduct of any Contractor Indemnitee.</w:t>
      </w:r>
    </w:p>
    <w:p>
      <w:pPr>
        <w:pStyle w:val="bodytext1"/>
        <w:bidi w:val="0"/>
        <w:spacing w:lineRule="atLeast" w:line="240"/>
        <w:ind w:hanging="0" w:start="720"/>
        <w:jc w:val="both"/>
        <w:rPr>
          <w:rFonts w:ascii="Times New Roman" w:hAnsi="Times New Roman"/>
          <w:sz w:val="23"/>
        </w:rPr>
      </w:pPr>
      <w:r>
        <w:rPr>
          <w:b/>
          <w:sz w:val="23"/>
          <w:u w:val="double"/>
        </w:rPr>
        <w:t>18.4</w:t>
      </w:r>
      <w:r>
        <w:rPr>
          <w:sz w:val="23"/>
        </w:rPr>
        <w:tab/>
      </w:r>
      <w:r>
        <w:rPr>
          <w:sz w:val="23"/>
          <w:u w:val="single"/>
        </w:rPr>
        <w:t>Contributory Negligence</w:t>
      </w:r>
      <w:r>
        <w:fldChar w:fldCharType="begin"/>
      </w:r>
      <w:r>
        <w:rPr>
          <w:sz w:val="23"/>
          <w:u w:val="single"/>
          <w:vanish/>
        </w:rPr>
        <w:instrText xml:space="preserve"> TC "18.3</w:instrText>
        <w:tab/>
        <w:instrText xml:space="preserve">Contributory Negligence672" \l 1 </w:instrText>
      </w:r>
      <w:r>
        <w:rPr>
          <w:sz w:val="23"/>
          <w:u w:val="single"/>
          <w:vanish/>
        </w:rPr>
        <w:fldChar w:fldCharType="separate"/>
      </w:r>
      <w:bookmarkStart w:id="492" w:name="_Toc496784687"/>
      <w:bookmarkStart w:id="493" w:name="_Toc496784965"/>
      <w:bookmarkStart w:id="494" w:name="_Toc493577552"/>
      <w:bookmarkStart w:id="495" w:name="_Toc497199010"/>
      <w:bookmarkEnd w:id="492"/>
      <w:bookmarkEnd w:id="493"/>
      <w:bookmarkEnd w:id="494"/>
      <w:bookmarkEnd w:id="495"/>
      <w:r>
        <w:rPr>
          <w:vanish/>
          <w:sz w:val="23"/>
          <w:u w:val="single"/>
        </w:rPr>
      </w:r>
      <w:r>
        <w:rPr>
          <w:sz w:val="23"/>
          <w:u w:val="single"/>
          <w:vanish/>
        </w:rPr>
        <w:fldChar w:fldCharType="end"/>
      </w:r>
      <w:r>
        <w:rPr>
          <w:strike/>
          <w:sz w:val="23"/>
        </w:rPr>
        <w:t>&lt;&lt;*&gt;&gt;</w:t>
      </w:r>
      <w:r>
        <w:rPr>
          <w:sz w:val="23"/>
        </w:rPr>
        <w:t>.    In the event that one or more of both Owner Indemnitees and Contractor Indemnitees are negligent, in breach of a contract or warranty or strictly liable as a matter of law, this contractual indemnity obligation shall continue but each of Contractor and Owner shall be liable only for its respective percentage of responsibility for the Losses claimed</w:t>
      </w:r>
      <w:r>
        <w:rPr>
          <w:strike/>
          <w:sz w:val="23"/>
        </w:rPr>
        <w:t>&lt;&lt;*&gt;&gt;</w:t>
      </w:r>
      <w:r>
        <w:rPr>
          <w:sz w:val="23"/>
        </w:rPr>
        <w:t>.</w:t>
      </w:r>
    </w:p>
    <w:p>
      <w:pPr>
        <w:pStyle w:val="bodytext1"/>
        <w:bidi w:val="0"/>
        <w:spacing w:lineRule="atLeast" w:line="240"/>
        <w:ind w:hanging="0" w:start="720"/>
        <w:jc w:val="both"/>
        <w:rPr>
          <w:rFonts w:ascii="Times New Roman" w:hAnsi="Times New Roman"/>
          <w:sz w:val="23"/>
        </w:rPr>
      </w:pPr>
      <w:r>
        <w:rPr>
          <w:strike/>
          <w:sz w:val="23"/>
        </w:rPr>
        <w:t>&lt;18.4&gt;</w:t>
      </w:r>
      <w:r>
        <w:rPr>
          <w:sz w:val="23"/>
        </w:rPr>
        <w:t xml:space="preserve"> </w:t>
      </w:r>
      <w:r>
        <w:rPr>
          <w:b/>
          <w:sz w:val="23"/>
          <w:u w:val="double"/>
        </w:rPr>
        <w:t>18.5</w:t>
      </w:r>
      <w:r>
        <w:rPr>
          <w:sz w:val="23"/>
        </w:rPr>
        <w:tab/>
      </w:r>
      <w:r>
        <w:rPr>
          <w:sz w:val="23"/>
          <w:u w:val="single"/>
        </w:rPr>
        <w:t>Notice</w:t>
      </w:r>
      <w:r>
        <w:fldChar w:fldCharType="begin"/>
      </w:r>
      <w:r>
        <w:rPr>
          <w:sz w:val="23"/>
          <w:u w:val="single"/>
          <w:vanish/>
        </w:rPr>
        <w:instrText xml:space="preserve"> TC "18.4</w:instrText>
        <w:tab/>
        <w:instrText xml:space="preserve">Notice672" \l 1 </w:instrText>
      </w:r>
      <w:r>
        <w:rPr>
          <w:sz w:val="23"/>
          <w:u w:val="single"/>
          <w:vanish/>
        </w:rPr>
        <w:fldChar w:fldCharType="separate"/>
      </w:r>
      <w:bookmarkStart w:id="496" w:name="_Toc493577554"/>
      <w:bookmarkStart w:id="497" w:name="_Toc497199011"/>
      <w:bookmarkStart w:id="498" w:name="_Toc496784966"/>
      <w:bookmarkStart w:id="499" w:name="_Toc496784688"/>
      <w:bookmarkEnd w:id="496"/>
      <w:bookmarkEnd w:id="497"/>
      <w:bookmarkEnd w:id="498"/>
      <w:bookmarkEnd w:id="499"/>
      <w:r>
        <w:rPr>
          <w:vanish/>
          <w:sz w:val="23"/>
          <w:u w:val="single"/>
        </w:rPr>
      </w:r>
      <w:r>
        <w:rPr>
          <w:sz w:val="23"/>
          <w:u w:val="single"/>
          <w:vanish/>
        </w:rPr>
        <w:fldChar w:fldCharType="end"/>
      </w:r>
      <w:r>
        <w:rPr>
          <w:strike/>
          <w:sz w:val="23"/>
        </w:rPr>
        <w:t>&lt;&lt;*&gt;&gt;</w:t>
      </w:r>
      <w:r>
        <w:rPr>
          <w:sz w:val="23"/>
        </w:rPr>
        <w:t>.    Each party shall promptly notify the other in writing of any claims which may be covered by the indemnities set forth in this Article 18.    Without limiting the generality of the foregoing, Owner shall notify Contractor in writing as soon as Owner shall receive notice of any claims of infringement of patents or other proprietary rights occurring in connection with Contractor’s performance of the Work.    In turn, Contractor shall timely notify Owner in writing of any claims which Contractor may receive alleging infringement of patents or other proprietary rights which may affect Contractor’s performance of the Work.</w:t>
      </w:r>
    </w:p>
    <w:p>
      <w:pPr>
        <w:pStyle w:val="bodytext1"/>
        <w:bidi w:val="0"/>
        <w:spacing w:lineRule="atLeast" w:line="240"/>
        <w:ind w:hanging="0" w:start="720"/>
        <w:jc w:val="both"/>
        <w:rPr>
          <w:rFonts w:ascii="Times New Roman" w:hAnsi="Times New Roman"/>
          <w:sz w:val="23"/>
        </w:rPr>
      </w:pPr>
      <w:r>
        <w:rPr>
          <w:strike/>
          <w:sz w:val="23"/>
        </w:rPr>
        <w:t>&lt;18.5&gt;</w:t>
      </w:r>
      <w:r>
        <w:rPr>
          <w:sz w:val="23"/>
        </w:rPr>
        <w:t xml:space="preserve"> </w:t>
      </w:r>
      <w:r>
        <w:rPr>
          <w:b/>
          <w:sz w:val="23"/>
          <w:u w:val="double"/>
        </w:rPr>
        <w:t>18.6</w:t>
      </w:r>
      <w:r>
        <w:rPr>
          <w:sz w:val="23"/>
        </w:rPr>
        <w:tab/>
      </w:r>
      <w:r>
        <w:rPr>
          <w:sz w:val="23"/>
          <w:u w:val="single"/>
        </w:rPr>
        <w:t>Defense of Claims</w:t>
      </w:r>
      <w:r>
        <w:fldChar w:fldCharType="begin"/>
      </w:r>
      <w:r>
        <w:rPr>
          <w:sz w:val="23"/>
          <w:u w:val="single"/>
          <w:vanish/>
        </w:rPr>
        <w:instrText xml:space="preserve"> TC "18.5</w:instrText>
        <w:tab/>
        <w:instrText xml:space="preserve">Defense of Claims672" \l 1 </w:instrText>
      </w:r>
      <w:r>
        <w:rPr>
          <w:sz w:val="23"/>
          <w:u w:val="single"/>
          <w:vanish/>
        </w:rPr>
        <w:fldChar w:fldCharType="separate"/>
      </w:r>
      <w:bookmarkStart w:id="500" w:name="_Toc496784689"/>
      <w:bookmarkStart w:id="501" w:name="_Toc496784967"/>
      <w:bookmarkStart w:id="502" w:name="_Toc497199012"/>
      <w:bookmarkStart w:id="503" w:name="_Toc493577555"/>
      <w:bookmarkEnd w:id="500"/>
      <w:bookmarkEnd w:id="501"/>
      <w:bookmarkEnd w:id="502"/>
      <w:bookmarkEnd w:id="503"/>
      <w:r>
        <w:rPr>
          <w:vanish/>
          <w:sz w:val="23"/>
          <w:u w:val="single"/>
        </w:rPr>
      </w:r>
      <w:r>
        <w:rPr>
          <w:sz w:val="23"/>
          <w:u w:val="single"/>
          <w:vanish/>
        </w:rPr>
        <w:fldChar w:fldCharType="end"/>
      </w:r>
      <w:r>
        <w:rPr>
          <w:strike/>
          <w:sz w:val="23"/>
        </w:rPr>
        <w:t>&lt;&lt;*&gt;&gt;</w:t>
      </w:r>
      <w:r>
        <w:rPr>
          <w:sz w:val="23"/>
        </w:rPr>
        <w:t>. The indemnifying party</w:t>
      </w:r>
      <w:r>
        <w:rPr>
          <w:strike/>
          <w:sz w:val="23"/>
        </w:rPr>
        <w:t>&lt;,&gt;</w:t>
      </w:r>
      <w:r>
        <w:rPr>
          <w:sz w:val="23"/>
        </w:rPr>
        <w:t xml:space="preserve"> under Section 18.1 </w:t>
      </w:r>
      <w:r>
        <w:rPr>
          <w:strike/>
          <w:sz w:val="23"/>
        </w:rPr>
        <w:t>&lt;or&gt;</w:t>
      </w:r>
      <w:r>
        <w:rPr>
          <w:b/>
          <w:sz w:val="23"/>
          <w:u w:val="double"/>
        </w:rPr>
        <w:t>,</w:t>
      </w:r>
      <w:r>
        <w:rPr>
          <w:sz w:val="23"/>
        </w:rPr>
        <w:t xml:space="preserve"> 18.2 </w:t>
      </w:r>
      <w:r>
        <w:rPr>
          <w:b/>
          <w:sz w:val="23"/>
          <w:u w:val="double"/>
        </w:rPr>
        <w:t>or 18.3</w:t>
      </w:r>
      <w:r>
        <w:rPr>
          <w:sz w:val="23"/>
        </w:rPr>
        <w:t xml:space="preserve"> (the “Indemnitor”) shall have sole charge and direction of the defense of any suit or proceeding based on any Losses for which Indemnitor is responsible under any such Section.    The indemnified party (the “Indemnitee”) shall give the Indemnitor such assistance as the Indemnitor may reasonably require in such defense, and shall have the right to be represented in such defense by counsel of its own choice at its own expense.    If the Indemnitor fails to defend diligently such suit or proceeding, the Indemnitee may, in its reasonable discretion, either defend such suit or proceeding or settle the claim which is the basis thereof, without the Indemnitor’s consent, but with prior notice to the Indemnitor, without relieving the Indemnitor of its obligation under Sections 18.1 </w:t>
      </w:r>
      <w:r>
        <w:rPr>
          <w:strike/>
          <w:sz w:val="23"/>
        </w:rPr>
        <w:t>&lt;or&gt;</w:t>
      </w:r>
      <w:r>
        <w:rPr>
          <w:b/>
          <w:sz w:val="23"/>
          <w:u w:val="double"/>
        </w:rPr>
        <w:t>,</w:t>
      </w:r>
      <w:r>
        <w:rPr>
          <w:sz w:val="23"/>
        </w:rPr>
        <w:t xml:space="preserve"> 18.2 </w:t>
      </w:r>
      <w:r>
        <w:rPr>
          <w:b/>
          <w:sz w:val="23"/>
          <w:u w:val="double"/>
        </w:rPr>
        <w:t>or 18.3</w:t>
      </w:r>
      <w:r>
        <w:rPr>
          <w:sz w:val="23"/>
        </w:rPr>
        <w:t xml:space="preserve"> and in either case the Indemnitor shall reimburse the Indemnitee for its expenses, court costs and reasonable attorneys’ fees.    If any claim described in Section </w:t>
      </w:r>
      <w:r>
        <w:rPr>
          <w:strike/>
          <w:sz w:val="23"/>
        </w:rPr>
        <w:t>&lt;18.1(iii)&gt;</w:t>
      </w:r>
      <w:r>
        <w:rPr>
          <w:sz w:val="23"/>
        </w:rPr>
        <w:t xml:space="preserve"> </w:t>
      </w:r>
      <w:r>
        <w:rPr>
          <w:b/>
          <w:sz w:val="23"/>
          <w:u w:val="double"/>
        </w:rPr>
        <w:t>18.1(ii)</w:t>
      </w:r>
      <w:r>
        <w:rPr>
          <w:sz w:val="23"/>
        </w:rPr>
        <w:t xml:space="preserve"> is held to constitute an infringement of any patent or other proprietary rights and use of any Equipment or process included in the Work is enjoined, Contractor </w:t>
      </w:r>
      <w:r>
        <w:rPr>
          <w:strike/>
          <w:sz w:val="23"/>
        </w:rPr>
        <w:t>&lt;shall&gt;</w:t>
      </w:r>
      <w:r>
        <w:rPr>
          <w:sz w:val="23"/>
        </w:rPr>
        <w:t xml:space="preserve"> at its own expense and at Contractor’s option </w:t>
      </w:r>
      <w:r>
        <w:rPr>
          <w:b/>
          <w:sz w:val="23"/>
          <w:u w:val="double"/>
        </w:rPr>
        <w:t>shall</w:t>
      </w:r>
      <w:r>
        <w:rPr>
          <w:sz w:val="23"/>
        </w:rPr>
        <w:t xml:space="preserve"> (a) procure for Owner the right to continue to use the infringing Equipment or process, (b) replace such Equipment or process with non-infringing equipment or process of equal utility and efficiency</w:t>
      </w:r>
      <w:r>
        <w:rPr>
          <w:strike/>
          <w:sz w:val="23"/>
        </w:rPr>
        <w:t>&lt;,&gt;</w:t>
      </w:r>
      <w:r>
        <w:rPr>
          <w:sz w:val="23"/>
        </w:rPr>
        <w:t xml:space="preserve"> or (c) modify such Equipment or process so that it becomes non-infringing without affecting its utility or efficiency; provided, however, that Contractor may elect the action described in clause (b) or (c) only if Contractor and Owner agree upon a schedule for such action which will allow Contractor to complete such action within a reasonable period of time without unreasonably interfering with </w:t>
      </w:r>
      <w:r>
        <w:rPr>
          <w:strike/>
          <w:sz w:val="23"/>
        </w:rPr>
        <w:t>&lt;the&gt;</w:t>
      </w:r>
      <w:r>
        <w:rPr>
          <w:sz w:val="23"/>
        </w:rPr>
        <w:t xml:space="preserve"> operation of the Facility.</w:t>
      </w:r>
    </w:p>
    <w:p>
      <w:pPr>
        <w:pStyle w:val="BodyText"/>
        <w:bidi w:val="0"/>
        <w:rPr>
          <w:rFonts w:ascii="Times New Roman" w:hAnsi="Times New Roman"/>
        </w:rPr>
      </w:pPr>
      <w:r>
        <w:rPr/>
      </w:r>
    </w:p>
    <w:p>
      <w:pPr>
        <w:pStyle w:val="Style1toc"/>
        <w:keepNext w:val="true"/>
        <w:bidi w:val="0"/>
        <w:rPr>
          <w:rFonts w:ascii="Times New Roman" w:hAnsi="Times New Roman"/>
        </w:rPr>
      </w:pPr>
      <w:r>
        <w:rPr/>
        <w:t>ARTICLE 19</w:t>
      </w:r>
      <w:r>
        <w:fldChar w:fldCharType="begin"/>
      </w:r>
      <w:r>
        <w:rPr>
          <w:vanish/>
        </w:rPr>
        <w:instrText xml:space="preserve"> TC "ARTICLE 19  DISPUTE RESOLUTION671" \l 1 </w:instrText>
      </w:r>
      <w:r>
        <w:rPr>
          <w:vanish/>
        </w:rPr>
        <w:fldChar w:fldCharType="separate"/>
      </w:r>
      <w:bookmarkStart w:id="504" w:name="_Toc493577556"/>
      <w:bookmarkStart w:id="505" w:name="_Toc497199013"/>
      <w:bookmarkStart w:id="506" w:name="_Toc496784968"/>
      <w:bookmarkStart w:id="507" w:name="_Toc496784690"/>
      <w:bookmarkEnd w:id="504"/>
      <w:bookmarkEnd w:id="505"/>
      <w:bookmarkEnd w:id="506"/>
      <w:bookmarkEnd w:id="507"/>
      <w:r>
        <w:rPr>
          <w:vanish/>
        </w:rPr>
      </w:r>
      <w:r>
        <w:rPr>
          <w:vanish/>
        </w:rPr>
        <w:fldChar w:fldCharType="end"/>
      </w:r>
      <w:r>
        <w:rPr>
          <w:strike/>
        </w:rPr>
        <w:t>&lt;&lt;*&gt;&gt;</w:t>
      </w:r>
    </w:p>
    <w:p>
      <w:pPr>
        <w:pStyle w:val="Style1toc"/>
        <w:keepNext w:val="true"/>
        <w:bidi w:val="0"/>
        <w:rPr>
          <w:rFonts w:ascii="Times New Roman" w:hAnsi="Times New Roman"/>
        </w:rPr>
      </w:pPr>
      <w:r>
        <w:rPr/>
        <w:t>DISPUTE RESOLUTION</w:t>
      </w:r>
    </w:p>
    <w:p>
      <w:pPr>
        <w:pStyle w:val="BodyText"/>
        <w:keepNext w:val="true"/>
        <w:bidi w:val="0"/>
        <w:rPr>
          <w:rFonts w:ascii="Times New Roman" w:hAnsi="Times New Roman"/>
        </w:rPr>
      </w:pPr>
      <w:r>
        <w:rPr/>
      </w:r>
    </w:p>
    <w:p>
      <w:pPr>
        <w:pStyle w:val="BodyText"/>
        <w:keepNext w:val="true"/>
        <w:bidi w:val="0"/>
        <w:rPr>
          <w:rFonts w:ascii="Times New Roman" w:hAnsi="Times New Roman"/>
        </w:rPr>
      </w:pPr>
      <w:r>
        <w:rPr/>
        <w:t>19.1</w:t>
        <w:tab/>
      </w:r>
      <w:r>
        <w:rPr>
          <w:u w:val="single"/>
        </w:rPr>
        <w:t>Negotiation and Arbitration Resolution</w:t>
      </w:r>
      <w:r>
        <w:fldChar w:fldCharType="begin"/>
      </w:r>
      <w:r>
        <w:rPr>
          <w:u w:val="single"/>
          <w:vanish/>
        </w:rPr>
        <w:instrText xml:space="preserve"> TC "19.1</w:instrText>
        <w:tab/>
        <w:instrText xml:space="preserve">Negotiation and Arbitration672" \l 1 </w:instrText>
      </w:r>
      <w:r>
        <w:rPr>
          <w:u w:val="single"/>
          <w:vanish/>
        </w:rPr>
        <w:fldChar w:fldCharType="separate"/>
      </w:r>
      <w:bookmarkStart w:id="508" w:name="_Toc493577557"/>
      <w:bookmarkStart w:id="509" w:name="_Toc497199014"/>
      <w:bookmarkStart w:id="510" w:name="_Toc496784969"/>
      <w:bookmarkStart w:id="511" w:name="_Toc496784691"/>
      <w:bookmarkEnd w:id="508"/>
      <w:bookmarkEnd w:id="509"/>
      <w:bookmarkEnd w:id="510"/>
      <w:bookmarkEnd w:id="511"/>
      <w:r>
        <w:rPr>
          <w:vanish/>
          <w:u w:val="single"/>
        </w:rPr>
      </w:r>
      <w:r>
        <w:rPr>
          <w:u w:val="single"/>
          <w:vanish/>
        </w:rPr>
        <w:fldChar w:fldCharType="end"/>
      </w:r>
      <w:r>
        <w:rPr>
          <w:strike/>
        </w:rPr>
        <w:t>&lt;&lt;*&gt;&gt;</w:t>
      </w:r>
      <w:r>
        <w:rPr/>
        <w:t>.</w:t>
      </w:r>
    </w:p>
    <w:p>
      <w:pPr>
        <w:pStyle w:val="bodytext1"/>
        <w:bidi w:val="0"/>
        <w:spacing w:lineRule="atLeast" w:line="240"/>
        <w:ind w:hanging="0" w:start="720"/>
        <w:jc w:val="both"/>
        <w:rPr>
          <w:rFonts w:ascii="Times New Roman" w:hAnsi="Times New Roman"/>
          <w:sz w:val="23"/>
        </w:rPr>
      </w:pPr>
      <w:r>
        <w:rPr>
          <w:color w:val="00007F"/>
          <w:sz w:val="23"/>
        </w:rPr>
        <w:tab/>
        <w:t xml:space="preserve">19.1.1    </w:t>
      </w:r>
      <w:r>
        <w:rPr>
          <w:color w:val="00007F"/>
          <w:sz w:val="23"/>
          <w:u w:val="single"/>
        </w:rPr>
        <w:t>Special Meeting</w:t>
      </w:r>
      <w:r>
        <w:rPr>
          <w:color w:val="00007F"/>
          <w:sz w:val="23"/>
        </w:rPr>
        <w:t xml:space="preserve">.    </w:t>
      </w:r>
      <w:r>
        <w:rPr>
          <w:sz w:val="23"/>
        </w:rPr>
        <w:t>In the event of any dispute arising out of or relating to this Agreement which the parties have been unable to settle within thirty (30) days after the dispute arose, each party shall nominate a senior officer of its management to meet at a mutually agreed time and place not later than forty five (45) days after the dispute arose to attempt to resolve the dispute.    Should a resolution not be reached within fifteen (15) days after the meeting of senior officers, the dispute will be submitted to arbitration under Section 19.2.</w:t>
      </w:r>
    </w:p>
    <w:p>
      <w:pPr>
        <w:pStyle w:val="bodytext1"/>
        <w:bidi w:val="0"/>
        <w:spacing w:lineRule="atLeast" w:line="240"/>
        <w:ind w:hanging="0" w:start="720"/>
        <w:jc w:val="both"/>
        <w:rPr>
          <w:rFonts w:ascii="Times New Roman" w:hAnsi="Times New Roman"/>
          <w:sz w:val="23"/>
        </w:rPr>
      </w:pPr>
      <w:r>
        <w:rPr>
          <w:color w:val="00007F"/>
          <w:sz w:val="23"/>
        </w:rPr>
        <w:tab/>
      </w:r>
      <w:r>
        <w:rPr>
          <w:b/>
          <w:color w:val="00007F"/>
          <w:sz w:val="23"/>
          <w:u w:val="double"/>
        </w:rPr>
        <w:t>[</w:t>
      </w:r>
      <w:r>
        <w:rPr>
          <w:b/>
          <w:color w:val="00007F"/>
          <w:sz w:val="23"/>
        </w:rPr>
        <w:t xml:space="preserve">19.1.2    </w:t>
      </w:r>
      <w:r>
        <w:rPr>
          <w:b/>
          <w:sz w:val="23"/>
          <w:u w:val="single"/>
        </w:rPr>
        <w:t>Privilege</w:t>
      </w:r>
      <w:r>
        <w:rPr>
          <w:b/>
          <w:sz w:val="23"/>
        </w:rPr>
        <w:t xml:space="preserve">.      </w:t>
      </w:r>
      <w:r>
        <w:rPr>
          <w:b/>
          <w:strike/>
          <w:sz w:val="23"/>
        </w:rPr>
        <w:t>&lt;All proceedings under Sections 19.1.1 shall be subject to California Evidence Code Sections 1115 et seq. The&gt;</w:t>
      </w:r>
      <w:r>
        <w:rPr>
          <w:b/>
          <w:sz w:val="23"/>
        </w:rPr>
        <w:t xml:space="preserve"> </w:t>
      </w:r>
      <w:r>
        <w:rPr>
          <w:b/>
          <w:sz w:val="23"/>
          <w:u w:val="double"/>
        </w:rPr>
        <w:t>Insert any state specific</w:t>
      </w:r>
      <w:r>
        <w:rPr>
          <w:b/>
          <w:sz w:val="23"/>
        </w:rPr>
        <w:t xml:space="preserve"> restrictions </w:t>
      </w:r>
      <w:r>
        <w:rPr>
          <w:b/>
          <w:strike/>
          <w:sz w:val="23"/>
        </w:rPr>
        <w:t>&lt;set forth on the use of evidence from the meeting shall apply in any subsequent arbitration as well as any court proceeding. The parties expressly agree to abide by Evidence Code Section 1119. Specifically, (a) no document developed in preparation for the meeting shall be admissible or subject to discovery, and disclosure of the document shall not be compelled, whether or not the document is actually used in the course of the meeting and (b) the presentation of evidence from any expert or consultant at the meeting shall not waive any&gt;</w:t>
      </w:r>
      <w:r>
        <w:rPr>
          <w:b/>
          <w:sz w:val="23"/>
        </w:rPr>
        <w:t xml:space="preserve"> </w:t>
      </w:r>
      <w:r>
        <w:rPr>
          <w:b/>
          <w:sz w:val="23"/>
          <w:u w:val="double"/>
        </w:rPr>
        <w:t>regarding</w:t>
      </w:r>
      <w:r>
        <w:rPr>
          <w:b/>
          <w:sz w:val="23"/>
        </w:rPr>
        <w:t xml:space="preserve"> work product, attorney-client or other privilege or exclusionary rule a party may later seek to assert in another proceeding.</w:t>
      </w:r>
      <w:r>
        <w:rPr>
          <w:b/>
          <w:sz w:val="23"/>
          <w:u w:val="double"/>
        </w:rPr>
        <w:t>]</w:t>
      </w:r>
      <w:r>
        <w:rPr>
          <w:sz w:val="23"/>
        </w:rPr>
        <w:t xml:space="preserve">    </w:t>
      </w:r>
    </w:p>
    <w:p>
      <w:pPr>
        <w:pStyle w:val="bodytext1"/>
        <w:bidi w:val="0"/>
        <w:spacing w:lineRule="atLeast" w:line="240"/>
        <w:ind w:hanging="0" w:start="720"/>
        <w:jc w:val="both"/>
        <w:rPr>
          <w:rFonts w:ascii="Times New Roman" w:hAnsi="Times New Roman"/>
          <w:sz w:val="23"/>
        </w:rPr>
      </w:pPr>
      <w:r>
        <w:rPr>
          <w:sz w:val="23"/>
        </w:rPr>
        <w:tab/>
        <w:t>19.1.3  </w:t>
      </w:r>
      <w:r>
        <w:rPr>
          <w:sz w:val="23"/>
          <w:u w:val="single"/>
        </w:rPr>
        <w:t>Arbitration</w:t>
      </w:r>
      <w:r>
        <w:rPr>
          <w:sz w:val="23"/>
        </w:rPr>
        <w:t xml:space="preserve">.    All disputes that are not settled under Section 19.1 shall be resolved through binding arbitration.    Any party, at its option, may initiate binding arbitration by delivering written notice to all other parties to the dispute; provided, however, that, if there are multiple disputes and any party to the dispute so elects, all outstanding disputes shall be resolved by a single arbitration.    All parties to the dispute shall attend and participate in, and shall be bound by the results of, the arbitration proceeding.    Unless all parties to the dispute otherwise agree, the arbitration shall be conducted in accordance with the Construction Industry Arbitration Rules of the American Arbitration Association (“AAA”) then in effect, as supplemented by the terms of this Article 19.    All arbitration proceedings shall be held in </w:t>
      </w:r>
      <w:r>
        <w:rPr>
          <w:b/>
          <w:strike/>
          <w:sz w:val="23"/>
        </w:rPr>
        <w:t>&lt;San Francisco, California.&gt;</w:t>
      </w:r>
      <w:r>
        <w:rPr>
          <w:b/>
          <w:sz w:val="23"/>
          <w:u w:val="double"/>
        </w:rPr>
        <w:t>[______________________.]</w:t>
      </w:r>
      <w:r>
        <w:rPr>
          <w:sz w:val="23"/>
        </w:rPr>
        <w:t xml:space="preserve">    The arbitration shall be before a single neutral arbitrator who is either an attorney or former judge with at least ten years of experience in handling construction </w:t>
      </w:r>
      <w:r>
        <w:rPr>
          <w:b/>
          <w:sz w:val="23"/>
          <w:u w:val="double"/>
        </w:rPr>
        <w:t>and engineering</w:t>
      </w:r>
      <w:r>
        <w:rPr>
          <w:sz w:val="23"/>
        </w:rPr>
        <w:t xml:space="preserve"> matters (unless all parties to the dispute agree otherwise).    If the parties cannot agree on a arbitrator within five (5) Business Days after delivery of the notice initiating mediation, then AAA will select eleven (11) possible arbitrators meeting the above criteria, to whom AAA will give the identities of the parties and the general nature of the controversy.    If any of those arbitrators disqualifies himself or herself, declines to serve, or is unable to serve within the appropriate time frame, AAA shall continue to designate potential arbitrators until the parties have eleven (11) candidates from which to select.    After the panel of eleven (11) candidates has been completed, a two (2) page summary of the background of each of the candidates will be given to each of the parties, and the parties will have a period of five (5) Business Days after receiving the summaries in which to attempt to agree upon the arbitrator.    If the parties are unable to agree upon an arbitrator, then Owner shall notify AAA and the other parties and    AAA will notify each party that it has five (5) Business Days from the AAA notice to strike five (5) names from the list and advise AAA of the five (5) names stricken.    After expiration of the strike period, if all but one candidate has been stricken, the remaining candidate will be the arbitrator, but if two (2) or more candidates remain, AAA shall select the arbitrator from one of those not stricken.    The decision of AAA with respect to the selection of the arbitrator will be final and binding in such case.    If the matter in dispute is more than $500,000, the list of arbitrators shall be from AAA’s Large and Complex Case Project Panel (“LCCP Panel”) for </w:t>
      </w:r>
      <w:r>
        <w:rPr>
          <w:b/>
          <w:strike/>
          <w:sz w:val="23"/>
        </w:rPr>
        <w:t>&lt;Northern California.&gt;</w:t>
      </w:r>
      <w:r>
        <w:rPr>
          <w:b/>
          <w:sz w:val="23"/>
          <w:u w:val="double"/>
        </w:rPr>
        <w:t>[_____________________.]</w:t>
      </w:r>
      <w:r>
        <w:rPr>
          <w:sz w:val="23"/>
        </w:rPr>
        <w:t>    The non-prevailing party shall bear all costs and expenses of the arbitration, including without limitation the prevailing party’s reasonable attorneys’ and experts’ fees and costs in preparing for, participating in and enforcing this arbitration provision or any award or other relief resulting from arbitration.    The arbitrator shall have no power to vary or modify any of the terms of this Agreement and his or her jurisdiction shall be limited accordingly.    The arbitration award shall be in writing, and shall contain conclusions of law and findings of fact.    Judgment upon the award may be entered in any court having jurisdiction.</w:t>
      </w:r>
    </w:p>
    <w:p>
      <w:pPr>
        <w:pStyle w:val="BodyText"/>
        <w:bidi w:val="0"/>
        <w:rPr>
          <w:rFonts w:ascii="Times New Roman" w:hAnsi="Times New Roman"/>
        </w:rPr>
      </w:pPr>
      <w:r>
        <w:rPr/>
      </w:r>
    </w:p>
    <w:p>
      <w:pPr>
        <w:pStyle w:val="BodyText"/>
        <w:bidi w:val="0"/>
        <w:rPr>
          <w:rFonts w:ascii="Times New Roman" w:hAnsi="Times New Roman"/>
        </w:rPr>
      </w:pPr>
      <w:r>
        <w:rPr/>
        <w:t>19.2</w:t>
        <w:tab/>
      </w:r>
      <w:r>
        <w:rPr>
          <w:u w:val="single"/>
        </w:rPr>
        <w:t>Fast-Track Arbitration</w:t>
      </w:r>
      <w:r>
        <w:fldChar w:fldCharType="begin"/>
      </w:r>
      <w:r>
        <w:rPr>
          <w:u w:val="single"/>
          <w:vanish/>
        </w:rPr>
        <w:instrText xml:space="preserve"> TC "19.2</w:instrText>
        <w:tab/>
        <w:instrText xml:space="preserve">Fast-Track Arbitration672" \l 1 </w:instrText>
      </w:r>
      <w:r>
        <w:rPr>
          <w:u w:val="single"/>
          <w:vanish/>
        </w:rPr>
        <w:fldChar w:fldCharType="separate"/>
      </w:r>
      <w:bookmarkStart w:id="512" w:name="_Toc496784692"/>
      <w:bookmarkStart w:id="513" w:name="_Toc493577558"/>
      <w:bookmarkStart w:id="514" w:name="_Toc497199015"/>
      <w:bookmarkStart w:id="515" w:name="_Toc496784970"/>
      <w:bookmarkEnd w:id="512"/>
      <w:bookmarkEnd w:id="513"/>
      <w:bookmarkEnd w:id="514"/>
      <w:bookmarkEnd w:id="515"/>
      <w:r>
        <w:rPr>
          <w:vanish/>
          <w:u w:val="single"/>
        </w:rPr>
      </w:r>
      <w:r>
        <w:rPr>
          <w:u w:val="single"/>
          <w:vanish/>
        </w:rPr>
        <w:fldChar w:fldCharType="end"/>
      </w:r>
      <w:r>
        <w:rPr>
          <w:strike/>
        </w:rPr>
        <w:t>&lt;&lt;*&gt;&gt;</w:t>
      </w:r>
      <w:r>
        <w:rPr/>
        <w:t>.</w:t>
      </w:r>
    </w:p>
    <w:p>
      <w:pPr>
        <w:pStyle w:val="bodytext1"/>
        <w:bidi w:val="0"/>
        <w:spacing w:lineRule="atLeast" w:line="240"/>
        <w:ind w:firstLine="720" w:start="720"/>
        <w:jc w:val="both"/>
        <w:rPr>
          <w:rFonts w:ascii="Times New Roman" w:hAnsi="Times New Roman"/>
          <w:sz w:val="23"/>
        </w:rPr>
      </w:pPr>
      <w:r>
        <w:rPr>
          <w:sz w:val="23"/>
        </w:rPr>
        <w:t xml:space="preserve">Within thirty (30) days after the </w:t>
      </w:r>
      <w:r>
        <w:rPr>
          <w:strike/>
          <w:sz w:val="23"/>
        </w:rPr>
        <w:t>&lt;Preliminary&gt;</w:t>
      </w:r>
      <w:r>
        <w:rPr>
          <w:sz w:val="23"/>
        </w:rPr>
        <w:t xml:space="preserve"> Notice to Proceed </w:t>
      </w:r>
      <w:r>
        <w:rPr>
          <w:strike/>
          <w:sz w:val="23"/>
        </w:rPr>
        <w:t>&lt;is issued&gt;</w:t>
      </w:r>
      <w:r>
        <w:rPr>
          <w:sz w:val="23"/>
        </w:rPr>
        <w:t xml:space="preserve"> </w:t>
      </w:r>
      <w:r>
        <w:rPr>
          <w:b/>
          <w:sz w:val="23"/>
          <w:u w:val="double"/>
        </w:rPr>
        <w:t>Effective Date</w:t>
      </w:r>
      <w:r>
        <w:rPr>
          <w:sz w:val="23"/>
        </w:rPr>
        <w:t xml:space="preserve">, the parties shall agree upon an independent third party (the “Fast-Track Arbitrator”) and an alternate third party (the “Alternate”) from the LCCP Panel for </w:t>
      </w:r>
      <w:r>
        <w:rPr>
          <w:b/>
          <w:strike/>
          <w:sz w:val="23"/>
        </w:rPr>
        <w:t>&lt;Northern California&gt;</w:t>
      </w:r>
      <w:r>
        <w:rPr>
          <w:b/>
          <w:sz w:val="23"/>
          <w:u w:val="double"/>
        </w:rPr>
        <w:t>[__________________]</w:t>
      </w:r>
      <w:r>
        <w:rPr>
          <w:sz w:val="23"/>
        </w:rPr>
        <w:t xml:space="preserve"> to decide disputes to be referred to the Fast-Track Arbitrator as provided in </w:t>
      </w:r>
      <w:r>
        <w:rPr>
          <w:b/>
          <w:sz w:val="23"/>
          <w:u w:val="double"/>
        </w:rPr>
        <w:t>this</w:t>
      </w:r>
      <w:r>
        <w:rPr>
          <w:sz w:val="23"/>
        </w:rPr>
        <w:t xml:space="preserve"> Section 19.2.    The Fast-Track Arbitrator and the Alternate each must have at least ten (10) years’ experience in the construction and engineering of power generation facilities.    Either party may refer disputes as described in this Agreement as may be so referred or as mutually agreed by both parties to the Fast-Track Arbitrator by providing written notice to the Fast-Track Arbitrator and the other party.    If a party has given written notice of its intent to refer such a dispute, the other party shall be bound to fast-track arbitration as provided in this Section 19.2 and may not resort to the procedures of Section 19.1.    In the event that the Fast-Track Arbitrator is unavailable to resolve the dispute within the time period stated in this section, the dispute shall be referred to the Alternate. The Fast-Track Arbitrator or the Alternate, as the case may be (the “Arbitrator”), shall be directed to resolve the dispute within fifteen (15) days of referral.    The parties shall cooperate in good faith in providing to the Arbitrator any information reasonably needed to resolve the dispute.    The decision of the Arbitrator shall be final, binding, and non-appealable.    The costs and expenses of the arbitration will be borne by the losing party, unless the Arbitrator</w:t>
      </w:r>
      <w:r>
        <w:rPr>
          <w:b/>
          <w:sz w:val="23"/>
        </w:rPr>
        <w:t xml:space="preserve"> </w:t>
      </w:r>
      <w:r>
        <w:rPr>
          <w:sz w:val="23"/>
        </w:rPr>
        <w:t>finds that it would be manifestly unfair to honor this agreement of the parties and determines a different allocation of costs.</w:t>
      </w:r>
    </w:p>
    <w:p>
      <w:pPr>
        <w:pStyle w:val="BodyText"/>
        <w:bidi w:val="0"/>
        <w:rPr>
          <w:rFonts w:ascii="Times New Roman" w:hAnsi="Times New Roman"/>
        </w:rPr>
      </w:pPr>
      <w:r>
        <w:rPr/>
      </w:r>
    </w:p>
    <w:p>
      <w:pPr>
        <w:pStyle w:val="BodyText"/>
        <w:bidi w:val="0"/>
        <w:rPr>
          <w:rFonts w:ascii="Times New Roman" w:hAnsi="Times New Roman"/>
        </w:rPr>
      </w:pPr>
      <w:r>
        <w:rPr/>
        <w:t>19.3</w:t>
        <w:tab/>
      </w:r>
      <w:r>
        <w:rPr>
          <w:u w:val="single"/>
        </w:rPr>
        <w:t>Applicable Law and Arbitration Act</w:t>
      </w:r>
      <w:r>
        <w:fldChar w:fldCharType="begin"/>
      </w:r>
      <w:r>
        <w:rPr>
          <w:u w:val="single"/>
          <w:vanish/>
        </w:rPr>
        <w:instrText xml:space="preserve"> TC "19.3</w:instrText>
        <w:tab/>
        <w:instrText xml:space="preserve">Applicable Law and Arbitration Act672" \l 1 </w:instrText>
      </w:r>
      <w:r>
        <w:rPr>
          <w:u w:val="single"/>
          <w:vanish/>
        </w:rPr>
        <w:fldChar w:fldCharType="separate"/>
      </w:r>
      <w:bookmarkStart w:id="516" w:name="_Toc497199016"/>
      <w:bookmarkStart w:id="517" w:name="_Toc493577559"/>
      <w:bookmarkStart w:id="518" w:name="_Toc496784693"/>
      <w:bookmarkStart w:id="519" w:name="_Toc496784971"/>
      <w:bookmarkEnd w:id="516"/>
      <w:bookmarkEnd w:id="517"/>
      <w:bookmarkEnd w:id="518"/>
      <w:bookmarkEnd w:id="519"/>
      <w:r>
        <w:rPr>
          <w:vanish/>
          <w:u w:val="single"/>
        </w:rPr>
      </w:r>
      <w:r>
        <w:rPr>
          <w:u w:val="single"/>
          <w:vanish/>
        </w:rPr>
        <w:fldChar w:fldCharType="end"/>
      </w:r>
      <w:r>
        <w:rPr>
          <w:strike/>
        </w:rPr>
        <w:t>&lt;&lt;*&gt;&gt;</w:t>
      </w:r>
      <w:r>
        <w:rPr/>
        <w:t>.</w:t>
      </w:r>
    </w:p>
    <w:p>
      <w:pPr>
        <w:pStyle w:val="bodytext1"/>
        <w:bidi w:val="0"/>
        <w:spacing w:lineRule="atLeast" w:line="240"/>
        <w:ind w:firstLine="720" w:start="720"/>
        <w:jc w:val="both"/>
        <w:rPr>
          <w:rFonts w:ascii="Times New Roman" w:hAnsi="Times New Roman"/>
          <w:sz w:val="23"/>
        </w:rPr>
      </w:pPr>
      <w:r>
        <w:rPr>
          <w:sz w:val="23"/>
        </w:rPr>
        <w:t xml:space="preserve">Any arbitral award hereunder shall be enforceable in either the United States District Court for </w:t>
      </w:r>
      <w:r>
        <w:rPr>
          <w:b/>
          <w:strike/>
          <w:sz w:val="23"/>
        </w:rPr>
        <w:t>&lt;the City and County of San Francisco&gt;</w:t>
      </w:r>
      <w:r>
        <w:rPr>
          <w:b/>
          <w:sz w:val="23"/>
          <w:u w:val="double"/>
        </w:rPr>
        <w:t>[______________________]</w:t>
      </w:r>
      <w:r>
        <w:rPr>
          <w:sz w:val="23"/>
        </w:rPr>
        <w:t xml:space="preserve"> or, if such court refuses jurisdiction, any court of the State of </w:t>
      </w:r>
      <w:r>
        <w:rPr>
          <w:b/>
          <w:strike/>
          <w:sz w:val="23"/>
        </w:rPr>
        <w:t>&lt;California&gt;</w:t>
      </w:r>
      <w:r>
        <w:rPr>
          <w:b/>
          <w:sz w:val="23"/>
          <w:u w:val="double"/>
        </w:rPr>
        <w:t>[________________]</w:t>
      </w:r>
      <w:r>
        <w:rPr>
          <w:sz w:val="23"/>
        </w:rPr>
        <w:t xml:space="preserve"> sitting in </w:t>
      </w:r>
      <w:r>
        <w:rPr>
          <w:b/>
          <w:strike/>
          <w:sz w:val="23"/>
        </w:rPr>
        <w:t>&lt;the City and County of San Francisco.&gt;</w:t>
      </w:r>
      <w:r>
        <w:rPr>
          <w:b/>
          <w:sz w:val="23"/>
          <w:u w:val="double"/>
        </w:rPr>
        <w:t>[_____________________________.]</w:t>
      </w:r>
      <w:r>
        <w:rPr>
          <w:sz w:val="23"/>
        </w:rPr>
        <w:t xml:space="preserve">    Owner and Contractor each consent to the nonexclusive jurisdiction of, and to the laying of venue in, such court for such purpose.    All procedural aspects of this agreement to arbitrate, including, but not limited to, the construction and interpretation of this agreement to arbitrate, the scope of the arbitrable issues, allegations of waiver, delay or defenses as to arbitrability, and the rules governing the conduct of the arbitration, shall be governed by and construed pursuant to the United States Arbitration Act, 9 U.S.C. §§1-16.    In deciding the substance of any such claim, dispute or disagreement, the arbitrators shall apply the substantive laws of the State of </w:t>
      </w:r>
      <w:r>
        <w:rPr>
          <w:b/>
          <w:strike/>
          <w:sz w:val="23"/>
        </w:rPr>
        <w:t>&lt;California&gt;</w:t>
      </w:r>
      <w:r>
        <w:rPr>
          <w:b/>
          <w:sz w:val="23"/>
          <w:u w:val="double"/>
        </w:rPr>
        <w:t>[_________________]</w:t>
      </w:r>
      <w:r>
        <w:rPr>
          <w:sz w:val="23"/>
        </w:rPr>
        <w:t xml:space="preserve">; provided, however, that THE ARBITRATORS SHALL HAVE NO AUTHORITY TO AWARD PUNITIVE DAMAGES UNDER ANY CIRCUMSTANCES (WHETHER IT BE EXEMPLARY DAMAGES, TREBLE DAMAGES, OR ANY OTHER PENALTY OR PUNITIVE TYPE OF DAMAGES) REGARDLESS OF WHETHER SUCH DAMAGES MAY BE AVAILABLE UNDER </w:t>
      </w:r>
      <w:r>
        <w:rPr>
          <w:b/>
          <w:strike/>
          <w:sz w:val="23"/>
        </w:rPr>
        <w:t>&lt;CALIFORNIA&gt;</w:t>
      </w:r>
      <w:r>
        <w:rPr>
          <w:b/>
          <w:sz w:val="23"/>
          <w:u w:val="double"/>
        </w:rPr>
        <w:t>[_____________________________]</w:t>
      </w:r>
      <w:r>
        <w:rPr>
          <w:sz w:val="23"/>
        </w:rPr>
        <w:t xml:space="preserve"> LAW.    THE PARTIES HEREBY WAIVE THEIR RIGHT, IF ANY, TO RECOVER PUNITIVE DAMAGES IN CONNECTION WITH ANY SUCH CLAIMS, DISPUTES OR DISAGREEMENTS,    REGARDLESS OF WHETHER SUCH CLAIM, DISPUTE OR DISAGREEMENT ARISES UNDER THE LAW OF CONTRACTS, TORTS (INCLUDING, WITHOUT LIMITATION, NEGLIGENCE OF EVERY KIND AND STRICT LIABILITY WITHOUT FAULT), OR PROPERTY, OR AT COMMON LAW OR IN EQUITY OR OTHERWISE.</w:t>
      </w:r>
      <w:r>
        <w:rPr>
          <w:b/>
          <w:sz w:val="23"/>
          <w:u w:val="double"/>
        </w:rPr>
        <w:t>    FURTHERMORE, THE ARBITRATORS SHALL HAVE NO AUTHORITY TO AWARD ANY DAMAGES AGAINST CONSTRUCTION MANAGER THAT ARE NOT WITHIN THE SCOPE OF CONSTRUCTION MANAGER’S OBLIGATIONS UNDER SECTION __ OF THE CDM AGREEMENT.</w:t>
      </w:r>
      <w:r>
        <w:rPr>
          <w:sz w:val="23"/>
        </w:rPr>
        <w:t>    The arbitrators shall certify in their award that they have faithfully applied the terms and conditions of this Agreement (including without limitation the limits on liability and other provisions restricting the type and amount of damages recoverable by a party hereunder), and that no part of their award includes any amount for exemplary or punitive damages.    To the fullest extent permitted by law, the arbitration proceeding and the arbitrators’ award shall be maintained in confidence by the parties.</w:t>
      </w:r>
    </w:p>
    <w:p>
      <w:pPr>
        <w:pStyle w:val="BodyText"/>
        <w:bidi w:val="0"/>
        <w:rPr>
          <w:rFonts w:ascii="Times New Roman" w:hAnsi="Times New Roman"/>
        </w:rPr>
      </w:pPr>
      <w:r>
        <w:rPr/>
      </w:r>
    </w:p>
    <w:p>
      <w:pPr>
        <w:pStyle w:val="BodyText"/>
        <w:bidi w:val="0"/>
        <w:rPr>
          <w:rFonts w:ascii="Times New Roman" w:hAnsi="Times New Roman"/>
        </w:rPr>
      </w:pPr>
      <w:r>
        <w:rPr/>
        <w:t>19.4</w:t>
        <w:tab/>
      </w:r>
      <w:r>
        <w:rPr>
          <w:u w:val="single"/>
        </w:rPr>
        <w:t>Effect on Performance</w:t>
      </w:r>
      <w:r>
        <w:fldChar w:fldCharType="begin"/>
      </w:r>
      <w:r>
        <w:rPr>
          <w:u w:val="single"/>
          <w:vanish/>
        </w:rPr>
        <w:instrText xml:space="preserve"> TC "19.4</w:instrText>
        <w:tab/>
        <w:instrText xml:space="preserve">Effect on Performance672" \l 1 </w:instrText>
      </w:r>
      <w:r>
        <w:rPr>
          <w:u w:val="single"/>
          <w:vanish/>
        </w:rPr>
        <w:fldChar w:fldCharType="separate"/>
      </w:r>
      <w:bookmarkStart w:id="520" w:name="_Toc493577560"/>
      <w:bookmarkStart w:id="521" w:name="_Toc497199017"/>
      <w:bookmarkStart w:id="522" w:name="_Toc496784972"/>
      <w:bookmarkStart w:id="523" w:name="_Toc496784694"/>
      <w:bookmarkEnd w:id="520"/>
      <w:bookmarkEnd w:id="521"/>
      <w:bookmarkEnd w:id="522"/>
      <w:bookmarkEnd w:id="523"/>
      <w:r>
        <w:rPr>
          <w:vanish/>
          <w:u w:val="single"/>
        </w:rPr>
      </w:r>
      <w:r>
        <w:rPr>
          <w:u w:val="single"/>
          <w:vanish/>
        </w:rPr>
        <w:fldChar w:fldCharType="end"/>
      </w:r>
      <w:r>
        <w:rPr>
          <w:strike/>
        </w:rPr>
        <w:t>&lt;&lt;*&gt;&gt;</w:t>
      </w:r>
      <w:r>
        <w:rPr/>
        <w:t>.</w:t>
      </w:r>
    </w:p>
    <w:p>
      <w:pPr>
        <w:pStyle w:val="bodytext1"/>
        <w:bidi w:val="0"/>
        <w:spacing w:lineRule="atLeast" w:line="240"/>
        <w:ind w:firstLine="720" w:start="720"/>
        <w:jc w:val="start"/>
        <w:rPr>
          <w:rFonts w:ascii="Times New Roman" w:hAnsi="Times New Roman"/>
          <w:sz w:val="23"/>
        </w:rPr>
      </w:pPr>
      <w:r>
        <w:rPr>
          <w:sz w:val="23"/>
        </w:rPr>
        <w:t xml:space="preserve">Unless directed otherwise in writing, Contractor shall not cease or delay performance of its obligations under this Agreement during the existence of any dispute or the </w:t>
      </w:r>
      <w:r>
        <w:rPr>
          <w:strike/>
          <w:sz w:val="23"/>
        </w:rPr>
        <w:t>&lt;pendendency&gt;</w:t>
      </w:r>
      <w:r>
        <w:rPr>
          <w:sz w:val="23"/>
        </w:rPr>
        <w:t xml:space="preserve"> </w:t>
      </w:r>
      <w:r>
        <w:rPr>
          <w:b/>
          <w:sz w:val="23"/>
          <w:u w:val="double"/>
        </w:rPr>
        <w:t>pendency</w:t>
      </w:r>
      <w:r>
        <w:rPr>
          <w:sz w:val="23"/>
        </w:rPr>
        <w:t xml:space="preserve"> of any proceeding to resolve it, and Owner shall pay to Contractor all amounts owing and not subject to dispute or offset.</w:t>
      </w:r>
    </w:p>
    <w:p>
      <w:pPr>
        <w:pStyle w:val="BodyText"/>
        <w:bidi w:val="0"/>
        <w:rPr>
          <w:rFonts w:ascii="Times New Roman" w:hAnsi="Times New Roman"/>
        </w:rPr>
      </w:pPr>
      <w:r>
        <w:rPr/>
      </w:r>
    </w:p>
    <w:p>
      <w:pPr>
        <w:pStyle w:val="BodyText"/>
        <w:bidi w:val="0"/>
        <w:rPr>
          <w:rFonts w:ascii="Times New Roman" w:hAnsi="Times New Roman"/>
        </w:rPr>
      </w:pPr>
      <w:r>
        <w:rPr/>
        <w:t>19.5</w:t>
        <w:tab/>
      </w:r>
      <w:r>
        <w:rPr>
          <w:u w:val="single"/>
        </w:rPr>
        <w:t>Incorporation and Consolidation</w:t>
      </w:r>
      <w:r>
        <w:fldChar w:fldCharType="begin"/>
      </w:r>
      <w:r>
        <w:rPr>
          <w:u w:val="single"/>
          <w:vanish/>
        </w:rPr>
        <w:instrText xml:space="preserve"> TC "19.5</w:instrText>
        <w:tab/>
        <w:instrText xml:space="preserve">Incorporation and Consolidation672" \l 1 </w:instrText>
      </w:r>
      <w:r>
        <w:rPr>
          <w:u w:val="single"/>
          <w:vanish/>
        </w:rPr>
        <w:fldChar w:fldCharType="separate"/>
      </w:r>
      <w:bookmarkStart w:id="524" w:name="_Toc493577561"/>
      <w:bookmarkStart w:id="525" w:name="_Toc497199018"/>
      <w:bookmarkStart w:id="526" w:name="_Toc496784973"/>
      <w:bookmarkStart w:id="527" w:name="_Toc496784695"/>
      <w:bookmarkEnd w:id="524"/>
      <w:bookmarkEnd w:id="525"/>
      <w:bookmarkEnd w:id="526"/>
      <w:bookmarkEnd w:id="527"/>
      <w:r>
        <w:rPr>
          <w:vanish/>
          <w:u w:val="single"/>
        </w:rPr>
      </w:r>
      <w:r>
        <w:rPr>
          <w:u w:val="single"/>
          <w:vanish/>
        </w:rPr>
        <w:fldChar w:fldCharType="end"/>
      </w:r>
      <w:r>
        <w:rPr>
          <w:strike/>
        </w:rPr>
        <w:t>&lt;&lt;*&gt;&gt;</w:t>
      </w:r>
      <w:r>
        <w:rPr/>
        <w:t>.</w:t>
      </w:r>
    </w:p>
    <w:p>
      <w:pPr>
        <w:pStyle w:val="BodyText"/>
        <w:bidi w:val="0"/>
        <w:spacing w:before="240" w:after="0"/>
        <w:ind w:firstLine="720" w:start="720"/>
        <w:rPr>
          <w:rFonts w:ascii="Times New Roman" w:hAnsi="Times New Roman"/>
        </w:rPr>
      </w:pPr>
      <w:r>
        <w:rPr/>
        <w:t xml:space="preserve">Contractor shall incorporate the provisions of this Article 19 into its agreements with any Subcontractor so that all Subcontractors shall also be bound to this dispute resolution procedure.    Owner shall have the right, but not the obligation, to consolidate all Work-related disputes, whether involving Contractor, a Subcontractor and/or any third parties, into a single consolidated arbitration or other proceeding.    </w:t>
      </w:r>
      <w:r>
        <w:rPr>
          <w:b/>
          <w:u w:val="double"/>
        </w:rPr>
        <w:t>[</w:t>
      </w:r>
      <w:r>
        <w:rPr/>
        <w:t xml:space="preserve">Notwithstanding anything to the contrary in this Article 19, any disputes regarding the </w:t>
      </w:r>
      <w:r>
        <w:rPr>
          <w:strike/>
        </w:rPr>
        <w:t>&lt;GE Contract&gt;</w:t>
      </w:r>
      <w:r>
        <w:rPr/>
        <w:t xml:space="preserve"> </w:t>
      </w:r>
      <w:r>
        <w:rPr>
          <w:b/>
          <w:u w:val="double"/>
        </w:rPr>
        <w:t>Equipment Vendor Contracts listed as Item Nos. ____ in Schedule U</w:t>
      </w:r>
      <w:r>
        <w:rPr/>
        <w:t xml:space="preserve"> shall be subject to the dispute resolution procedures in </w:t>
      </w:r>
      <w:r>
        <w:rPr>
          <w:strike/>
        </w:rPr>
        <w:t>&lt;Article XXVI of the GE Contract&gt;</w:t>
      </w:r>
      <w:r>
        <w:rPr/>
        <w:t xml:space="preserve"> </w:t>
      </w:r>
      <w:r>
        <w:rPr>
          <w:b/>
          <w:u w:val="double"/>
        </w:rPr>
        <w:t>such Equipment Vendor Contracts</w:t>
      </w:r>
      <w:r>
        <w:rPr/>
        <w:t>.</w:t>
      </w:r>
    </w:p>
    <w:p>
      <w:pPr>
        <w:pStyle w:val="BodyText"/>
        <w:bidi w:val="0"/>
        <w:rPr>
          <w:rFonts w:ascii="Times New Roman" w:hAnsi="Times New Roman"/>
        </w:rPr>
      </w:pPr>
      <w:r>
        <w:rPr/>
      </w:r>
    </w:p>
    <w:p>
      <w:pPr>
        <w:pStyle w:val="BodyText"/>
        <w:bidi w:val="0"/>
        <w:rPr>
          <w:rFonts w:ascii="Times New Roman" w:hAnsi="Times New Roman"/>
        </w:rPr>
      </w:pPr>
      <w:r>
        <w:rPr/>
      </w:r>
    </w:p>
    <w:p>
      <w:pPr>
        <w:pStyle w:val="Style1toc"/>
        <w:bidi w:val="0"/>
        <w:rPr>
          <w:rFonts w:ascii="Times New Roman" w:hAnsi="Times New Roman"/>
        </w:rPr>
      </w:pPr>
      <w:r>
        <w:rPr/>
        <w:t>ARTICLE 20</w:t>
      </w:r>
      <w:r>
        <w:fldChar w:fldCharType="begin"/>
      </w:r>
      <w:r>
        <w:rPr>
          <w:vanish/>
        </w:rPr>
        <w:instrText xml:space="preserve"> TC "ARTICLE 20  CONFIDENTIAL INFORMATION671" \l 1 </w:instrText>
      </w:r>
      <w:r>
        <w:rPr>
          <w:vanish/>
        </w:rPr>
        <w:fldChar w:fldCharType="separate"/>
      </w:r>
      <w:bookmarkStart w:id="528" w:name="_Toc493577562"/>
      <w:bookmarkStart w:id="529" w:name="_Toc497199019"/>
      <w:bookmarkStart w:id="530" w:name="_Toc496784974"/>
      <w:bookmarkStart w:id="531" w:name="_Toc496784696"/>
      <w:bookmarkEnd w:id="528"/>
      <w:bookmarkEnd w:id="529"/>
      <w:bookmarkEnd w:id="530"/>
      <w:bookmarkEnd w:id="531"/>
      <w:r>
        <w:rPr>
          <w:vanish/>
        </w:rPr>
      </w:r>
      <w:r>
        <w:rPr>
          <w:vanish/>
        </w:rPr>
        <w:fldChar w:fldCharType="end"/>
      </w:r>
      <w:r>
        <w:rPr>
          <w:strike/>
        </w:rPr>
        <w:t>&lt;&lt;*&gt;&gt;</w:t>
      </w:r>
    </w:p>
    <w:p>
      <w:pPr>
        <w:pStyle w:val="Style1toc"/>
        <w:bidi w:val="0"/>
        <w:rPr>
          <w:rFonts w:ascii="Times New Roman" w:hAnsi="Times New Roman"/>
        </w:rPr>
      </w:pPr>
      <w:r>
        <w:rPr/>
        <w:t>CONFIDENTIAL INFORMATION</w:t>
      </w:r>
    </w:p>
    <w:p>
      <w:pPr>
        <w:pStyle w:val="BodyText"/>
        <w:bidi w:val="0"/>
        <w:rPr>
          <w:rFonts w:ascii="Times New Roman" w:hAnsi="Times New Roman"/>
        </w:rPr>
      </w:pPr>
      <w:r>
        <w:rPr/>
      </w:r>
    </w:p>
    <w:p>
      <w:pPr>
        <w:pStyle w:val="BodyText"/>
        <w:bidi w:val="0"/>
        <w:rPr>
          <w:rFonts w:ascii="Times New Roman" w:hAnsi="Times New Roman"/>
        </w:rPr>
      </w:pPr>
      <w:r>
        <w:rPr/>
        <w:t>20.1</w:t>
        <w:tab/>
      </w:r>
      <w:r>
        <w:rPr>
          <w:u w:val="single"/>
        </w:rPr>
        <w:t>Confidential Information</w:t>
      </w:r>
      <w:r>
        <w:fldChar w:fldCharType="begin"/>
      </w:r>
      <w:r>
        <w:rPr>
          <w:u w:val="single"/>
          <w:vanish/>
        </w:rPr>
        <w:instrText xml:space="preserve"> TC "20.1</w:instrText>
        <w:tab/>
        <w:instrText xml:space="preserve">Confidential Information672" \l 1 </w:instrText>
      </w:r>
      <w:r>
        <w:rPr>
          <w:u w:val="single"/>
          <w:vanish/>
        </w:rPr>
        <w:fldChar w:fldCharType="separate"/>
      </w:r>
      <w:bookmarkStart w:id="532" w:name="_Toc496784697"/>
      <w:bookmarkStart w:id="533" w:name="_Toc497199020"/>
      <w:bookmarkStart w:id="534" w:name="_Toc496784975"/>
      <w:bookmarkStart w:id="535" w:name="_Toc493577563"/>
      <w:bookmarkEnd w:id="532"/>
      <w:bookmarkEnd w:id="533"/>
      <w:bookmarkEnd w:id="534"/>
      <w:bookmarkEnd w:id="535"/>
      <w:r>
        <w:rPr>
          <w:vanish/>
          <w:u w:val="single"/>
        </w:rPr>
      </w:r>
      <w:r>
        <w:rPr>
          <w:u w:val="single"/>
          <w:vanish/>
        </w:rPr>
        <w:fldChar w:fldCharType="end"/>
      </w:r>
      <w:r>
        <w:rPr>
          <w:strike/>
        </w:rPr>
        <w:t>&lt;&lt;*&gt;. Subject to Article 16, for&gt;</w:t>
      </w:r>
      <w:r>
        <w:rPr>
          <w:b/>
          <w:u w:val="double"/>
        </w:rPr>
        <w:t>.    For</w:t>
      </w:r>
      <w:r>
        <w:rPr/>
        <w:t xml:space="preserve"> a period of two years from </w:t>
      </w:r>
      <w:r>
        <w:rPr>
          <w:b/>
          <w:u w:val="double"/>
        </w:rPr>
        <w:t>the earlier of termination of this Agreement or</w:t>
      </w:r>
      <w:r>
        <w:rPr/>
        <w:t xml:space="preserve"> Substantial Completion, neither Owner nor Contractor shall disclose the Confidential Information other than to its Representatives.    “Representatives,” as used in this Agreement, shall include directors, officers, employees, auditors, counsel, Lenders and Affiliates and such Affiliate’s directors, officers, employees, auditors, and counsel.    To the extent that Contractor’s Subcontractors and suppliers need to receive the technical specifications of the Facility and the Equipment to complete their portion of the Work such Persons shall be deemed to be Representatives of Contractor.    It is understood that (a) any Representative receiving Confidential Information shall be informed of the obligation of nondisclosure pursuant to this Agreement and (b) Owner and Contractor shall each be responsible for any breach of this Agreement by its Representatives.    In addition, both parties shall comply with the obligations in the </w:t>
      </w:r>
      <w:r>
        <w:rPr>
          <w:strike/>
        </w:rPr>
        <w:t>&lt;GE Contract&gt;</w:t>
      </w:r>
      <w:r>
        <w:rPr/>
        <w:t xml:space="preserve"> </w:t>
      </w:r>
      <w:r>
        <w:rPr>
          <w:b/>
          <w:u w:val="double"/>
        </w:rPr>
        <w:t>Equipment Vendor Contracts listed as Item Nos. __ in Schedule U</w:t>
      </w:r>
      <w:r>
        <w:rPr/>
        <w:t xml:space="preserve"> respecting the proprietary or confidential information of the </w:t>
      </w:r>
      <w:r>
        <w:rPr>
          <w:strike/>
        </w:rPr>
        <w:t>&lt;General Electric Company.&gt;</w:t>
      </w:r>
      <w:r>
        <w:rPr/>
        <w:t xml:space="preserve"> </w:t>
      </w:r>
      <w:r>
        <w:rPr>
          <w:b/>
          <w:u w:val="double"/>
        </w:rPr>
        <w:t>Equipment Vendors under such Equipment Vendor Contract.</w:t>
      </w:r>
    </w:p>
    <w:p>
      <w:pPr>
        <w:pStyle w:val="BodyText"/>
        <w:bidi w:val="0"/>
        <w:rPr>
          <w:rFonts w:ascii="Times New Roman" w:hAnsi="Times New Roman"/>
        </w:rPr>
      </w:pPr>
      <w:r>
        <w:rPr/>
      </w:r>
    </w:p>
    <w:p>
      <w:pPr>
        <w:pStyle w:val="BodyText"/>
        <w:bidi w:val="0"/>
        <w:rPr>
          <w:rFonts w:ascii="Times New Roman" w:hAnsi="Times New Roman"/>
        </w:rPr>
      </w:pPr>
      <w:r>
        <w:rPr/>
        <w:t>20.2</w:t>
        <w:tab/>
      </w:r>
      <w:r>
        <w:rPr>
          <w:u w:val="single"/>
        </w:rPr>
        <w:t>Notice Preceding Compelled Disclosure</w:t>
      </w:r>
      <w:r>
        <w:fldChar w:fldCharType="begin"/>
      </w:r>
      <w:r>
        <w:rPr>
          <w:u w:val="single"/>
          <w:vanish/>
        </w:rPr>
        <w:instrText xml:space="preserve"> TC "20.2</w:instrText>
        <w:tab/>
        <w:instrText xml:space="preserve">Notice Preceding Compelled Disclosure672" \l 1 </w:instrText>
      </w:r>
      <w:r>
        <w:rPr>
          <w:u w:val="single"/>
          <w:vanish/>
        </w:rPr>
        <w:fldChar w:fldCharType="separate"/>
      </w:r>
      <w:bookmarkStart w:id="536" w:name="_Toc493577564"/>
      <w:bookmarkStart w:id="537" w:name="_Toc497199021"/>
      <w:bookmarkStart w:id="538" w:name="_Toc496784976"/>
      <w:bookmarkStart w:id="539" w:name="_Toc496784698"/>
      <w:bookmarkEnd w:id="536"/>
      <w:bookmarkEnd w:id="537"/>
      <w:bookmarkEnd w:id="538"/>
      <w:bookmarkEnd w:id="539"/>
      <w:r>
        <w:rPr>
          <w:vanish/>
          <w:u w:val="single"/>
        </w:rPr>
      </w:r>
      <w:r>
        <w:rPr>
          <w:u w:val="single"/>
          <w:vanish/>
        </w:rPr>
        <w:fldChar w:fldCharType="end"/>
      </w:r>
      <w:r>
        <w:rPr>
          <w:strike/>
        </w:rPr>
        <w:t>&lt;&lt;*&gt;&gt;</w:t>
      </w:r>
      <w:r>
        <w:rPr/>
        <w:t xml:space="preserve">. If Contractor or Owner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w:t>
      </w:r>
      <w:r>
        <w:rPr>
          <w:strike/>
        </w:rPr>
        <w:t>&lt;such&gt;</w:t>
      </w:r>
      <w:r>
        <w:rPr/>
        <w:t xml:space="preserve"> </w:t>
      </w:r>
      <w:r>
        <w:rPr>
          <w:b/>
          <w:u w:val="double"/>
        </w:rPr>
        <w:t>the</w:t>
      </w:r>
      <w:r>
        <w:rPr/>
        <w:t xml:space="preserve"> request or requirement so that the other party may seek an injunction or appropriate protective order or grant a waiver of compliance with the provisions of this Agreement.    If, in the absence of an injunction, protective order, or the receipt of a waiver hereunder, such party is, in the opinion of counsel, compelled by </w:t>
      </w:r>
      <w:r>
        <w:rPr>
          <w:strike/>
        </w:rPr>
        <w:t>&lt;such&gt;</w:t>
      </w:r>
      <w:r>
        <w:rPr/>
        <w:t xml:space="preserve"> law or legal process to disclose the Confidential Information, then such party may disclose only such of the Confidential Information as is required and, provided that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BodyText"/>
        <w:bidi w:val="0"/>
        <w:rPr>
          <w:rFonts w:ascii="Times New Roman" w:hAnsi="Times New Roman"/>
        </w:rPr>
      </w:pPr>
      <w:r>
        <w:rPr/>
      </w:r>
    </w:p>
    <w:p>
      <w:pPr>
        <w:pStyle w:val="BodyText"/>
        <w:bidi w:val="0"/>
        <w:rPr>
          <w:rFonts w:ascii="Times New Roman" w:hAnsi="Times New Roman"/>
        </w:rPr>
      </w:pPr>
      <w:r>
        <w:rPr/>
        <w:t>20.3</w:t>
        <w:tab/>
      </w:r>
      <w:r>
        <w:rPr>
          <w:u w:val="single"/>
        </w:rPr>
        <w:t>Definition of Confidential Information</w:t>
      </w:r>
      <w:r>
        <w:fldChar w:fldCharType="begin"/>
      </w:r>
      <w:r>
        <w:rPr>
          <w:u w:val="single"/>
          <w:vanish/>
        </w:rPr>
        <w:instrText xml:space="preserve"> TC "20.3</w:instrText>
        <w:tab/>
        <w:instrText xml:space="preserve">Definition of Confidential Information672" \l 1 </w:instrText>
      </w:r>
      <w:r>
        <w:rPr>
          <w:u w:val="single"/>
          <w:vanish/>
        </w:rPr>
        <w:fldChar w:fldCharType="separate"/>
      </w:r>
      <w:bookmarkStart w:id="540" w:name="_Toc493577565"/>
      <w:bookmarkStart w:id="541" w:name="_Toc497199022"/>
      <w:bookmarkStart w:id="542" w:name="_Toc496784977"/>
      <w:bookmarkStart w:id="543" w:name="_Toc496784699"/>
      <w:bookmarkEnd w:id="540"/>
      <w:bookmarkEnd w:id="541"/>
      <w:bookmarkEnd w:id="542"/>
      <w:bookmarkEnd w:id="543"/>
      <w:r>
        <w:rPr>
          <w:vanish/>
          <w:u w:val="single"/>
        </w:rPr>
      </w:r>
      <w:r>
        <w:rPr>
          <w:u w:val="single"/>
          <w:vanish/>
        </w:rPr>
        <w:fldChar w:fldCharType="end"/>
      </w:r>
      <w:r>
        <w:rPr>
          <w:strike/>
        </w:rPr>
        <w:t>&lt;&lt;*&gt;&gt;</w:t>
      </w:r>
      <w:r>
        <w:rPr/>
        <w:t>. The term “Confidential Information” shall mean all information that is furnished by one party to the other relating to the Facility. Confidential Information shall also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will not constitute Confidential Information for purposes of this Agreement: (a) information which is or becomes publicly available other than as a result of a disclosure in violation of this Agreement, (b) information which was already known to the recipient prior to being furnished pursuant to this Agreement</w:t>
      </w:r>
      <w:r>
        <w:rPr>
          <w:strike/>
        </w:rPr>
        <w:t>&lt;,&gt;</w:t>
      </w:r>
      <w:r>
        <w:rPr/>
        <w:t xml:space="preserve"> and (c) information which becomes available on a non-confidential basis from a source other than the disclosing party if such source was not subject to any prohibition against transmitting the information to the recipient. </w:t>
      </w:r>
    </w:p>
    <w:p>
      <w:pPr>
        <w:pStyle w:val="BodyText"/>
        <w:bidi w:val="0"/>
        <w:rPr>
          <w:rFonts w:ascii="Times New Roman" w:hAnsi="Times New Roman"/>
        </w:rPr>
      </w:pPr>
      <w:r>
        <w:rPr/>
      </w:r>
    </w:p>
    <w:p>
      <w:pPr>
        <w:pStyle w:val="BodyText"/>
        <w:bidi w:val="0"/>
        <w:rPr>
          <w:rFonts w:ascii="Times New Roman" w:hAnsi="Times New Roman"/>
        </w:rPr>
      </w:pPr>
      <w:r>
        <w:rPr/>
        <w:t>20.4</w:t>
        <w:tab/>
      </w:r>
      <w:r>
        <w:rPr>
          <w:u w:val="single"/>
        </w:rPr>
        <w:t>Remedies</w:t>
      </w:r>
      <w:r>
        <w:fldChar w:fldCharType="begin"/>
      </w:r>
      <w:r>
        <w:rPr>
          <w:u w:val="single"/>
          <w:vanish/>
        </w:rPr>
        <w:instrText xml:space="preserve"> TC "20.4</w:instrText>
        <w:tab/>
        <w:instrText xml:space="preserve">Remedies672" \l 1 </w:instrText>
      </w:r>
      <w:r>
        <w:rPr>
          <w:u w:val="single"/>
          <w:vanish/>
        </w:rPr>
        <w:fldChar w:fldCharType="separate"/>
      </w:r>
      <w:bookmarkStart w:id="544" w:name="_Toc493577566"/>
      <w:bookmarkStart w:id="545" w:name="_Toc497199023"/>
      <w:bookmarkStart w:id="546" w:name="_Toc496784978"/>
      <w:bookmarkStart w:id="547" w:name="_Toc496784700"/>
      <w:bookmarkEnd w:id="544"/>
      <w:bookmarkEnd w:id="545"/>
      <w:bookmarkEnd w:id="546"/>
      <w:bookmarkEnd w:id="547"/>
      <w:r>
        <w:rPr>
          <w:vanish/>
          <w:u w:val="single"/>
        </w:rPr>
      </w:r>
      <w:r>
        <w:rPr>
          <w:u w:val="single"/>
          <w:vanish/>
        </w:rPr>
        <w:fldChar w:fldCharType="end"/>
      </w:r>
      <w:r>
        <w:rPr>
          <w:strike/>
        </w:rPr>
        <w:t>&lt;&lt;*&gt;&gt;</w:t>
      </w:r>
      <w:r>
        <w:rPr/>
        <w:t>. 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w:t>
      </w:r>
    </w:p>
    <w:p>
      <w:pPr>
        <w:pStyle w:val="BodyText"/>
        <w:bidi w:val="0"/>
        <w:rPr>
          <w:rFonts w:ascii="Times New Roman" w:hAnsi="Times New Roman"/>
        </w:rPr>
      </w:pPr>
      <w:r>
        <w:rPr/>
      </w:r>
    </w:p>
    <w:p>
      <w:pPr>
        <w:pStyle w:val="BodyText"/>
        <w:bidi w:val="0"/>
        <w:rPr>
          <w:rFonts w:ascii="Times New Roman" w:hAnsi="Times New Roman"/>
        </w:rPr>
      </w:pPr>
      <w:r>
        <w:rPr/>
        <w:t>20.5</w:t>
        <w:tab/>
      </w:r>
      <w:r>
        <w:rPr>
          <w:u w:val="single"/>
        </w:rPr>
        <w:t>Control of Software</w:t>
      </w:r>
      <w:r>
        <w:fldChar w:fldCharType="begin"/>
      </w:r>
      <w:r>
        <w:rPr>
          <w:u w:val="single"/>
          <w:vanish/>
        </w:rPr>
        <w:instrText xml:space="preserve"> TC "20.5</w:instrText>
        <w:tab/>
        <w:instrText xml:space="preserve">Control of Software672" \l 1 </w:instrText>
      </w:r>
      <w:r>
        <w:rPr>
          <w:u w:val="single"/>
          <w:vanish/>
        </w:rPr>
        <w:fldChar w:fldCharType="separate"/>
      </w:r>
      <w:bookmarkStart w:id="548" w:name="_Toc496784701"/>
      <w:bookmarkStart w:id="549" w:name="_Toc497199024"/>
      <w:bookmarkStart w:id="550" w:name="_Toc493577567"/>
      <w:bookmarkStart w:id="551" w:name="_Toc496784979"/>
      <w:bookmarkEnd w:id="548"/>
      <w:bookmarkEnd w:id="549"/>
      <w:bookmarkEnd w:id="550"/>
      <w:bookmarkEnd w:id="551"/>
      <w:r>
        <w:rPr>
          <w:vanish/>
          <w:u w:val="single"/>
        </w:rPr>
      </w:r>
      <w:r>
        <w:rPr>
          <w:u w:val="single"/>
          <w:vanish/>
        </w:rPr>
        <w:fldChar w:fldCharType="end"/>
      </w:r>
      <w:r>
        <w:rPr>
          <w:strike/>
        </w:rPr>
        <w:t>&lt;&lt;*&gt;&gt;</w:t>
      </w:r>
      <w:r>
        <w:rPr/>
        <w:t xml:space="preserve">. </w:t>
      </w:r>
    </w:p>
    <w:p>
      <w:pPr>
        <w:pStyle w:val="BodyText"/>
        <w:bidi w:val="0"/>
        <w:rPr>
          <w:rFonts w:ascii="Times New Roman" w:hAnsi="Times New Roman"/>
        </w:rPr>
      </w:pPr>
      <w:r>
        <w:rPr/>
      </w:r>
    </w:p>
    <w:p>
      <w:pPr>
        <w:pStyle w:val="BodyText"/>
        <w:bidi w:val="0"/>
        <w:rPr>
          <w:rFonts w:ascii="Times New Roman" w:hAnsi="Times New Roman"/>
        </w:rPr>
      </w:pPr>
      <w:r>
        <w:rPr/>
        <w:tab/>
        <w:t xml:space="preserve">Owner recognizes that </w:t>
      </w:r>
      <w:r>
        <w:rPr>
          <w:b/>
          <w:u w:val="double"/>
        </w:rPr>
        <w:t>some of</w:t>
      </w:r>
      <w:r>
        <w:rPr/>
        <w:t xml:space="preserve"> the software </w:t>
      </w:r>
      <w:r>
        <w:rPr>
          <w:b/>
          <w:u w:val="double"/>
        </w:rPr>
        <w:t>and other intellectual property</w:t>
      </w:r>
      <w:r>
        <w:rPr/>
        <w:t xml:space="preserve"> provided by Contractor to Owner as part of the Scope of Work, may carry with it certain restrictions on </w:t>
      </w:r>
      <w:r>
        <w:rPr>
          <w:b/>
          <w:u w:val="double"/>
        </w:rPr>
        <w:t>use, copying and</w:t>
      </w:r>
      <w:r>
        <w:rPr/>
        <w:t xml:space="preserve"> distribution </w:t>
      </w:r>
      <w:r>
        <w:rPr>
          <w:strike/>
        </w:rPr>
        <w:t>&lt;and that such software will not be disclosed or provided to a third party without the express written authorization of &gt;</w:t>
      </w:r>
      <w:r>
        <w:rPr>
          <w:b/>
          <w:u w:val="double"/>
        </w:rPr>
        <w:t>because it is subject to certain license agreements.    Owner agrees not to violate any licenses of which</w:t>
      </w:r>
      <w:r>
        <w:rPr/>
        <w:t xml:space="preserve"> Contractor </w:t>
      </w:r>
      <w:r>
        <w:rPr>
          <w:b/>
          <w:u w:val="double"/>
        </w:rPr>
        <w:t>informs Owner</w:t>
      </w:r>
      <w:r>
        <w:rPr/>
        <w:t xml:space="preserve">; provided that, Owner shall have the right to assign the benefit of such software and </w:t>
      </w:r>
      <w:r>
        <w:rPr>
          <w:b/>
          <w:u w:val="double"/>
        </w:rPr>
        <w:t>other intellectual property and</w:t>
      </w:r>
      <w:r>
        <w:rPr/>
        <w:t xml:space="preserve"> license granted in this Section 20.5 to Lender in connection with granting a security interest in the Facility, to a purchaser in connection with a transfer of the Facility</w:t>
      </w:r>
      <w:r>
        <w:rPr>
          <w:strike/>
        </w:rPr>
        <w:t>&lt;,&gt;</w:t>
      </w:r>
      <w:r>
        <w:rPr/>
        <w:t xml:space="preserve"> or to any subsequent </w:t>
      </w:r>
      <w:r>
        <w:rPr>
          <w:strike/>
        </w:rPr>
        <w:t>&lt;Owner&gt;</w:t>
      </w:r>
      <w:r>
        <w:rPr/>
        <w:t xml:space="preserve"> </w:t>
      </w:r>
      <w:r>
        <w:rPr>
          <w:b/>
          <w:u w:val="double"/>
        </w:rPr>
        <w:t>owner</w:t>
      </w:r>
      <w:r>
        <w:rPr/>
        <w:t xml:space="preserve"> or assignee of the same</w:t>
      </w:r>
      <w:r>
        <w:rPr>
          <w:b/>
          <w:u w:val="double"/>
        </w:rPr>
        <w:t>, or to a Replacement Contractor</w:t>
      </w:r>
      <w:r>
        <w:rPr/>
        <w:t xml:space="preserve">.    Contractor represents and warrants that it has all rights and licenses necessary for it to provide such software </w:t>
      </w:r>
      <w:r>
        <w:rPr>
          <w:b/>
          <w:u w:val="double"/>
        </w:rPr>
        <w:t>and other intellectual property</w:t>
      </w:r>
      <w:r>
        <w:rPr/>
        <w:t xml:space="preserve"> to Owner as contemplated in this Agreement and grants Owner a perpetual, irrevocable, non-exclusive, transferable and royalty free license for the use</w:t>
      </w:r>
      <w:r>
        <w:rPr>
          <w:b/>
          <w:u w:val="double"/>
        </w:rPr>
        <w:t>,</w:t>
      </w:r>
      <w:r>
        <w:rPr/>
        <w:t xml:space="preserve"> copying, modification, adaptation, display and performance of such software </w:t>
      </w:r>
      <w:r>
        <w:rPr>
          <w:b/>
          <w:u w:val="double"/>
        </w:rPr>
        <w:t>and other intellectual property</w:t>
      </w:r>
      <w:r>
        <w:rPr/>
        <w:t xml:space="preserve"> in connection with the construction, ownership, operation, maintenance, repair, rebuilding, alteration and expansion of the Facility at any time.    Such license allows </w:t>
      </w:r>
      <w:r>
        <w:rPr>
          <w:strike/>
        </w:rPr>
        <w:t>&lt;the&gt;</w:t>
      </w:r>
      <w:r>
        <w:rPr/>
        <w:t xml:space="preserve"> Owner only the limited right to use</w:t>
      </w:r>
      <w:r>
        <w:rPr>
          <w:b/>
          <w:u w:val="double"/>
        </w:rPr>
        <w:t>,</w:t>
      </w:r>
      <w:r>
        <w:rPr/>
        <w:t xml:space="preserve"> copy, modify, adapt, display and perform the software </w:t>
      </w:r>
      <w:r>
        <w:rPr>
          <w:b/>
          <w:u w:val="double"/>
        </w:rPr>
        <w:t>and other intellectual property</w:t>
      </w:r>
      <w:r>
        <w:rPr/>
        <w:t xml:space="preserve"> as set forth herein and shall not convey any title to or ownership in the software </w:t>
      </w:r>
      <w:r>
        <w:rPr>
          <w:b/>
          <w:u w:val="double"/>
        </w:rPr>
        <w:t>and other intellectual property</w:t>
      </w:r>
      <w:r>
        <w:rPr/>
        <w:t xml:space="preserve"> to Owner or any Person to whom Owner is permitted to assign its interests therein. This license shall survive termination of this Agreement by either party for any reason.    Moreover, to the extent Owner is not provided as part of the Work with the source code of any software provided by Contractor to Owner, Contractor shall provide Owner with a source code escrow agreement in form and substance acceptable to Owner from the appropriate software vendor or licensor.</w:t>
      </w:r>
    </w:p>
    <w:p>
      <w:pPr>
        <w:pStyle w:val="BodyText"/>
        <w:bidi w:val="0"/>
        <w:rPr>
          <w:rFonts w:ascii="Times New Roman" w:hAnsi="Times New Roman"/>
        </w:rPr>
      </w:pPr>
      <w:r>
        <w:rPr/>
      </w:r>
    </w:p>
    <w:p>
      <w:pPr>
        <w:pStyle w:val="BodyText"/>
        <w:bidi w:val="0"/>
        <w:rPr>
          <w:rFonts w:ascii="Times New Roman" w:hAnsi="Times New Roman"/>
        </w:rPr>
      </w:pPr>
      <w:r>
        <w:rPr/>
        <w:t>20.6</w:t>
        <w:tab/>
      </w:r>
      <w:r>
        <w:rPr>
          <w:u w:val="single"/>
        </w:rPr>
        <w:t>Intellectual Property Warranties</w:t>
      </w:r>
      <w:r>
        <w:fldChar w:fldCharType="begin"/>
      </w:r>
      <w:r>
        <w:rPr>
          <w:u w:val="single"/>
          <w:vanish/>
        </w:rPr>
        <w:instrText xml:space="preserve"> TC "20.6</w:instrText>
        <w:tab/>
        <w:instrText xml:space="preserve">Intellectual Property Warranties672" \l 1 </w:instrText>
      </w:r>
      <w:r>
        <w:rPr>
          <w:u w:val="single"/>
          <w:vanish/>
        </w:rPr>
        <w:fldChar w:fldCharType="separate"/>
      </w:r>
      <w:bookmarkStart w:id="552" w:name="_Toc493577568"/>
      <w:bookmarkStart w:id="553" w:name="_Toc497199025"/>
      <w:bookmarkStart w:id="554" w:name="_Toc496784980"/>
      <w:bookmarkStart w:id="555" w:name="_Toc496784702"/>
      <w:bookmarkEnd w:id="552"/>
      <w:bookmarkEnd w:id="553"/>
      <w:bookmarkEnd w:id="554"/>
      <w:bookmarkEnd w:id="555"/>
      <w:r>
        <w:rPr>
          <w:vanish/>
          <w:u w:val="single"/>
        </w:rPr>
      </w:r>
      <w:r>
        <w:rPr>
          <w:u w:val="single"/>
          <w:vanish/>
        </w:rPr>
        <w:fldChar w:fldCharType="end"/>
      </w:r>
      <w:r>
        <w:rPr>
          <w:strike/>
        </w:rPr>
        <w:t>&lt;&lt;*&gt;&gt;</w:t>
      </w:r>
      <w:r>
        <w:rPr/>
        <w:t xml:space="preserve">. </w:t>
      </w:r>
    </w:p>
    <w:p>
      <w:pPr>
        <w:pStyle w:val="bodytext1"/>
        <w:bidi w:val="0"/>
        <w:spacing w:lineRule="atLeast" w:line="240"/>
        <w:ind w:firstLine="720" w:start="720"/>
        <w:jc w:val="both"/>
        <w:rPr>
          <w:rFonts w:ascii="Times New Roman" w:hAnsi="Times New Roman"/>
          <w:sz w:val="23"/>
        </w:rPr>
      </w:pPr>
      <w:r>
        <w:rPr>
          <w:sz w:val="23"/>
        </w:rPr>
        <w:t xml:space="preserve">Contractor represents and warrants that, with respect to any Equipment, software, technology, or proprietary information (collectively “Technology”) sold to, transferred to, licensed to, or used by Contractor </w:t>
      </w:r>
      <w:r>
        <w:rPr>
          <w:strike/>
          <w:sz w:val="23"/>
        </w:rPr>
        <w:t>&lt;pursuant to&gt;</w:t>
      </w:r>
      <w:r>
        <w:rPr>
          <w:sz w:val="23"/>
        </w:rPr>
        <w:t xml:space="preserve"> </w:t>
      </w:r>
      <w:r>
        <w:rPr>
          <w:b/>
          <w:sz w:val="23"/>
          <w:u w:val="double"/>
        </w:rPr>
        <w:t>under</w:t>
      </w:r>
      <w:r>
        <w:rPr>
          <w:sz w:val="23"/>
        </w:rPr>
        <w:t xml:space="preserve"> this Agreement:</w:t>
      </w:r>
    </w:p>
    <w:p>
      <w:pPr>
        <w:pStyle w:val="bodytext1"/>
        <w:bidi w:val="0"/>
        <w:spacing w:lineRule="atLeast" w:line="240"/>
        <w:ind w:firstLine="720" w:start="720"/>
        <w:jc w:val="both"/>
        <w:rPr>
          <w:rFonts w:ascii="Times New Roman" w:hAnsi="Times New Roman"/>
          <w:sz w:val="23"/>
        </w:rPr>
      </w:pPr>
      <w:r>
        <w:rPr>
          <w:sz w:val="23"/>
        </w:rPr>
        <w:t>(a)</w:t>
        <w:tab/>
        <w:t>Contractor owns or has sufficient rights, title and interest in such Technology and the intellectual property rights associated with such Technology to sell or license such Technology to Owner or otherwise allow Owner to use such Technology pursuant to the terms of this Agreement;</w:t>
      </w:r>
    </w:p>
    <w:p>
      <w:pPr>
        <w:pStyle w:val="bodytext1"/>
        <w:bidi w:val="0"/>
        <w:spacing w:lineRule="atLeast" w:line="240"/>
        <w:ind w:firstLine="720" w:start="720"/>
        <w:jc w:val="both"/>
        <w:rPr>
          <w:rFonts w:ascii="Times New Roman" w:hAnsi="Times New Roman"/>
          <w:sz w:val="23"/>
        </w:rPr>
      </w:pPr>
      <w:r>
        <w:rPr>
          <w:sz w:val="23"/>
        </w:rPr>
        <w:t>(b)</w:t>
        <w:tab/>
        <w:t>there are no outstanding assignments, grants, licenses, obligations, agreements, liens, encumbrances or claims of any other party (whether written, oral or implied), including, without limitation, any licensing, honoraria, use, royalty or similar fees, associated with or attached to the Technology or which limit or otherwise affect the ability of Owner to use any Technology or which are inconsistent with this Agreement and the rights, duties and obligations contained herein;</w:t>
      </w:r>
    </w:p>
    <w:p>
      <w:pPr>
        <w:pStyle w:val="bodytext1"/>
        <w:bidi w:val="0"/>
        <w:spacing w:lineRule="atLeast" w:line="240"/>
        <w:ind w:firstLine="720" w:start="720"/>
        <w:jc w:val="both"/>
        <w:rPr>
          <w:rFonts w:ascii="Times New Roman" w:hAnsi="Times New Roman"/>
          <w:sz w:val="23"/>
        </w:rPr>
      </w:pPr>
      <w:r>
        <w:rPr>
          <w:sz w:val="23"/>
        </w:rPr>
        <w:t>(c)</w:t>
        <w:tab/>
        <w:t>no Technology infringes or has infringed the intellectual property rights of any third party and when used as anticipated by this Agreement will not infringe or constitute a misappropriation of any intellectual property rights of any third party;</w:t>
      </w:r>
    </w:p>
    <w:p>
      <w:pPr>
        <w:pStyle w:val="bodytext1"/>
        <w:bidi w:val="0"/>
        <w:spacing w:lineRule="atLeast" w:line="240"/>
        <w:ind w:firstLine="720" w:start="720"/>
        <w:jc w:val="both"/>
        <w:rPr>
          <w:rFonts w:ascii="Times New Roman" w:hAnsi="Times New Roman"/>
          <w:sz w:val="23"/>
        </w:rPr>
      </w:pPr>
      <w:r>
        <w:rPr>
          <w:sz w:val="23"/>
        </w:rPr>
        <w:t>(d)</w:t>
        <w:tab/>
        <w:t>no third party has asserted any claim of infringement and Contractor has not received any written or oral notice of any claims of infringement or has a basis to believe that any such infringement exists or has existed in the past;</w:t>
      </w:r>
    </w:p>
    <w:p>
      <w:pPr>
        <w:pStyle w:val="bodytext1"/>
        <w:bidi w:val="0"/>
        <w:spacing w:lineRule="atLeast" w:line="240"/>
        <w:ind w:firstLine="720" w:start="720"/>
        <w:jc w:val="both"/>
        <w:rPr>
          <w:rFonts w:ascii="Times New Roman" w:hAnsi="Times New Roman"/>
          <w:sz w:val="23"/>
        </w:rPr>
      </w:pPr>
      <w:r>
        <w:rPr>
          <w:sz w:val="23"/>
        </w:rPr>
        <w:t>(e)</w:t>
        <w:tab/>
        <w:t>there are no limitations on the sale, license or use of any Technology and associated intellectual property rights by way of any order, decree of court, judgment or otherwise;</w:t>
      </w:r>
    </w:p>
    <w:p>
      <w:pPr>
        <w:pStyle w:val="bodytext1"/>
        <w:bidi w:val="0"/>
        <w:spacing w:lineRule="atLeast" w:line="240"/>
        <w:ind w:firstLine="720" w:start="720"/>
        <w:jc w:val="both"/>
        <w:rPr>
          <w:rFonts w:ascii="Times New Roman" w:hAnsi="Times New Roman"/>
          <w:sz w:val="23"/>
        </w:rPr>
      </w:pPr>
      <w:r>
        <w:rPr>
          <w:sz w:val="23"/>
        </w:rPr>
        <w:t>(f)</w:t>
        <w:tab/>
        <w:t>the execution, delivery and performance of this Agreement will not breach, violate, or conflict with any instrument or agreement governing any intellectual property rights with respect to the Technology or in any way impair the right of Owner to use, sell, license or dispose of the Technology as permitted by this Agreement;</w:t>
      </w:r>
    </w:p>
    <w:p>
      <w:pPr>
        <w:pStyle w:val="bodytext1"/>
        <w:bidi w:val="0"/>
        <w:spacing w:lineRule="atLeast" w:line="240"/>
        <w:ind w:firstLine="720" w:start="720"/>
        <w:jc w:val="both"/>
        <w:rPr>
          <w:rFonts w:ascii="Times New Roman" w:hAnsi="Times New Roman"/>
          <w:sz w:val="23"/>
        </w:rPr>
      </w:pPr>
      <w:r>
        <w:rPr>
          <w:sz w:val="23"/>
        </w:rPr>
        <w:t>(g)</w:t>
        <w:tab/>
        <w:t>the Technology and associated intellectual property rights are not the subject of any pending litigation, arbitration, interference or other proceeding;</w:t>
      </w:r>
    </w:p>
    <w:p>
      <w:pPr>
        <w:pStyle w:val="bodytext1"/>
        <w:bidi w:val="0"/>
        <w:spacing w:lineRule="atLeast" w:line="240"/>
        <w:ind w:firstLine="720" w:start="720"/>
        <w:jc w:val="both"/>
        <w:rPr>
          <w:rFonts w:ascii="Times New Roman" w:hAnsi="Times New Roman"/>
          <w:sz w:val="23"/>
        </w:rPr>
      </w:pPr>
      <w:r>
        <w:rPr>
          <w:sz w:val="23"/>
        </w:rPr>
        <w:t>(h)</w:t>
        <w:tab/>
        <w:t>no portion of any software licensed to Owner or contained in any Technology contains or will contain any code which would, or is designed to, disable the software or associated Technology, or any component of the software or associated Technology, automatically after the passage of time or under the control of a person other than Owner, nor any code which would allow unauthorized access to the software or any component of the software (including Contractor’s or a third party licensor’s use of remote diagnostic software to disable the software or associated Technology) or to gain unauthorized access to the software, nor any code which would otherwise interfere with Owner’s use of the software or associated Technology;</w:t>
      </w:r>
    </w:p>
    <w:p>
      <w:pPr>
        <w:pStyle w:val="bodytext1"/>
        <w:bidi w:val="0"/>
        <w:spacing w:lineRule="atLeast" w:line="240"/>
        <w:ind w:firstLine="720" w:start="720"/>
        <w:jc w:val="both"/>
        <w:rPr>
          <w:rFonts w:ascii="Times New Roman" w:hAnsi="Times New Roman"/>
          <w:sz w:val="23"/>
        </w:rPr>
      </w:pPr>
      <w:r>
        <w:rPr>
          <w:sz w:val="23"/>
        </w:rPr>
        <w:t>(i)</w:t>
        <w:tab/>
        <w:t>there are no viruses in any software licensed to Owner or contained in any Technology sold or licensed to Owner; and</w:t>
      </w:r>
    </w:p>
    <w:p>
      <w:pPr>
        <w:pStyle w:val="BodyText"/>
        <w:bidi w:val="0"/>
        <w:spacing w:before="240" w:after="0"/>
        <w:ind w:firstLine="720" w:start="720"/>
        <w:rPr>
          <w:rFonts w:ascii="Times New Roman" w:hAnsi="Times New Roman"/>
        </w:rPr>
      </w:pPr>
      <w:r>
        <w:rPr/>
        <w:t>(j)</w:t>
        <w:tab/>
        <w:t>there is no third party software incorporated into, which forms a part of or is necessary to execute or utilize the software or Technology.</w:t>
      </w:r>
    </w:p>
    <w:p>
      <w:pPr>
        <w:pStyle w:val="BodyText"/>
        <w:bidi w:val="0"/>
        <w:rPr>
          <w:rFonts w:ascii="Times New Roman" w:hAnsi="Times New Roman"/>
        </w:rPr>
      </w:pPr>
      <w:r>
        <w:rPr/>
      </w:r>
    </w:p>
    <w:p>
      <w:pPr>
        <w:pStyle w:val="Style1toc"/>
        <w:keepNext w:val="true"/>
        <w:bidi w:val="0"/>
        <w:rPr>
          <w:rFonts w:ascii="Times New Roman" w:hAnsi="Times New Roman"/>
        </w:rPr>
      </w:pPr>
      <w:r>
        <w:rPr/>
        <w:t>ARTICLE 21</w:t>
      </w:r>
      <w:r>
        <w:fldChar w:fldCharType="begin"/>
      </w:r>
      <w:r>
        <w:rPr>
          <w:vanish/>
        </w:rPr>
        <w:instrText xml:space="preserve"> TC "ARTICLE 21  SECURITY671" \l 1 </w:instrText>
      </w:r>
      <w:r>
        <w:rPr>
          <w:vanish/>
        </w:rPr>
        <w:fldChar w:fldCharType="separate"/>
      </w:r>
      <w:bookmarkStart w:id="556" w:name="_Toc493577569"/>
      <w:bookmarkStart w:id="557" w:name="_Toc497199026"/>
      <w:bookmarkStart w:id="558" w:name="_Toc496784981"/>
      <w:bookmarkStart w:id="559" w:name="_Toc496784703"/>
      <w:bookmarkEnd w:id="556"/>
      <w:bookmarkEnd w:id="557"/>
      <w:bookmarkEnd w:id="558"/>
      <w:bookmarkEnd w:id="559"/>
      <w:r>
        <w:rPr>
          <w:vanish/>
        </w:rPr>
      </w:r>
      <w:r>
        <w:rPr>
          <w:vanish/>
        </w:rPr>
        <w:fldChar w:fldCharType="end"/>
      </w:r>
      <w:r>
        <w:rPr>
          <w:strike/>
        </w:rPr>
        <w:t>&lt;&lt;*&gt;&gt;</w:t>
      </w:r>
    </w:p>
    <w:p>
      <w:pPr>
        <w:pStyle w:val="Style1toc"/>
        <w:keepNext w:val="true"/>
        <w:bidi w:val="0"/>
        <w:rPr>
          <w:rFonts w:ascii="Times New Roman" w:hAnsi="Times New Roman"/>
        </w:rPr>
      </w:pPr>
      <w:r>
        <w:rPr/>
        <w:t>SECURITY</w:t>
      </w:r>
    </w:p>
    <w:p>
      <w:pPr>
        <w:pStyle w:val="BodyText"/>
        <w:keepNext w:val="true"/>
        <w:bidi w:val="0"/>
        <w:rPr>
          <w:rFonts w:ascii="Times New Roman" w:hAnsi="Times New Roman"/>
        </w:rPr>
      </w:pPr>
      <w:r>
        <w:rPr/>
      </w:r>
    </w:p>
    <w:p>
      <w:pPr>
        <w:pStyle w:val="BodyText"/>
        <w:bidi w:val="0"/>
        <w:rPr>
          <w:rFonts w:ascii="Times New Roman" w:hAnsi="Times New Roman"/>
        </w:rPr>
      </w:pPr>
      <w:r>
        <w:rPr/>
        <w:t>21.1</w:t>
        <w:tab/>
      </w:r>
      <w:r>
        <w:rPr>
          <w:u w:val="single"/>
        </w:rPr>
        <w:t>Retention Bond</w:t>
      </w:r>
      <w:r>
        <w:fldChar w:fldCharType="begin"/>
      </w:r>
      <w:r>
        <w:rPr>
          <w:u w:val="single"/>
          <w:vanish/>
        </w:rPr>
        <w:instrText xml:space="preserve"> TC "21.1</w:instrText>
        <w:tab/>
        <w:instrText xml:space="preserve">Retention Bond672" \l 1 </w:instrText>
      </w:r>
      <w:r>
        <w:rPr>
          <w:u w:val="single"/>
          <w:vanish/>
        </w:rPr>
        <w:fldChar w:fldCharType="separate"/>
      </w:r>
      <w:bookmarkStart w:id="560" w:name="_Toc493577570"/>
      <w:bookmarkStart w:id="561" w:name="_Toc497199027"/>
      <w:bookmarkStart w:id="562" w:name="_Toc496784982"/>
      <w:bookmarkStart w:id="563" w:name="_Toc496784704"/>
      <w:bookmarkEnd w:id="560"/>
      <w:bookmarkEnd w:id="561"/>
      <w:bookmarkEnd w:id="562"/>
      <w:bookmarkEnd w:id="563"/>
      <w:r>
        <w:rPr>
          <w:vanish/>
          <w:u w:val="single"/>
        </w:rPr>
      </w:r>
      <w:r>
        <w:rPr>
          <w:u w:val="single"/>
          <w:vanish/>
        </w:rPr>
        <w:fldChar w:fldCharType="end"/>
      </w:r>
      <w:r>
        <w:rPr>
          <w:strike/>
        </w:rPr>
        <w:t>&lt;&lt;*&gt;&gt;</w:t>
      </w:r>
      <w:r>
        <w:rPr/>
        <w:t xml:space="preserve">. Contractor may reduce the amount of Retainage and/or Punch List Withholding required by this Agreement to the extent Contractor has </w:t>
      </w:r>
      <w:r>
        <w:rPr>
          <w:strike/>
        </w:rPr>
        <w:t>&lt;provided&gt;</w:t>
      </w:r>
      <w:r>
        <w:rPr/>
        <w:t xml:space="preserve"> </w:t>
      </w:r>
      <w:r>
        <w:rPr>
          <w:b/>
          <w:u w:val="double"/>
        </w:rPr>
        <w:t>delivered to</w:t>
      </w:r>
      <w:r>
        <w:rPr/>
        <w:t xml:space="preserve"> Owner one or more irrevocable letters of credit or bank </w:t>
      </w:r>
      <w:r>
        <w:rPr>
          <w:strike/>
        </w:rPr>
        <w:t>&lt;Guarantees&gt;</w:t>
      </w:r>
      <w:r>
        <w:rPr/>
        <w:t xml:space="preserve"> </w:t>
      </w:r>
      <w:r>
        <w:rPr>
          <w:b/>
          <w:u w:val="double"/>
        </w:rPr>
        <w:t>guarantees</w:t>
      </w:r>
      <w:r>
        <w:rPr/>
        <w:t xml:space="preserve"> in a form reasonably acceptable to Owner, issued by a financial institution rated at least “A” by Standard &amp; Poor’s Corporation and at least “A2” by Moody’s Investors Service (the “Retention Bond”) in an amount equal to the proposed reduction.    The Retention Bond may be drawn upon by Owner in U.S. Dollars in the United States of America from time to time for Contractor’s failure to perform any of its material obligations under this Agreement or at any time there is less than </w:t>
      </w:r>
      <w:r>
        <w:rPr>
          <w:strike/>
        </w:rPr>
        <w:t>&lt;14&gt;</w:t>
      </w:r>
      <w:r>
        <w:rPr/>
        <w:t xml:space="preserve"> </w:t>
      </w:r>
      <w:r>
        <w:rPr>
          <w:b/>
          <w:u w:val="double"/>
        </w:rPr>
        <w:t>fourteen (14)</w:t>
      </w:r>
      <w:r>
        <w:rPr/>
        <w:t xml:space="preserve"> days remaining prior to the expiration of such Retention Bond.    </w:t>
      </w:r>
    </w:p>
    <w:p>
      <w:pPr>
        <w:pStyle w:val="BodyText"/>
        <w:bidi w:val="0"/>
        <w:rPr>
          <w:rFonts w:ascii="Times New Roman" w:hAnsi="Times New Roman"/>
        </w:rPr>
      </w:pPr>
      <w:r>
        <w:rPr/>
      </w:r>
    </w:p>
    <w:p>
      <w:pPr>
        <w:pStyle w:val="BodyText"/>
        <w:bidi w:val="0"/>
        <w:rPr>
          <w:rFonts w:ascii="Times New Roman" w:hAnsi="Times New Roman"/>
          <w:b/>
          <w:strike/>
        </w:rPr>
      </w:pPr>
      <w:r>
        <w:rPr>
          <w:b/>
          <w:strike/>
        </w:rPr>
        <w:t xml:space="preserve">&lt;In addition to the Retainage, Owner shall withhold the final Two Million U.S. Dollars (U.S. $2,000,000) of the Contract Price (the “Punchlist Withholding”) until such time that Contractor and Owner have agreed on the Punchlist according to Section 11.5.1 and Contractor tenders the Punchlist Letter of Credit, at which time Owner shall pay to Contractor such withheld amount subject to the Maximum Drawdown Schedule and any other retention provisions of this Agreement. </w:t>
      </w:r>
    </w:p>
    <w:p>
      <w:pPr>
        <w:pStyle w:val="BodyText"/>
        <w:bidi w:val="0"/>
        <w:rPr>
          <w:rFonts w:ascii="Times New Roman" w:hAnsi="Times New Roman"/>
          <w:b/>
          <w:strike/>
        </w:rPr>
      </w:pPr>
      <w:r>
        <w:rPr>
          <w:b/>
          <w:strike/>
        </w:rPr>
      </w:r>
    </w:p>
    <w:p>
      <w:pPr>
        <w:pStyle w:val="BodyText"/>
        <w:bidi w:val="0"/>
        <w:rPr>
          <w:rFonts w:ascii="Times New Roman" w:hAnsi="Times New Roman"/>
          <w:b/>
        </w:rPr>
      </w:pPr>
      <w:r>
        <w:rPr>
          <w:b/>
          <w:strike/>
        </w:rPr>
        <w:t>&gt;</w:t>
      </w:r>
      <w:r>
        <w:rPr>
          <w:b/>
          <w:u w:val="double"/>
        </w:rPr>
        <w:t>[</w:t>
      </w:r>
      <w:r>
        <w:rPr>
          <w:b/>
        </w:rPr>
        <w:t>21.2</w:t>
        <w:tab/>
      </w:r>
      <w:r>
        <w:rPr>
          <w:b/>
          <w:u w:val="single"/>
        </w:rPr>
        <w:t>Parent Guarantee</w:t>
      </w:r>
      <w:r>
        <w:rPr>
          <w:b/>
          <w:strike/>
        </w:rPr>
        <w:t>&lt;&lt;*&gt;&gt;</w:t>
      </w:r>
      <w:r>
        <w:rPr>
          <w:b/>
        </w:rPr>
        <w:t xml:space="preserve">.    Contractor shall obtain a guarantee (the </w:t>
      </w:r>
      <w:r>
        <w:rPr>
          <w:b/>
          <w:strike/>
        </w:rPr>
        <w:t>&lt;"Parent Guarantee"),&gt;</w:t>
      </w:r>
      <w:r>
        <w:rPr>
          <w:b/>
          <w:u w:val="double"/>
        </w:rPr>
        <w:t>“Parent Guarantee”)</w:t>
      </w:r>
      <w:r>
        <w:rPr>
          <w:b/>
        </w:rPr>
        <w:t xml:space="preserve"> to guarantee </w:t>
      </w:r>
      <w:r>
        <w:rPr>
          <w:b/>
          <w:strike/>
        </w:rPr>
        <w:t>&lt;Contractor's payment&gt;</w:t>
      </w:r>
      <w:r>
        <w:rPr>
          <w:b/>
        </w:rPr>
        <w:t xml:space="preserve"> </w:t>
      </w:r>
      <w:r>
        <w:rPr>
          <w:b/>
          <w:u w:val="double"/>
        </w:rPr>
        <w:t>Contractor’s</w:t>
      </w:r>
      <w:r>
        <w:rPr>
          <w:b/>
        </w:rPr>
        <w:t xml:space="preserve"> obligations under this Agreement which shall be substantially in the form of </w:t>
      </w:r>
      <w:r>
        <w:rPr>
          <w:b/>
          <w:u w:val="single"/>
        </w:rPr>
        <w:t>Exhibit T</w:t>
      </w:r>
      <w:r>
        <w:rPr>
          <w:b/>
        </w:rPr>
        <w:t xml:space="preserve"> hereto. </w:t>
      </w:r>
      <w:r>
        <w:rPr>
          <w:b/>
          <w:u w:val="double"/>
        </w:rPr>
        <w:t>]</w:t>
      </w:r>
    </w:p>
    <w:p>
      <w:pPr>
        <w:pStyle w:val="BodyText"/>
        <w:bidi w:val="0"/>
        <w:rPr>
          <w:rFonts w:ascii="Times New Roman" w:hAnsi="Times New Roman"/>
        </w:rPr>
      </w:pPr>
      <w:r>
        <w:rPr/>
      </w:r>
    </w:p>
    <w:p>
      <w:pPr>
        <w:pStyle w:val="BodyText"/>
        <w:bidi w:val="0"/>
        <w:rPr>
          <w:rFonts w:ascii="Times New Roman" w:hAnsi="Times New Roman"/>
        </w:rPr>
      </w:pPr>
      <w:r>
        <w:rPr/>
      </w:r>
    </w:p>
    <w:p>
      <w:pPr>
        <w:pStyle w:val="Style1toc"/>
        <w:keepNext w:val="true"/>
        <w:bidi w:val="0"/>
        <w:rPr>
          <w:rFonts w:ascii="Times New Roman" w:hAnsi="Times New Roman"/>
        </w:rPr>
      </w:pPr>
      <w:r>
        <w:rPr/>
        <w:t>ARTICLE 22</w:t>
      </w:r>
      <w:r>
        <w:fldChar w:fldCharType="begin"/>
      </w:r>
      <w:r>
        <w:rPr>
          <w:vanish/>
        </w:rPr>
        <w:instrText xml:space="preserve"> TC "ARTICLE 22  MISCELLANEOUS PROVISIONS671" \l 1 </w:instrText>
      </w:r>
      <w:r>
        <w:rPr>
          <w:vanish/>
        </w:rPr>
        <w:fldChar w:fldCharType="separate"/>
      </w:r>
      <w:bookmarkStart w:id="564" w:name="_Toc496784706"/>
      <w:bookmarkStart w:id="565" w:name="_Toc496784984"/>
      <w:bookmarkStart w:id="566" w:name="_Toc493577572"/>
      <w:bookmarkStart w:id="567" w:name="_Toc497199029"/>
      <w:bookmarkEnd w:id="564"/>
      <w:bookmarkEnd w:id="565"/>
      <w:bookmarkEnd w:id="566"/>
      <w:bookmarkEnd w:id="567"/>
      <w:r>
        <w:rPr>
          <w:vanish/>
        </w:rPr>
      </w:r>
      <w:r>
        <w:rPr>
          <w:vanish/>
        </w:rPr>
        <w:fldChar w:fldCharType="end"/>
      </w:r>
      <w:r>
        <w:rPr>
          <w:strike/>
        </w:rPr>
        <w:t>&lt;&lt;*&gt;&gt;</w:t>
      </w:r>
    </w:p>
    <w:p>
      <w:pPr>
        <w:pStyle w:val="Style1toc"/>
        <w:keepNext w:val="true"/>
        <w:bidi w:val="0"/>
        <w:rPr>
          <w:rFonts w:ascii="Times New Roman" w:hAnsi="Times New Roman"/>
        </w:rPr>
      </w:pPr>
      <w:r>
        <w:rPr/>
        <w:t>MISCELLANEOUS PROVISIONS</w:t>
      </w:r>
    </w:p>
    <w:p>
      <w:pPr>
        <w:pStyle w:val="Style2toc"/>
        <w:bidi w:val="0"/>
        <w:spacing w:before="240" w:after="0"/>
        <w:rPr>
          <w:rFonts w:ascii="Times New Roman" w:hAnsi="Times New Roman"/>
        </w:rPr>
      </w:pPr>
      <w:r>
        <w:rPr/>
        <w:t>22.1</w:t>
        <w:tab/>
      </w:r>
      <w:r>
        <w:rPr>
          <w:u w:val="single"/>
        </w:rPr>
        <w:t>Governing Law</w:t>
      </w:r>
      <w:r>
        <w:fldChar w:fldCharType="begin"/>
      </w:r>
      <w:r>
        <w:rPr>
          <w:u w:val="single"/>
          <w:vanish/>
        </w:rPr>
        <w:instrText xml:space="preserve"> TC "22.1</w:instrText>
        <w:tab/>
        <w:instrText xml:space="preserve">Governing Law672" \l 1 </w:instrText>
      </w:r>
      <w:r>
        <w:rPr>
          <w:u w:val="single"/>
          <w:vanish/>
        </w:rPr>
        <w:fldChar w:fldCharType="separate"/>
      </w:r>
      <w:bookmarkStart w:id="568" w:name="_Toc493577573"/>
      <w:bookmarkStart w:id="569" w:name="_Toc497199030"/>
      <w:bookmarkStart w:id="570" w:name="_Toc496784985"/>
      <w:bookmarkStart w:id="571" w:name="_Toc496784707"/>
      <w:bookmarkEnd w:id="568"/>
      <w:bookmarkEnd w:id="569"/>
      <w:bookmarkEnd w:id="570"/>
      <w:bookmarkEnd w:id="571"/>
      <w:r>
        <w:rPr>
          <w:vanish/>
          <w:u w:val="single"/>
        </w:rPr>
      </w:r>
      <w:r>
        <w:rPr>
          <w:u w:val="single"/>
          <w:vanish/>
        </w:rPr>
        <w:fldChar w:fldCharType="end"/>
      </w:r>
      <w:r>
        <w:rPr>
          <w:strike/>
        </w:rPr>
        <w:t>&lt;&lt;*&gt;&gt;</w:t>
      </w:r>
      <w:r>
        <w:rPr/>
        <w:t xml:space="preserve">. </w:t>
      </w:r>
      <w:r>
        <w:rPr>
          <w:b/>
        </w:rPr>
        <w:t xml:space="preserve">THIS AGREEMENT AND THE CONSTRUCTION AND INTERPRETATION OF THIS AGREEMENT, AND ANY DISPUTES ARISING OUT OF OR RELATING TO THIS AGREEMENT SHALL BE GOVERNED BY, CONSTRUED AND ENFORCED IN ACCORDANCE WITH, THE LAWS OF THE STATE OF </w:t>
      </w:r>
      <w:r>
        <w:rPr>
          <w:b/>
          <w:strike/>
        </w:rPr>
        <w:t>&lt;CALIFORNIA&gt;</w:t>
      </w:r>
      <w:r>
        <w:rPr>
          <w:b/>
          <w:u w:val="double"/>
        </w:rPr>
        <w:t>[_________________]</w:t>
      </w:r>
      <w:r>
        <w:rPr>
          <w:b/>
        </w:rPr>
        <w:t xml:space="preserve"> WITHOUT APPLICATION OF ITS CHOICE OF LAW RULES OR THE UNITED NATIONS CONVENTION ON CONTRACTS FOR THE SALE OF GOODS.</w:t>
      </w:r>
    </w:p>
    <w:p>
      <w:pPr>
        <w:pStyle w:val="BodyText"/>
        <w:bidi w:val="0"/>
        <w:rPr>
          <w:rFonts w:ascii="Times New Roman" w:hAnsi="Times New Roman"/>
        </w:rPr>
      </w:pPr>
      <w:r>
        <w:rPr/>
      </w:r>
    </w:p>
    <w:p>
      <w:pPr>
        <w:pStyle w:val="BodyText"/>
        <w:bidi w:val="0"/>
        <w:rPr>
          <w:rFonts w:ascii="Times New Roman" w:hAnsi="Times New Roman"/>
        </w:rPr>
      </w:pPr>
      <w:r>
        <w:rPr/>
        <w:t>22.2</w:t>
        <w:tab/>
      </w:r>
      <w:r>
        <w:rPr>
          <w:u w:val="single"/>
        </w:rPr>
        <w:t>Notice</w:t>
      </w:r>
      <w:r>
        <w:fldChar w:fldCharType="begin"/>
      </w:r>
      <w:r>
        <w:rPr>
          <w:u w:val="single"/>
          <w:vanish/>
        </w:rPr>
        <w:instrText xml:space="preserve"> TC "22.2</w:instrText>
        <w:tab/>
        <w:instrText xml:space="preserve">Notice672" \l 1 </w:instrText>
      </w:r>
      <w:r>
        <w:rPr>
          <w:u w:val="single"/>
          <w:vanish/>
        </w:rPr>
        <w:fldChar w:fldCharType="separate"/>
      </w:r>
      <w:bookmarkStart w:id="572" w:name="_Toc496784708"/>
      <w:bookmarkStart w:id="573" w:name="_Toc496784986"/>
      <w:bookmarkStart w:id="574" w:name="_Toc497199031"/>
      <w:bookmarkStart w:id="575" w:name="_Toc493577574"/>
      <w:bookmarkEnd w:id="572"/>
      <w:bookmarkEnd w:id="573"/>
      <w:bookmarkEnd w:id="574"/>
      <w:bookmarkEnd w:id="575"/>
      <w:r>
        <w:rPr>
          <w:vanish/>
          <w:u w:val="single"/>
        </w:rPr>
      </w:r>
      <w:r>
        <w:rPr>
          <w:u w:val="single"/>
          <w:vanish/>
        </w:rPr>
        <w:fldChar w:fldCharType="end"/>
      </w:r>
      <w:r>
        <w:rPr>
          <w:strike/>
        </w:rPr>
        <w:t>&lt;&lt;*&gt;. Any notice, demand, offer, or other written instrument required or permitted to be given pursuant to&gt;</w:t>
      </w:r>
      <w:r>
        <w:rPr>
          <w:b/>
          <w:u w:val="double"/>
        </w:rPr>
        <w:t>.    Notices or communications with respect to routine performance and administration of</w:t>
      </w:r>
      <w:r>
        <w:rPr/>
        <w:t xml:space="preserve"> this Agreement shall be </w:t>
      </w:r>
      <w:r>
        <w:rPr>
          <w:strike/>
        </w:rPr>
        <w:t>&lt;in writing signed by the party giving such notice&gt;</w:t>
      </w:r>
      <w:r>
        <w:rPr/>
        <w:t xml:space="preserve"> </w:t>
      </w:r>
      <w:r>
        <w:rPr>
          <w:b/>
          <w:u w:val="double"/>
        </w:rPr>
        <w:t>given by such means as may be appropriate to provide adequate communication, including written confirmation as necessary.    All other notices, consents, requests, demands or other communications to or upon the respective parties shall be in writing</w:t>
      </w:r>
      <w:r>
        <w:rPr/>
        <w:t xml:space="preserve"> and shall be </w:t>
      </w:r>
      <w:r>
        <w:rPr>
          <w:strike/>
        </w:rPr>
        <w:t>&lt;hand delivered or sent by registered letter or telefax (subject to confirmation of receipt) to the address or telefax number set forth below.&gt;</w:t>
      </w:r>
      <w:r>
        <w:rPr/>
        <w:t xml:space="preserve"> </w:t>
      </w:r>
      <w:r>
        <w:rPr>
          <w:b/>
          <w:u w:val="double"/>
        </w:rPr>
        <w:t>effective for all purposes upon receipt on any Business Day before 5:00 PM local time and on the next Business Day if received after 5:00 PM or on other than a Business Day, including without limitation, in the case of (a) personal delivery, (b) delivery by messenger, express or air courier or similar courier, (c) delivery by United States first class certified or registered mail, postage prepaid and (d) transmittal by telecopier or facsimile, addressed to the parties at the following addresses:</w:t>
      </w:r>
      <w:r>
        <w:rPr/>
        <w:t xml:space="preserve">    </w:t>
      </w:r>
    </w:p>
    <w:p>
      <w:pPr>
        <w:pStyle w:val="BodyText"/>
        <w:bidi w:val="0"/>
        <w:rPr>
          <w:rFonts w:ascii="Times New Roman" w:hAnsi="Times New Roman"/>
        </w:rPr>
      </w:pPr>
      <w:r>
        <w:rPr/>
      </w:r>
    </w:p>
    <w:p>
      <w:pPr>
        <w:pStyle w:val="BodyText"/>
        <w:keepNext w:val="true"/>
        <w:bidi w:val="0"/>
        <w:rPr>
          <w:rFonts w:ascii="Times New Roman" w:hAnsi="Times New Roman"/>
        </w:rPr>
      </w:pPr>
      <w:r>
        <w:rPr/>
        <w:t>To Owner:</w:t>
      </w:r>
    </w:p>
    <w:p>
      <w:pPr>
        <w:pStyle w:val="BodyText"/>
        <w:keepNext w:val="true"/>
        <w:bidi w:val="0"/>
        <w:rPr>
          <w:rFonts w:ascii="Times New Roman" w:hAnsi="Times New Roman"/>
        </w:rPr>
      </w:pPr>
      <w:r>
        <w:rPr/>
      </w:r>
    </w:p>
    <w:p>
      <w:pPr>
        <w:pStyle w:val="BodyText"/>
        <w:keepNext w:val="true"/>
        <w:bidi w:val="0"/>
        <w:jc w:val="start"/>
        <w:rPr>
          <w:rFonts w:ascii="Times New Roman" w:hAnsi="Times New Roman"/>
        </w:rPr>
      </w:pPr>
      <w:r>
        <w:rPr>
          <w:strike/>
        </w:rPr>
        <w:t>&lt;Pastoria Energy Facility, LLC&gt;</w:t>
      </w:r>
      <w:r>
        <w:rPr>
          <w:b/>
          <w:u w:val="double"/>
        </w:rPr>
        <w:t>______________________</w:t>
      </w:r>
    </w:p>
    <w:p>
      <w:pPr>
        <w:pStyle w:val="BodyText"/>
        <w:keepNext w:val="true"/>
        <w:bidi w:val="0"/>
        <w:jc w:val="start"/>
        <w:rPr>
          <w:rFonts w:ascii="Times New Roman" w:hAnsi="Times New Roman"/>
          <w:b/>
          <w:u w:val="double"/>
        </w:rPr>
      </w:pPr>
      <w:r>
        <w:rPr>
          <w:strike/>
        </w:rPr>
        <w:t>&lt;c/o Enron North American Corp.101 California Street, Suite 1950San Francisco, CA 94111&gt;</w:t>
      </w:r>
      <w:r>
        <w:rPr>
          <w:b/>
          <w:u w:val="double"/>
        </w:rPr>
        <w:t>______________________</w:t>
      </w:r>
    </w:p>
    <w:p>
      <w:pPr>
        <w:pStyle w:val="BodyText"/>
        <w:keepNext w:val="true"/>
        <w:bidi w:val="0"/>
        <w:jc w:val="start"/>
        <w:rPr>
          <w:rFonts w:ascii="Times New Roman" w:hAnsi="Times New Roman"/>
          <w:b/>
          <w:u w:val="double"/>
        </w:rPr>
      </w:pPr>
      <w:r>
        <w:rPr>
          <w:b/>
          <w:u w:val="double"/>
        </w:rPr>
        <w:t>______________________</w:t>
      </w:r>
    </w:p>
    <w:p>
      <w:pPr>
        <w:pStyle w:val="BodyText"/>
        <w:keepNext w:val="true"/>
        <w:bidi w:val="0"/>
        <w:jc w:val="start"/>
        <w:rPr>
          <w:rFonts w:ascii="Times New Roman" w:hAnsi="Times New Roman"/>
        </w:rPr>
      </w:pPr>
      <w:r>
        <w:rPr>
          <w:b/>
          <w:u w:val="double"/>
        </w:rPr>
        <w:t>______________________</w:t>
      </w:r>
    </w:p>
    <w:p>
      <w:pPr>
        <w:pStyle w:val="BodyText"/>
        <w:keepNext w:val="true"/>
        <w:bidi w:val="0"/>
        <w:jc w:val="start"/>
        <w:rPr>
          <w:rFonts w:ascii="Times New Roman" w:hAnsi="Times New Roman"/>
          <w:b/>
          <w:u w:val="double"/>
        </w:rPr>
      </w:pPr>
      <w:r>
        <w:rPr/>
        <w:t xml:space="preserve">Attention: </w:t>
      </w:r>
      <w:r>
        <w:rPr>
          <w:strike/>
        </w:rPr>
        <w:t>&lt;Dean S. Russell, P.E.Telefax: (415) 782-7851&gt;</w:t>
      </w:r>
      <w:r>
        <w:rPr>
          <w:b/>
          <w:u w:val="double"/>
        </w:rPr>
        <w:t>_________________</w:t>
      </w:r>
    </w:p>
    <w:p>
      <w:pPr>
        <w:pStyle w:val="BodyText"/>
        <w:bidi w:val="0"/>
        <w:rPr>
          <w:rFonts w:ascii="Times New Roman" w:hAnsi="Times New Roman"/>
          <w:b/>
          <w:u w:val="double"/>
        </w:rPr>
      </w:pPr>
      <w:r>
        <w:rPr>
          <w:b/>
          <w:u w:val="double"/>
        </w:rPr>
        <w:t>Fax:    __________________</w:t>
      </w:r>
    </w:p>
    <w:p>
      <w:pPr>
        <w:pStyle w:val="BodyText"/>
        <w:bidi w:val="0"/>
        <w:rPr>
          <w:rFonts w:ascii="Times New Roman" w:hAnsi="Times New Roman"/>
          <w:b/>
          <w:u w:val="double"/>
        </w:rPr>
      </w:pPr>
      <w:r>
        <w:rPr>
          <w:b/>
          <w:u w:val="double"/>
        </w:rPr>
      </w:r>
    </w:p>
    <w:p>
      <w:pPr>
        <w:pStyle w:val="BodyText"/>
        <w:bidi w:val="0"/>
        <w:rPr>
          <w:rFonts w:ascii="Times New Roman" w:hAnsi="Times New Roman"/>
          <w:b/>
          <w:u w:val="double"/>
        </w:rPr>
      </w:pPr>
      <w:r>
        <w:rPr>
          <w:b/>
          <w:u w:val="double"/>
        </w:rPr>
      </w:r>
    </w:p>
    <w:p>
      <w:pPr>
        <w:pStyle w:val="BodyText"/>
        <w:bidi w:val="0"/>
        <w:rPr>
          <w:rFonts w:ascii="Times New Roman" w:hAnsi="Times New Roman"/>
          <w:b/>
          <w:u w:val="double"/>
        </w:rPr>
      </w:pPr>
      <w:r>
        <w:rPr>
          <w:b/>
          <w:u w:val="double"/>
        </w:rPr>
        <w:t>To ENA:</w:t>
      </w:r>
    </w:p>
    <w:p>
      <w:pPr>
        <w:pStyle w:val="BodyText"/>
        <w:bidi w:val="0"/>
        <w:rPr>
          <w:rFonts w:ascii="Times New Roman" w:hAnsi="Times New Roman"/>
          <w:b/>
          <w:u w:val="double"/>
        </w:rPr>
      </w:pPr>
      <w:r>
        <w:rPr>
          <w:b/>
          <w:u w:val="double"/>
        </w:rPr>
      </w:r>
    </w:p>
    <w:p>
      <w:pPr>
        <w:pStyle w:val="BodyText"/>
        <w:keepNext w:val="true"/>
        <w:bidi w:val="0"/>
        <w:jc w:val="start"/>
        <w:rPr>
          <w:rFonts w:ascii="Times New Roman" w:hAnsi="Times New Roman"/>
          <w:b/>
          <w:u w:val="double"/>
        </w:rPr>
      </w:pPr>
      <w:r>
        <w:rPr>
          <w:b/>
          <w:u w:val="double"/>
        </w:rPr>
        <w:t>______________________</w:t>
      </w:r>
    </w:p>
    <w:p>
      <w:pPr>
        <w:pStyle w:val="BodyText"/>
        <w:keepNext w:val="true"/>
        <w:bidi w:val="0"/>
        <w:jc w:val="start"/>
        <w:rPr>
          <w:rFonts w:ascii="Times New Roman" w:hAnsi="Times New Roman"/>
          <w:b/>
          <w:u w:val="double"/>
        </w:rPr>
      </w:pPr>
      <w:r>
        <w:rPr>
          <w:b/>
          <w:u w:val="double"/>
        </w:rPr>
        <w:t>______________________</w:t>
      </w:r>
    </w:p>
    <w:p>
      <w:pPr>
        <w:pStyle w:val="BodyText"/>
        <w:keepNext w:val="true"/>
        <w:bidi w:val="0"/>
        <w:jc w:val="start"/>
        <w:rPr>
          <w:rFonts w:ascii="Times New Roman" w:hAnsi="Times New Roman"/>
          <w:b/>
          <w:u w:val="double"/>
        </w:rPr>
      </w:pPr>
      <w:r>
        <w:rPr>
          <w:b/>
          <w:u w:val="double"/>
        </w:rPr>
        <w:t>______________________</w:t>
      </w:r>
    </w:p>
    <w:p>
      <w:pPr>
        <w:pStyle w:val="BodyText"/>
        <w:keepNext w:val="true"/>
        <w:bidi w:val="0"/>
        <w:jc w:val="start"/>
        <w:rPr>
          <w:rFonts w:ascii="Times New Roman" w:hAnsi="Times New Roman"/>
          <w:b/>
          <w:u w:val="double"/>
        </w:rPr>
      </w:pPr>
      <w:r>
        <w:rPr>
          <w:b/>
          <w:u w:val="double"/>
        </w:rPr>
        <w:t>______________________</w:t>
      </w:r>
    </w:p>
    <w:p>
      <w:pPr>
        <w:pStyle w:val="BodyText"/>
        <w:keepNext w:val="true"/>
        <w:bidi w:val="0"/>
        <w:jc w:val="start"/>
        <w:rPr>
          <w:rFonts w:ascii="Times New Roman" w:hAnsi="Times New Roman"/>
          <w:b/>
          <w:u w:val="double"/>
        </w:rPr>
      </w:pPr>
      <w:r>
        <w:rPr>
          <w:b/>
          <w:u w:val="double"/>
        </w:rPr>
        <w:t>Attention:_________________</w:t>
      </w:r>
    </w:p>
    <w:p>
      <w:pPr>
        <w:pStyle w:val="BodyText"/>
        <w:bidi w:val="0"/>
        <w:rPr>
          <w:rFonts w:ascii="Times New Roman" w:hAnsi="Times New Roman"/>
        </w:rPr>
      </w:pPr>
      <w:r>
        <w:rPr>
          <w:b/>
          <w:u w:val="double"/>
        </w:rPr>
        <w:t>Fax:    __________________</w:t>
      </w:r>
    </w:p>
    <w:p>
      <w:pPr>
        <w:pStyle w:val="BodyText"/>
        <w:bidi w:val="0"/>
        <w:rPr>
          <w:rFonts w:ascii="Times New Roman" w:hAnsi="Times New Roman"/>
        </w:rPr>
      </w:pPr>
      <w:r>
        <w:rPr/>
      </w:r>
    </w:p>
    <w:p>
      <w:pPr>
        <w:pStyle w:val="BodyText"/>
        <w:bidi w:val="0"/>
        <w:rPr>
          <w:rFonts w:ascii="Times New Roman" w:hAnsi="Times New Roman"/>
        </w:rPr>
      </w:pPr>
      <w:r>
        <w:rPr/>
      </w:r>
    </w:p>
    <w:p>
      <w:pPr>
        <w:pStyle w:val="BodyText"/>
        <w:bidi w:val="0"/>
        <w:rPr>
          <w:rFonts w:ascii="Times New Roman" w:hAnsi="Times New Roman"/>
        </w:rPr>
      </w:pPr>
      <w:r>
        <w:rPr/>
        <w:t>To Contractor:</w:t>
      </w:r>
    </w:p>
    <w:p>
      <w:pPr>
        <w:pStyle w:val="BodyText"/>
        <w:bidi w:val="0"/>
        <w:rPr>
          <w:rFonts w:ascii="Times New Roman" w:hAnsi="Times New Roman"/>
        </w:rPr>
      </w:pPr>
      <w:r>
        <w:rPr/>
      </w:r>
    </w:p>
    <w:p>
      <w:pPr>
        <w:pStyle w:val="BodyText"/>
        <w:keepNext w:val="true"/>
        <w:bidi w:val="0"/>
        <w:jc w:val="start"/>
        <w:rPr>
          <w:rFonts w:ascii="Times New Roman" w:hAnsi="Times New Roman"/>
        </w:rPr>
      </w:pPr>
      <w:r>
        <w:rPr>
          <w:strike/>
        </w:rPr>
        <w:t>&lt;Enron Consolidated Construction Company&gt;</w:t>
      </w:r>
      <w:r>
        <w:rPr>
          <w:b/>
          <w:u w:val="double"/>
        </w:rPr>
        <w:t>______________________</w:t>
      </w:r>
    </w:p>
    <w:p>
      <w:pPr>
        <w:pStyle w:val="BodyText"/>
        <w:keepNext w:val="true"/>
        <w:bidi w:val="0"/>
        <w:jc w:val="start"/>
        <w:rPr>
          <w:rFonts w:ascii="Times New Roman" w:hAnsi="Times New Roman"/>
        </w:rPr>
      </w:pPr>
      <w:r>
        <w:rPr>
          <w:strike/>
        </w:rPr>
        <w:t>&lt;c/o National Energy Production Corporation&gt;</w:t>
      </w:r>
      <w:r>
        <w:rPr>
          <w:b/>
          <w:u w:val="double"/>
        </w:rPr>
        <w:t>______________________</w:t>
      </w:r>
    </w:p>
    <w:p>
      <w:pPr>
        <w:pStyle w:val="BodyText"/>
        <w:keepNext w:val="true"/>
        <w:bidi w:val="0"/>
        <w:jc w:val="start"/>
        <w:rPr>
          <w:rFonts w:ascii="Times New Roman" w:hAnsi="Times New Roman"/>
          <w:strike/>
        </w:rPr>
      </w:pPr>
      <w:r>
        <w:rPr>
          <w:strike/>
        </w:rPr>
        <w:t>&lt;11831 North Creek Parkway North</w:t>
      </w:r>
    </w:p>
    <w:p>
      <w:pPr>
        <w:pStyle w:val="BodyText"/>
        <w:keepNext w:val="true"/>
        <w:bidi w:val="0"/>
        <w:jc w:val="start"/>
        <w:rPr>
          <w:rFonts w:ascii="Times New Roman" w:hAnsi="Times New Roman"/>
        </w:rPr>
      </w:pPr>
      <w:r>
        <w:rPr>
          <w:strike/>
        </w:rPr>
        <w:t>Bothell, WA 98011&gt;</w:t>
      </w:r>
      <w:r>
        <w:rPr>
          <w:b/>
          <w:u w:val="double"/>
        </w:rPr>
        <w:t>______________________</w:t>
      </w:r>
    </w:p>
    <w:p>
      <w:pPr>
        <w:pStyle w:val="BodyText"/>
        <w:keepNext w:val="true"/>
        <w:bidi w:val="0"/>
        <w:jc w:val="start"/>
        <w:rPr>
          <w:rFonts w:ascii="Times New Roman" w:hAnsi="Times New Roman"/>
        </w:rPr>
      </w:pPr>
      <w:r>
        <w:rPr/>
        <w:t xml:space="preserve">Attention: </w:t>
      </w:r>
      <w:r>
        <w:rPr>
          <w:strike/>
        </w:rPr>
        <w:t>&lt;Gene Larson, P.E.&gt;</w:t>
      </w:r>
      <w:r>
        <w:rPr>
          <w:b/>
          <w:u w:val="double"/>
        </w:rPr>
        <w:t>_________________</w:t>
      </w:r>
    </w:p>
    <w:p>
      <w:pPr>
        <w:pStyle w:val="BodyText"/>
        <w:bidi w:val="0"/>
        <w:rPr>
          <w:rFonts w:ascii="Times New Roman" w:hAnsi="Times New Roman"/>
        </w:rPr>
      </w:pPr>
      <w:r>
        <w:rPr>
          <w:strike/>
        </w:rPr>
        <w:t>&lt;Telefax: (425) 415-3986&gt;</w:t>
      </w:r>
      <w:r>
        <w:rPr/>
        <w:t xml:space="preserve"> </w:t>
      </w:r>
      <w:r>
        <w:rPr>
          <w:b/>
          <w:u w:val="double"/>
        </w:rPr>
        <w:t>Fax:    __________________</w:t>
      </w:r>
    </w:p>
    <w:p>
      <w:pPr>
        <w:pStyle w:val="BodyText"/>
        <w:bidi w:val="0"/>
        <w:rPr>
          <w:rFonts w:ascii="Times New Roman" w:hAnsi="Times New Roman"/>
        </w:rPr>
      </w:pPr>
      <w:r>
        <w:rPr/>
      </w:r>
    </w:p>
    <w:p>
      <w:pPr>
        <w:pStyle w:val="BodyText"/>
        <w:bidi w:val="0"/>
        <w:rPr>
          <w:rFonts w:ascii="Times New Roman" w:hAnsi="Times New Roman"/>
        </w:rPr>
      </w:pPr>
      <w:r>
        <w:rPr/>
        <w:tab/>
      </w:r>
      <w:r>
        <w:rPr>
          <w:strike/>
        </w:rPr>
        <w:t>&lt;Each party to this Agreement shall have the right to change the place to which notice shall be sent or delivered by similar notice sent in like manner&gt;</w:t>
      </w:r>
      <w:r>
        <w:rPr/>
        <w:t xml:space="preserve"> </w:t>
      </w:r>
      <w:r>
        <w:rPr>
          <w:b/>
          <w:u w:val="double"/>
        </w:rPr>
        <w:t xml:space="preserve">Either party may change its address by seven (7) day’s prior written notice </w:t>
      </w:r>
      <w:r>
        <w:rPr/>
        <w:t xml:space="preserve">to the other </w:t>
      </w:r>
      <w:r>
        <w:rPr>
          <w:strike/>
        </w:rPr>
        <w:t>&lt;party. The effective date of any notice issued pursuant to this Agreement shall be the earlier of (a) the addressee's receipt of such notice and (b) the date three days after such notice was sent by properly addressed, registered or certified mail.&gt;</w:t>
      </w:r>
      <w:r>
        <w:rPr/>
        <w:t xml:space="preserve"> </w:t>
      </w:r>
      <w:r>
        <w:rPr>
          <w:b/>
          <w:u w:val="double"/>
        </w:rPr>
        <w:t>in the manner set forth above.    In addition, either party may designate from time to time, by written notice given under this Section, additional addresses for notices or other or additional representatives for receipt of notices.    Receipt of communications by United States first class or registered mail or by courier will be sufficiently evidenced by return receipt.    Receipt of communications by facsimile will be sufficiently evidenced by a machine generated evidence of transmission without notation of error.    In the case of illegible or otherwise unreadable facsimile transmissions, the receiving party shall promptly notify the transmitting party of any transmission problem and the transmitting party shall promptly resend any affected pages.</w:t>
      </w:r>
    </w:p>
    <w:p>
      <w:pPr>
        <w:pStyle w:val="BodyText"/>
        <w:bidi w:val="0"/>
        <w:rPr>
          <w:rFonts w:ascii="Times New Roman" w:hAnsi="Times New Roman"/>
        </w:rPr>
      </w:pPr>
      <w:r>
        <w:rPr/>
      </w:r>
    </w:p>
    <w:p>
      <w:pPr>
        <w:pStyle w:val="BodyText"/>
        <w:bidi w:val="0"/>
        <w:rPr>
          <w:rFonts w:ascii="Times New Roman" w:hAnsi="Times New Roman"/>
          <w:b/>
        </w:rPr>
      </w:pPr>
      <w:r>
        <w:rPr>
          <w:strike/>
        </w:rPr>
        <w:t>&lt;22.3 Assignment&lt;*&gt;.&gt;</w:t>
      </w:r>
      <w:r>
        <w:rPr/>
        <w:t xml:space="preserve"> </w:t>
      </w:r>
      <w:r>
        <w:rPr>
          <w:b/>
          <w:u w:val="double"/>
        </w:rPr>
        <w:t>22.3</w:t>
      </w:r>
      <w:r>
        <w:rPr/>
        <w:tab/>
      </w:r>
      <w:r>
        <w:rPr>
          <w:b/>
          <w:u w:val="double"/>
        </w:rPr>
        <w:t>Assignment</w:t>
      </w:r>
      <w:r>
        <w:fldChar w:fldCharType="begin"/>
      </w:r>
      <w:r>
        <w:rPr>
          <w:u w:val="single"/>
          <w:vanish/>
        </w:rPr>
        <w:instrText xml:space="preserve"> TC "22.3</w:instrText>
        <w:tab/>
        <w:instrText xml:space="preserve">Assignment672" \l 1 </w:instrText>
      </w:r>
      <w:r>
        <w:rPr>
          <w:u w:val="single"/>
          <w:vanish/>
        </w:rPr>
        <w:fldChar w:fldCharType="separate"/>
      </w:r>
      <w:bookmarkStart w:id="576" w:name="_Toc493577575"/>
      <w:bookmarkStart w:id="577" w:name="_Toc497199032"/>
      <w:bookmarkStart w:id="578" w:name="_Toc496784987"/>
      <w:bookmarkStart w:id="579" w:name="_Toc496784709"/>
      <w:bookmarkEnd w:id="576"/>
      <w:bookmarkEnd w:id="577"/>
      <w:bookmarkEnd w:id="578"/>
      <w:bookmarkEnd w:id="579"/>
      <w:r>
        <w:rPr>
          <w:vanish/>
          <w:u w:val="single"/>
        </w:rPr>
      </w:r>
      <w:r>
        <w:rPr>
          <w:u w:val="single"/>
          <w:vanish/>
        </w:rPr>
        <w:fldChar w:fldCharType="end"/>
      </w:r>
      <w:r>
        <w:rPr>
          <w:b/>
          <w:u w:val="double"/>
        </w:rPr>
        <w:t>.</w:t>
      </w:r>
      <w:r>
        <w:rPr/>
        <w:t xml:space="preserve"> Except as set forth below in this Section 22.3, this Agreement may be assigned only with the prior written consent of the other party to this Agreement.    Owner may assign this Agreement and any rights or obligations hereunder to </w:t>
      </w:r>
      <w:r>
        <w:rPr>
          <w:strike/>
        </w:rPr>
        <w:t>&lt;any&gt;</w:t>
      </w:r>
      <w:r>
        <w:rPr>
          <w:b/>
          <w:u w:val="double"/>
        </w:rPr>
        <w:t>(1) any Person that acquires Owner’s interest in the Facility and demonstrates the financial ability to satisfy Owner’s obligations under this Agreement, and (2) any</w:t>
      </w:r>
      <w:r>
        <w:rPr/>
        <w:t xml:space="preserve"> Lender or any trustee or agent of any Lender as collateral security (and in connection </w:t>
      </w:r>
      <w:r>
        <w:rPr>
          <w:strike/>
        </w:rPr>
        <w:t>&lt;therewith&gt;</w:t>
      </w:r>
      <w:r>
        <w:rPr/>
        <w:t xml:space="preserve"> </w:t>
      </w:r>
      <w:r>
        <w:rPr>
          <w:b/>
          <w:u w:val="double"/>
        </w:rPr>
        <w:t>with the same</w:t>
      </w:r>
      <w:r>
        <w:rPr/>
        <w:t xml:space="preserve">, Contractor hereby agrees to execute and deliver to Lender a consent agreement in the form reasonably requested by Lender).    </w:t>
      </w:r>
      <w:r>
        <w:rPr>
          <w:strike/>
        </w:rPr>
        <w:t>&lt;Owner may assign this Agreement or any interest therein to any Person or to any Affiliate of Owner; provided that Owner unconditionally guarantees the performance of such Person or Affiliate’s obligations under this Agreement.&gt;</w:t>
      </w:r>
      <w:r>
        <w:rPr/>
        <w:t xml:space="preserve"> Contractor may assign this Agreement to any Affiliate of Contractor; provided that Contractor and its Parent unconditionally guarantee the performance of such Affiliate’s obligations under this Agreement.    Any purported assignment not in compliance with this Section 22.3 shall be void and without force or effect.</w:t>
      </w:r>
    </w:p>
    <w:p>
      <w:pPr>
        <w:pStyle w:val="BodyText"/>
        <w:bidi w:val="0"/>
        <w:ind w:hanging="0" w:start="0"/>
        <w:rPr>
          <w:rFonts w:ascii="Times New Roman" w:hAnsi="Times New Roman"/>
        </w:rPr>
      </w:pPr>
      <w:r>
        <w:rPr/>
      </w:r>
    </w:p>
    <w:p>
      <w:pPr>
        <w:pStyle w:val="Style2toc"/>
        <w:bidi w:val="0"/>
        <w:rPr>
          <w:rFonts w:ascii="Times New Roman" w:hAnsi="Times New Roman"/>
        </w:rPr>
      </w:pPr>
      <w:r>
        <w:rPr/>
        <w:t>22.4</w:t>
        <w:tab/>
      </w:r>
      <w:r>
        <w:rPr>
          <w:u w:val="single"/>
        </w:rPr>
        <w:t>Miscellaneous</w:t>
      </w:r>
      <w:r>
        <w:fldChar w:fldCharType="begin"/>
      </w:r>
      <w:r>
        <w:rPr>
          <w:u w:val="single"/>
          <w:vanish/>
        </w:rPr>
        <w:instrText xml:space="preserve"> TC "22.4</w:instrText>
        <w:tab/>
        <w:instrText xml:space="preserve">Miscellaneous672" \l 1 </w:instrText>
      </w:r>
      <w:r>
        <w:rPr>
          <w:u w:val="single"/>
          <w:vanish/>
        </w:rPr>
        <w:fldChar w:fldCharType="separate"/>
      </w:r>
      <w:bookmarkStart w:id="580" w:name="_Toc493577576"/>
      <w:bookmarkStart w:id="581" w:name="_Toc497199033"/>
      <w:bookmarkStart w:id="582" w:name="_Toc496784988"/>
      <w:bookmarkStart w:id="583" w:name="_Toc496784710"/>
      <w:bookmarkEnd w:id="580"/>
      <w:bookmarkEnd w:id="581"/>
      <w:bookmarkEnd w:id="582"/>
      <w:bookmarkEnd w:id="583"/>
      <w:r>
        <w:rPr>
          <w:vanish/>
          <w:u w:val="single"/>
        </w:rPr>
      </w:r>
      <w:r>
        <w:rPr>
          <w:u w:val="single"/>
          <w:vanish/>
        </w:rPr>
        <w:fldChar w:fldCharType="end"/>
      </w:r>
      <w:r>
        <w:rPr>
          <w:strike/>
        </w:rPr>
        <w:t>&lt;&lt;*&gt;&gt;</w:t>
      </w:r>
      <w:r>
        <w:rPr/>
        <w:t>.</w:t>
      </w:r>
    </w:p>
    <w:p>
      <w:pPr>
        <w:pStyle w:val="BodyText"/>
        <w:keepNext w:val="true"/>
        <w:bidi w:val="0"/>
        <w:rPr>
          <w:rFonts w:ascii="Times New Roman" w:hAnsi="Times New Roman"/>
        </w:rPr>
      </w:pPr>
      <w:r>
        <w:rPr/>
      </w:r>
    </w:p>
    <w:p>
      <w:pPr>
        <w:pStyle w:val="BodyText"/>
        <w:bidi w:val="0"/>
        <w:rPr>
          <w:rFonts w:ascii="Times New Roman" w:hAnsi="Times New Roman"/>
        </w:rPr>
      </w:pPr>
      <w:r>
        <w:rPr/>
        <w:tab/>
        <w:t>22.4.1</w:t>
        <w:tab/>
      </w:r>
      <w:r>
        <w:rPr>
          <w:u w:val="single"/>
        </w:rPr>
        <w:t>Entire Agreement</w:t>
      </w:r>
      <w:r>
        <w:rPr/>
        <w:t>.    This Agreement contains the entire understanding of the parties with respect to the subject matter hereof and reflects the prior agreements and commitments with respect thereto.    There are no other oral or written understandings, terms or conditions and neither party has relied upon any representation, express or implied, not contained in this Agreement.</w:t>
      </w:r>
    </w:p>
    <w:p>
      <w:pPr>
        <w:pStyle w:val="BodyText"/>
        <w:bidi w:val="0"/>
        <w:rPr>
          <w:rFonts w:ascii="Times New Roman" w:hAnsi="Times New Roman"/>
        </w:rPr>
      </w:pPr>
      <w:r>
        <w:rPr/>
      </w:r>
    </w:p>
    <w:p>
      <w:pPr>
        <w:pStyle w:val="BodyText"/>
        <w:bidi w:val="0"/>
        <w:rPr>
          <w:rFonts w:ascii="Times New Roman" w:hAnsi="Times New Roman"/>
        </w:rPr>
      </w:pPr>
      <w:r>
        <w:rPr/>
        <w:tab/>
        <w:t>22.4.2</w:t>
        <w:tab/>
      </w:r>
      <w:r>
        <w:rPr>
          <w:u w:val="single"/>
        </w:rPr>
        <w:t>Amendments</w:t>
      </w:r>
      <w:r>
        <w:rPr/>
        <w:t>.    No change, amendment, or modification of this Agreement shall be valid or binding upon the parties hereto unless such change, amendment or modification shall be in writing and duly executed by both parties hereto.</w:t>
      </w:r>
    </w:p>
    <w:p>
      <w:pPr>
        <w:pStyle w:val="BodyText"/>
        <w:bidi w:val="0"/>
        <w:rPr>
          <w:rFonts w:ascii="Times New Roman" w:hAnsi="Times New Roman"/>
        </w:rPr>
      </w:pPr>
      <w:r>
        <w:rPr/>
      </w:r>
    </w:p>
    <w:p>
      <w:pPr>
        <w:pStyle w:val="BodyText"/>
        <w:bidi w:val="0"/>
        <w:rPr>
          <w:rFonts w:ascii="Times New Roman" w:hAnsi="Times New Roman"/>
        </w:rPr>
      </w:pPr>
      <w:r>
        <w:rPr/>
        <w:tab/>
        <w:t>22.4.3</w:t>
        <w:tab/>
      </w:r>
      <w:r>
        <w:rPr>
          <w:u w:val="single"/>
        </w:rPr>
        <w:t>Joint Effort</w:t>
      </w:r>
      <w:r>
        <w:rPr/>
        <w:t>.    Preparation of this Agreement has been a joint effort of the parties and the resulting document shall not be construed more severely against one of the parties than against the other.</w:t>
      </w:r>
    </w:p>
    <w:p>
      <w:pPr>
        <w:pStyle w:val="BodyText"/>
        <w:bidi w:val="0"/>
        <w:rPr>
          <w:rFonts w:ascii="Times New Roman" w:hAnsi="Times New Roman"/>
        </w:rPr>
      </w:pPr>
      <w:r>
        <w:rPr/>
      </w:r>
    </w:p>
    <w:p>
      <w:pPr>
        <w:pStyle w:val="BodyText2"/>
        <w:bidi w:val="0"/>
        <w:rPr>
          <w:rFonts w:ascii="Times New Roman" w:hAnsi="Times New Roman"/>
        </w:rPr>
      </w:pPr>
      <w:r>
        <w:rPr/>
        <w:t>22.4.4</w:t>
        <w:tab/>
      </w:r>
      <w:r>
        <w:rPr>
          <w:u w:val="single"/>
        </w:rPr>
        <w:t>Captions</w:t>
      </w:r>
      <w:r>
        <w:rPr/>
        <w:t>.    The captions contained in this Agreement are for convenience and reference only and in no way define, describe, extend, or limit the scope of intent of this Agreement or the intent of any provision contained herein.</w:t>
      </w:r>
    </w:p>
    <w:p>
      <w:pPr>
        <w:pStyle w:val="BodyText"/>
        <w:bidi w:val="0"/>
        <w:rPr>
          <w:rFonts w:ascii="Times New Roman" w:hAnsi="Times New Roman"/>
        </w:rPr>
      </w:pPr>
      <w:r>
        <w:rPr/>
      </w:r>
    </w:p>
    <w:p>
      <w:pPr>
        <w:pStyle w:val="BodyText"/>
        <w:bidi w:val="0"/>
        <w:rPr>
          <w:rFonts w:ascii="Times New Roman" w:hAnsi="Times New Roman"/>
        </w:rPr>
      </w:pPr>
      <w:r>
        <w:rPr/>
        <w:tab/>
        <w:t>22.4.5</w:t>
        <w:tab/>
      </w:r>
      <w:r>
        <w:rPr>
          <w:u w:val="single"/>
        </w:rPr>
        <w:t>Severability</w:t>
      </w:r>
      <w:r>
        <w:rPr/>
        <w:t>.    The invalidity of one or more phrases, sentences, clauses, sections, or articles contained in this Agreement shall not affect the validity of the remaining portions of the Agreement so long as the material purposes of this Agreement can be determined and effectuated.</w:t>
      </w:r>
    </w:p>
    <w:p>
      <w:pPr>
        <w:pStyle w:val="BodyText"/>
        <w:bidi w:val="0"/>
        <w:rPr>
          <w:rFonts w:ascii="Times New Roman" w:hAnsi="Times New Roman"/>
        </w:rPr>
      </w:pPr>
      <w:r>
        <w:rPr/>
      </w:r>
    </w:p>
    <w:p>
      <w:pPr>
        <w:pStyle w:val="BodyText"/>
        <w:bidi w:val="0"/>
        <w:rPr>
          <w:rFonts w:ascii="Times New Roman" w:hAnsi="Times New Roman"/>
        </w:rPr>
      </w:pPr>
      <w:r>
        <w:rPr/>
        <w:tab/>
        <w:t>22.4.6</w:t>
        <w:tab/>
      </w:r>
      <w:r>
        <w:rPr>
          <w:u w:val="single"/>
        </w:rPr>
        <w:t>No Waiver</w:t>
      </w:r>
      <w:r>
        <w:rPr/>
        <w:t>.    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BodyText"/>
        <w:bidi w:val="0"/>
        <w:rPr>
          <w:rFonts w:ascii="Times New Roman" w:hAnsi="Times New Roman"/>
        </w:rPr>
      </w:pPr>
      <w:r>
        <w:rPr/>
      </w:r>
    </w:p>
    <w:p>
      <w:pPr>
        <w:pStyle w:val="BodyText"/>
        <w:bidi w:val="0"/>
        <w:rPr>
          <w:rFonts w:ascii="Times New Roman" w:hAnsi="Times New Roman"/>
        </w:rPr>
      </w:pPr>
      <w:r>
        <w:rPr/>
        <w:tab/>
        <w:t>22.4.7</w:t>
        <w:tab/>
      </w:r>
      <w:r>
        <w:rPr>
          <w:u w:val="single"/>
        </w:rPr>
        <w:t>Successors and Assigns</w:t>
      </w:r>
      <w:r>
        <w:rPr/>
        <w:t>.    This Agreement shall be binding upon and shall inure to the benefit of the parties hereto and their successors and permitted assigns.</w:t>
      </w:r>
    </w:p>
    <w:p>
      <w:pPr>
        <w:pStyle w:val="BodyText"/>
        <w:bidi w:val="0"/>
        <w:rPr>
          <w:rFonts w:ascii="Times New Roman" w:hAnsi="Times New Roman"/>
        </w:rPr>
      </w:pPr>
      <w:r>
        <w:rPr/>
      </w:r>
    </w:p>
    <w:p>
      <w:pPr>
        <w:pStyle w:val="BodyText"/>
        <w:bidi w:val="0"/>
        <w:rPr>
          <w:rFonts w:ascii="Times New Roman" w:hAnsi="Times New Roman"/>
        </w:rPr>
      </w:pPr>
      <w:r>
        <w:rPr/>
        <w:tab/>
        <w:t>22.4.8</w:t>
        <w:tab/>
      </w:r>
      <w:r>
        <w:rPr>
          <w:u w:val="single"/>
        </w:rPr>
        <w:t>Exhibits</w:t>
      </w:r>
      <w:r>
        <w:rPr/>
        <w:t>.    All Exhibits referenced in this Agreement shall be incorporated into this Agreement by such reference and shall be deemed to be an integral part of this Agreement.</w:t>
      </w:r>
    </w:p>
    <w:p>
      <w:pPr>
        <w:pStyle w:val="BodyText"/>
        <w:bidi w:val="0"/>
        <w:rPr>
          <w:rFonts w:ascii="Times New Roman" w:hAnsi="Times New Roman"/>
        </w:rPr>
      </w:pPr>
      <w:r>
        <w:rPr/>
      </w:r>
    </w:p>
    <w:p>
      <w:pPr>
        <w:pStyle w:val="BodyText"/>
        <w:bidi w:val="0"/>
        <w:rPr>
          <w:rFonts w:ascii="Times New Roman" w:hAnsi="Times New Roman"/>
        </w:rPr>
      </w:pPr>
      <w:r>
        <w:rPr/>
        <w:tab/>
        <w:t>22.4.9</w:t>
        <w:tab/>
      </w:r>
      <w:r>
        <w:rPr>
          <w:u w:val="single"/>
        </w:rPr>
        <w:t>Independent Contractor</w:t>
      </w:r>
      <w:r>
        <w:rPr/>
        <w:t>.    Contractor’s relationship with Owner is that of an independent contractor and nothing contained in this Agreement shall be construed as constituting a joint venture or partnership between Contractor and Owner.</w:t>
      </w:r>
    </w:p>
    <w:p>
      <w:pPr>
        <w:pStyle w:val="BodyText"/>
        <w:bidi w:val="0"/>
        <w:rPr>
          <w:rFonts w:ascii="Times New Roman" w:hAnsi="Times New Roman"/>
        </w:rPr>
      </w:pPr>
      <w:r>
        <w:rPr/>
      </w:r>
    </w:p>
    <w:p>
      <w:pPr>
        <w:pStyle w:val="BodyText"/>
        <w:bidi w:val="0"/>
        <w:rPr>
          <w:rFonts w:ascii="Times New Roman" w:hAnsi="Times New Roman"/>
        </w:rPr>
      </w:pPr>
      <w:r>
        <w:rPr/>
        <w:tab/>
        <w:t>22.4.10</w:t>
        <w:tab/>
        <w:t xml:space="preserve"> </w:t>
      </w:r>
      <w:r>
        <w:rPr>
          <w:u w:val="single"/>
        </w:rPr>
        <w:t>Further Assurances</w:t>
      </w:r>
      <w:r>
        <w:rPr/>
        <w:t>.    Contractor and Owner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in order to give full effect to this Agreement and to carry out the intent of this Agreement.</w:t>
      </w:r>
    </w:p>
    <w:p>
      <w:pPr>
        <w:pStyle w:val="BodyText"/>
        <w:bidi w:val="0"/>
        <w:rPr>
          <w:rFonts w:ascii="Times New Roman" w:hAnsi="Times New Roman"/>
        </w:rPr>
      </w:pPr>
      <w:r>
        <w:rPr/>
      </w:r>
    </w:p>
    <w:p>
      <w:pPr>
        <w:pStyle w:val="BodyText"/>
        <w:bidi w:val="0"/>
        <w:rPr>
          <w:rFonts w:ascii="Times New Roman" w:hAnsi="Times New Roman"/>
        </w:rPr>
      </w:pPr>
      <w:r>
        <w:rPr/>
        <w:tab/>
        <w:t>22.4.11</w:t>
        <w:tab/>
        <w:t xml:space="preserve"> </w:t>
      </w:r>
      <w:r>
        <w:rPr>
          <w:u w:val="single"/>
        </w:rPr>
        <w:t>Priority</w:t>
      </w:r>
      <w:r>
        <w:rPr/>
        <w:t>.    In the event of any conflict or inconsistency between this Agreement and the Exhibits or other incorporated or associated documentation, the terms and conditions of this Agreement shall control.</w:t>
      </w:r>
    </w:p>
    <w:p>
      <w:pPr>
        <w:pStyle w:val="BodyText"/>
        <w:bidi w:val="0"/>
        <w:rPr>
          <w:rFonts w:ascii="Times New Roman" w:hAnsi="Times New Roman"/>
        </w:rPr>
      </w:pPr>
      <w:r>
        <w:rPr/>
      </w:r>
    </w:p>
    <w:p>
      <w:pPr>
        <w:pStyle w:val="BodyText2"/>
        <w:bidi w:val="0"/>
        <w:rPr>
          <w:rFonts w:ascii="Times New Roman" w:hAnsi="Times New Roman"/>
        </w:rPr>
      </w:pPr>
      <w:r>
        <w:rPr/>
        <w:t xml:space="preserve">22.4.12    </w:t>
      </w:r>
      <w:r>
        <w:rPr>
          <w:u w:val="single"/>
        </w:rPr>
        <w:t>Counterparts</w:t>
      </w:r>
      <w:r>
        <w:rPr/>
        <w:t>.    This Agreement may be signed in any number of counterparts and each counterpart shall represent a fully executed original as if signed by both parties.</w:t>
      </w:r>
    </w:p>
    <w:p>
      <w:pPr>
        <w:pStyle w:val="BodyText"/>
        <w:bidi w:val="0"/>
        <w:rPr>
          <w:rFonts w:ascii="Times New Roman" w:hAnsi="Times New Roman"/>
        </w:rPr>
      </w:pPr>
      <w:r>
        <w:rPr/>
      </w:r>
    </w:p>
    <w:p>
      <w:pPr>
        <w:pStyle w:val="BodyText2"/>
        <w:bidi w:val="0"/>
        <w:rPr>
          <w:rFonts w:ascii="Times New Roman" w:hAnsi="Times New Roman"/>
        </w:rPr>
      </w:pPr>
      <w:r>
        <w:rPr/>
        <w:t xml:space="preserve">22.4.13 </w:t>
      </w:r>
      <w:r>
        <w:rPr>
          <w:u w:val="single"/>
        </w:rPr>
        <w:t>Survival</w:t>
      </w:r>
      <w:r>
        <w:rPr/>
        <w:t>.    The warranties and indemnities set forth in this Agreement, and any other provisions which specifically so specify, shall survive the completion of the Work, the payment of all portions of the Contract Price and any termination of this Agreement.</w:t>
      </w:r>
    </w:p>
    <w:p>
      <w:pPr>
        <w:pStyle w:val="BodyText"/>
        <w:bidi w:val="0"/>
        <w:rPr>
          <w:rFonts w:ascii="Times New Roman" w:hAnsi="Times New Roman"/>
        </w:rPr>
      </w:pPr>
      <w:r>
        <w:rPr/>
      </w:r>
    </w:p>
    <w:p>
      <w:pPr>
        <w:pStyle w:val="BodyText"/>
        <w:bidi w:val="0"/>
        <w:ind w:firstLine="720" w:start="720"/>
        <w:rPr>
          <w:rFonts w:ascii="Times New Roman" w:hAnsi="Times New Roman"/>
        </w:rPr>
      </w:pPr>
      <w:r>
        <w:rPr/>
        <w:t xml:space="preserve">22.4.14    </w:t>
      </w:r>
      <w:r>
        <w:rPr>
          <w:u w:val="single"/>
        </w:rPr>
        <w:t>Performance of Obligations</w:t>
      </w:r>
      <w:r>
        <w:rPr/>
        <w:t>.    If an obligation to be performed under this Agreement falls due on a day other than a Business Day, the obligation will be due on the next Business Day.</w:t>
      </w:r>
    </w:p>
    <w:p>
      <w:pPr>
        <w:pStyle w:val="BodyText"/>
        <w:bidi w:val="0"/>
        <w:rPr>
          <w:rFonts w:ascii="Times New Roman" w:hAnsi="Times New Roman"/>
        </w:rPr>
      </w:pPr>
      <w:r>
        <w:rPr/>
      </w:r>
    </w:p>
    <w:p>
      <w:pPr>
        <w:pStyle w:val="BodyText"/>
        <w:bidi w:val="0"/>
        <w:ind w:firstLine="720" w:start="720"/>
        <w:rPr>
          <w:rFonts w:ascii="Times New Roman" w:hAnsi="Times New Roman"/>
        </w:rPr>
      </w:pPr>
      <w:r>
        <w:rPr/>
        <w:t xml:space="preserve">22.4.15    </w:t>
      </w:r>
      <w:r>
        <w:rPr>
          <w:u w:val="single"/>
        </w:rPr>
        <w:t>Language</w:t>
      </w:r>
      <w:r>
        <w:rPr/>
        <w:t xml:space="preserve">.    This Agreement and all documents, correspondence, notices, certificates, data, and drawings supplied herewith shall be provided in English. </w:t>
      </w:r>
      <w:r>
        <w:br w:type="page"/>
      </w:r>
    </w:p>
    <w:p>
      <w:pPr>
        <w:pStyle w:val="bodytext1"/>
        <w:bidi w:val="0"/>
        <w:spacing w:lineRule="atLeast" w:line="240"/>
        <w:jc w:val="both"/>
        <w:rPr>
          <w:rFonts w:ascii="Times New Roman" w:hAnsi="Times New Roman"/>
          <w:sz w:val="23"/>
        </w:rPr>
      </w:pPr>
      <w:r>
        <w:rPr>
          <w:sz w:val="23"/>
        </w:rPr>
        <w:t>IN WITNESS WHEREOF, Owner and Contractor executed this Agreement as of the date first written above.</w:t>
      </w:r>
    </w:p>
    <w:p>
      <w:pPr>
        <w:pStyle w:val="BodyText"/>
        <w:bidi w:val="0"/>
        <w:rPr>
          <w:rFonts w:ascii="Times New Roman" w:hAnsi="Times New Roman"/>
        </w:rPr>
      </w:pPr>
      <w:r>
        <w:rPr/>
      </w:r>
    </w:p>
    <w:p>
      <w:pPr>
        <w:pStyle w:val="BodyText"/>
        <w:bidi w:val="0"/>
        <w:rPr>
          <w:rFonts w:ascii="Times New Roman" w:hAnsi="Times New Roman"/>
        </w:rPr>
      </w:pPr>
      <w:r>
        <w:rPr/>
        <w:t>Owner:</w:t>
      </w:r>
    </w:p>
    <w:p>
      <w:pPr>
        <w:pStyle w:val="BodyText"/>
        <w:bidi w:val="0"/>
        <w:rPr>
          <w:rFonts w:ascii="Times New Roman" w:hAnsi="Times New Roman"/>
        </w:rPr>
      </w:pPr>
      <w:r>
        <w:rPr/>
      </w:r>
    </w:p>
    <w:p>
      <w:pPr>
        <w:pStyle w:val="BodyText"/>
        <w:bidi w:val="0"/>
        <w:rPr>
          <w:rFonts w:ascii="Times New Roman" w:hAnsi="Times New Roman"/>
        </w:rPr>
      </w:pPr>
      <w:r>
        <w:rPr>
          <w:strike/>
        </w:rPr>
        <w:t>&lt;Pastoria Energy Facility, LLC&gt;</w:t>
      </w:r>
      <w:r>
        <w:rPr>
          <w:b/>
          <w:u w:val="double"/>
        </w:rPr>
        <w:t>_________________________________</w:t>
      </w:r>
    </w:p>
    <w:p>
      <w:pPr>
        <w:pStyle w:val="BodyText"/>
        <w:bidi w:val="0"/>
        <w:rPr>
          <w:rFonts w:ascii="Times New Roman" w:hAnsi="Times New Roman"/>
          <w:b/>
        </w:rPr>
      </w:pPr>
      <w:r>
        <w:rPr>
          <w:b/>
        </w:rPr>
      </w:r>
    </w:p>
    <w:p>
      <w:pPr>
        <w:pStyle w:val="BodyText"/>
        <w:bidi w:val="0"/>
        <w:rPr>
          <w:rFonts w:ascii="Times New Roman" w:hAnsi="Times New Roman"/>
        </w:rPr>
      </w:pPr>
      <w:r>
        <w:rPr>
          <w:strike/>
        </w:rPr>
        <w:t>&lt;By:___________________&gt;</w:t>
      </w:r>
      <w:r>
        <w:rPr>
          <w:b/>
          <w:u w:val="double"/>
        </w:rPr>
        <w:t>By:</w:t>
      </w:r>
      <w:r>
        <w:rPr/>
        <w:tab/>
      </w:r>
      <w:r>
        <w:rPr>
          <w:b/>
          <w:u w:val="double"/>
        </w:rPr>
        <w:t xml:space="preserve">ENRON NORTH AMERICA CORP., </w:t>
      </w:r>
    </w:p>
    <w:p>
      <w:pPr>
        <w:pStyle w:val="BodyText"/>
        <w:bidi w:val="0"/>
        <w:ind w:firstLine="720" w:start="720"/>
        <w:rPr>
          <w:rFonts w:ascii="Times New Roman" w:hAnsi="Times New Roman"/>
          <w:b/>
          <w:u w:val="double"/>
        </w:rPr>
      </w:pPr>
      <w:r>
        <w:rPr>
          <w:strike/>
        </w:rPr>
        <w:t>&lt;Name:&gt;</w:t>
      </w:r>
      <w:r>
        <w:rPr/>
        <w:t xml:space="preserve"> </w:t>
      </w:r>
      <w:r>
        <w:rPr>
          <w:b/>
          <w:u w:val="double"/>
        </w:rPr>
        <w:t>Development and Construction Manager</w:t>
      </w:r>
    </w:p>
    <w:p>
      <w:pPr>
        <w:pStyle w:val="BodyText"/>
        <w:bidi w:val="0"/>
        <w:ind w:firstLine="720" w:start="720"/>
        <w:rPr>
          <w:rFonts w:ascii="Times New Roman" w:hAnsi="Times New Roman"/>
          <w:b/>
          <w:u w:val="double"/>
        </w:rPr>
      </w:pPr>
      <w:r>
        <w:rPr>
          <w:b/>
          <w:u w:val="double"/>
        </w:rPr>
      </w:r>
    </w:p>
    <w:p>
      <w:pPr>
        <w:pStyle w:val="BodyText"/>
        <w:bidi w:val="0"/>
        <w:ind w:firstLine="720" w:start="720"/>
        <w:rPr>
          <w:rFonts w:ascii="Times New Roman" w:hAnsi="Times New Roman"/>
        </w:rPr>
      </w:pPr>
      <w:r>
        <w:rPr>
          <w:b/>
          <w:u w:val="double"/>
        </w:rPr>
        <w:t>By:___________________Name:</w:t>
      </w:r>
      <w:r>
        <w:rPr/>
        <w:t>_________________</w:t>
      </w:r>
    </w:p>
    <w:p>
      <w:pPr>
        <w:pStyle w:val="BodyText"/>
        <w:bidi w:val="0"/>
        <w:rPr>
          <w:rFonts w:ascii="Times New Roman" w:hAnsi="Times New Roman"/>
        </w:rPr>
      </w:pPr>
      <w:r>
        <w:rPr/>
      </w:r>
    </w:p>
    <w:p>
      <w:pPr>
        <w:pStyle w:val="BodyText"/>
        <w:bidi w:val="0"/>
        <w:ind w:firstLine="720" w:start="720"/>
        <w:rPr>
          <w:rFonts w:ascii="Times New Roman" w:hAnsi="Times New Roman"/>
        </w:rPr>
      </w:pPr>
      <w:r>
        <w:rPr/>
        <w:t>Title:__________________</w:t>
      </w:r>
    </w:p>
    <w:p>
      <w:pPr>
        <w:pStyle w:val="BodyText"/>
        <w:bidi w:val="0"/>
        <w:rPr>
          <w:rFonts w:ascii="Times New Roman" w:hAnsi="Times New Roman"/>
        </w:rPr>
      </w:pPr>
      <w:r>
        <w:rPr/>
      </w:r>
    </w:p>
    <w:p>
      <w:pPr>
        <w:pStyle w:val="BodyText"/>
        <w:bidi w:val="0"/>
        <w:rPr>
          <w:rFonts w:ascii="Times New Roman" w:hAnsi="Times New Roman"/>
        </w:rPr>
      </w:pPr>
      <w:r>
        <w:rPr/>
      </w:r>
    </w:p>
    <w:p>
      <w:pPr>
        <w:pStyle w:val="BodyText"/>
        <w:bidi w:val="0"/>
        <w:rPr>
          <w:rFonts w:ascii="Times New Roman" w:hAnsi="Times New Roman"/>
        </w:rPr>
      </w:pPr>
      <w:r>
        <w:rPr/>
        <w:t>Contractor:</w:t>
      </w:r>
    </w:p>
    <w:p>
      <w:pPr>
        <w:pStyle w:val="BodyText"/>
        <w:bidi w:val="0"/>
        <w:rPr>
          <w:rFonts w:ascii="Times New Roman" w:hAnsi="Times New Roman"/>
        </w:rPr>
      </w:pPr>
      <w:r>
        <w:rPr/>
      </w:r>
    </w:p>
    <w:p>
      <w:pPr>
        <w:pStyle w:val="BodyText"/>
        <w:bidi w:val="0"/>
        <w:rPr>
          <w:rFonts w:ascii="Times New Roman" w:hAnsi="Times New Roman"/>
        </w:rPr>
      </w:pPr>
      <w:r>
        <w:rPr>
          <w:strike/>
        </w:rPr>
        <w:t>&lt;Enron Consolidated Construction Company&gt;</w:t>
      </w:r>
      <w:r>
        <w:rPr>
          <w:b/>
          <w:u w:val="double"/>
        </w:rPr>
        <w:t>__________________________________</w:t>
      </w:r>
    </w:p>
    <w:p>
      <w:pPr>
        <w:pStyle w:val="BodyText"/>
        <w:bidi w:val="0"/>
        <w:rPr>
          <w:rFonts w:ascii="Times New Roman" w:hAnsi="Times New Roman"/>
        </w:rPr>
      </w:pPr>
      <w:r>
        <w:rPr/>
      </w:r>
    </w:p>
    <w:p>
      <w:pPr>
        <w:pStyle w:val="BodyText"/>
        <w:bidi w:val="0"/>
        <w:rPr>
          <w:rFonts w:ascii="Times New Roman" w:hAnsi="Times New Roman"/>
        </w:rPr>
      </w:pPr>
      <w:r>
        <w:rPr/>
        <w:t>By:_______________________</w:t>
      </w:r>
    </w:p>
    <w:p>
      <w:pPr>
        <w:pStyle w:val="BodyText"/>
        <w:bidi w:val="0"/>
        <w:rPr>
          <w:rFonts w:ascii="Times New Roman" w:hAnsi="Times New Roman"/>
        </w:rPr>
      </w:pPr>
      <w:r>
        <w:rPr/>
      </w:r>
    </w:p>
    <w:p>
      <w:pPr>
        <w:pStyle w:val="BodyText"/>
        <w:bidi w:val="0"/>
        <w:rPr>
          <w:rFonts w:ascii="Times New Roman" w:hAnsi="Times New Roman"/>
        </w:rPr>
      </w:pPr>
      <w:r>
        <w:rPr/>
        <w:t>Name:_____________________</w:t>
      </w:r>
    </w:p>
    <w:p>
      <w:pPr>
        <w:pStyle w:val="BodyText"/>
        <w:bidi w:val="0"/>
        <w:rPr>
          <w:rFonts w:ascii="Times New Roman" w:hAnsi="Times New Roman"/>
        </w:rPr>
      </w:pPr>
      <w:r>
        <w:rPr/>
      </w:r>
    </w:p>
    <w:p>
      <w:pPr>
        <w:pStyle w:val="BodyText"/>
        <w:bidi w:val="0"/>
        <w:rPr>
          <w:rFonts w:ascii="Times New Roman" w:hAnsi="Times New Roman"/>
        </w:rPr>
      </w:pPr>
      <w:r>
        <w:rPr/>
        <w:t>Title:______________________</w:t>
      </w:r>
    </w:p>
    <w:p>
      <w:pPr>
        <w:pStyle w:val="Plain"/>
        <w:bidi w:val="0"/>
        <w:jc w:val="start"/>
        <w:rPr>
          <w:rFonts w:ascii="Times New Roman" w:hAnsi="Times New Roman"/>
          <w:sz w:val="23"/>
        </w:rPr>
      </w:pPr>
      <w:r>
        <w:rPr>
          <w:sz w:val="23"/>
        </w:rPr>
      </w:r>
    </w:p>
    <w:sectPr>
      <w:headerReference w:type="default" r:id="rId16"/>
      <w:headerReference w:type="first" r:id="rId17"/>
      <w:footerReference w:type="even" r:id="rId18"/>
      <w:footerReference w:type="default" r:id="rId19"/>
      <w:footerReference w:type="first" r:id="rId20"/>
      <w:type w:val="nextPage"/>
      <w:pgSz w:w="12240" w:h="15840"/>
      <w:pgMar w:left="1440" w:right="1440" w:gutter="0" w:header="720" w:top="1440" w:footer="432"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547" w:end="-547"/>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547" w:end="-547"/>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84">
              <wp:simplePos x="0" y="0"/>
              <wp:positionH relativeFrom="margin">
                <wp:align>center</wp:align>
              </wp:positionH>
              <wp:positionV relativeFrom="paragraph">
                <wp:posOffset>635</wp:posOffset>
              </wp:positionV>
              <wp:extent cx="14605" cy="175260"/>
              <wp:effectExtent l="0" t="0" r="0" b="0"/>
              <wp:wrapTopAndBottom/>
              <wp:docPr id="5"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76</w:t>
                          </w:r>
                          <w:r>
                            <w:rPr>
                              <w:rStyle w:val="PageNumbe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76</w:t>
                    </w:r>
                    <w:r>
                      <w:rPr>
                        <w:rStyle w:val="PageNumber"/>
                        <w:sz w:val="24"/>
                        <w:rFonts w:ascii="Times New Roman" w:hAnsi="Times New Roman"/>
                      </w:rPr>
                      <w:fldChar w:fldCharType="end"/>
                    </w:r>
                  </w:p>
                </w:txbxContent>
              </v:textbox>
              <w10:wrap type="topAndBottom"/>
            </v:rect>
          </w:pict>
        </mc:Fallback>
      </mc:AlternateContent>
    </w:r>
  </w:p>
  <w:p>
    <w:pPr>
      <w:pStyle w:val="Footer"/>
      <w:bidi w:val="0"/>
      <w:jc w:val="start"/>
      <w:rPr>
        <w:sz w:val="16"/>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/mnt/main-storage/datasets/enron-docs/doc/PASTORIA___TBPRK_21NOVCMP.DOC</w:t>
    </w:r>
    <w:r>
      <w:rPr>
        <w:rStyle w:val="PageNumber"/>
        <w:sz w:val="16"/>
        <w:rFonts w:ascii="Times New Roman" w:hAnsi="Times New Roman"/>
      </w:rPr>
      <w:fldChar w:fldCharType="end"/>
    </w:r>
  </w:p>
  <w:p>
    <w:pPr>
      <w:pStyle w:val="Normal"/>
      <w:bidi w:val="0"/>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Fonts w:ascii="Times New Roman" w:hAnsi="Times New Roman"/>
        <w:sz w:val="16"/>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1</w:t>
    </w:r>
    <w:r>
      <w:rPr>
        <w:rStyle w:val="PageNumber"/>
        <w:sz w:val="24"/>
        <w:rFonts w:ascii="Times New Roman" w:hAnsi="Times New Roman"/>
      </w:rPr>
      <w:fldChar w:fldCharType="end"/>
    </w:r>
  </w:p>
  <w:p>
    <w:pPr>
      <w:pStyle w:val="Footer"/>
      <w:bidi w:val="0"/>
      <w:jc w:val="start"/>
      <w:rPr>
        <w:rStyle w:val="PageNumber"/>
        <w:rFonts w:ascii="Times New Roman" w:hAnsi="Times New Roman"/>
        <w:sz w:val="16"/>
      </w:rPr>
    </w:pPr>
    <w:r>
      <w:rPr>
        <w:rFonts w:ascii="Times New Roman" w:hAnsi="Times New Roman"/>
        <w:sz w:val="16"/>
      </w:rPr>
    </w:r>
  </w:p>
  <w:p>
    <w:pPr>
      <w:pStyle w:val="Footer"/>
      <w:bidi w:val="0"/>
      <w:jc w:val="start"/>
      <w:rPr>
        <w:sz w:val="16"/>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/mnt/main-storage/datasets/enron-docs/doc/PASTORIA___TBPRK_21NOVCMP.DOC</w:t>
    </w:r>
    <w:r>
      <w:rPr>
        <w:rStyle w:val="PageNumber"/>
        <w:sz w:val="16"/>
        <w:rFonts w:ascii="Times New Roman" w:hAnsi="Times New Roman"/>
      </w:rPr>
      <w:fldChar w:fldCharType="end"/>
    </w:r>
  </w:p>
  <w:p>
    <w:pPr>
      <w:pStyle w:val="Footer"/>
      <w:bidi w:val="0"/>
      <w:jc w:val="start"/>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fldChar w:fldCharType="begin"/>
    </w:r>
    <w:r>
      <w:rPr/>
      <w:instrText xml:space="preserve"> FILENAME \p </w:instrText>
    </w:r>
    <w:r>
      <w:rPr/>
      <w:fldChar w:fldCharType="separate"/>
    </w:r>
    <w:r>
      <w:rPr/>
      <w:t>/mnt/main-storage/datasets/enron-docs/doc/PASTORIA___TBPRK_21NOVCMP.DOC</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fldChar w:fldCharType="begin"/>
    </w:r>
    <w:r>
      <w:rPr/>
      <w:instrText xml:space="preserve"> FILENAME \p </w:instrText>
    </w:r>
    <w:r>
      <w:rPr/>
      <w:fldChar w:fldCharType="separate"/>
    </w:r>
    <w:r>
      <w:rPr/>
      <w:t>/mnt/main-storage/datasets/enron-docs/doc/PASTORIA___TBPRK_21NOVCMP.DOC</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547" w:end="-547"/>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vii</w:t>
    </w:r>
    <w:r>
      <w:rPr>
        <w:rStyle w:val="PageNumber"/>
        <w:sz w:val="24"/>
        <w:rFonts w:ascii="Times New Roman" w:hAnsi="Times New Roman"/>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vii</w:t>
                          </w:r>
                          <w:r>
                            <w:rPr>
                              <w:rStyle w:val="PageNumbe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vii</w:t>
                    </w:r>
                    <w:r>
                      <w:rPr>
                        <w:rStyle w:val="PageNumber"/>
                        <w:sz w:val="24"/>
                        <w:rFonts w:ascii="Times New Roman" w:hAnsi="Times New Roman"/>
                      </w:rPr>
                      <w:fldChar w:fldCharType="end"/>
                    </w:r>
                  </w:p>
                </w:txbxContent>
              </v:textbox>
              <w10:wrap type="topAndBottom"/>
            </v:rect>
          </w:pict>
        </mc:Fallback>
      </mc:AlternateContent>
    </w:r>
  </w:p>
  <w:p>
    <w:pPr>
      <w:pStyle w:val="Footer"/>
      <w:bidi w:val="0"/>
      <w:jc w:val="start"/>
      <w:rPr>
        <w:sz w:val="16"/>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/mnt/main-storage/datasets/enron-docs/doc/PASTORIA___TBPRK_21NOVCMP.DOC</w:t>
    </w:r>
    <w:r>
      <w:rPr>
        <w:rStyle w:val="PageNumber"/>
        <w:sz w:val="16"/>
        <w:rFonts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vii</w:t>
    </w:r>
    <w:r>
      <w:rPr>
        <w:rStyle w:val="PageNumber"/>
        <w:sz w:val="24"/>
        <w:rFonts w:ascii="Times New Roman" w:hAnsi="Times New Roman"/>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605" cy="175260"/>
              <wp:effectExtent l="0" t="0" r="0" b="0"/>
              <wp:wrapTopAndBottom/>
              <wp:docPr id="2"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vii</w:t>
                          </w:r>
                          <w:r>
                            <w:rPr>
                              <w:rStyle w:val="PageNumbe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vii</w:t>
                    </w:r>
                    <w:r>
                      <w:rPr>
                        <w:rStyle w:val="PageNumber"/>
                        <w:sz w:val="24"/>
                        <w:rFonts w:ascii="Times New Roman" w:hAnsi="Times New Roman"/>
                      </w:rPr>
                      <w:fldChar w:fldCharType="end"/>
                    </w:r>
                  </w:p>
                </w:txbxContent>
              </v:textbox>
              <w10:wrap type="topAndBottom"/>
            </v:rect>
          </w:pict>
        </mc:Fallback>
      </mc:AlternateContent>
    </w:r>
  </w:p>
  <w:p>
    <w:pPr>
      <w:pStyle w:val="Footer"/>
      <w:bidi w:val="0"/>
      <w:jc w:val="start"/>
      <w:rPr>
        <w:sz w:val="16"/>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/mnt/main-storage/datasets/enron-docs/doc/PASTORIA___TBPRK_21NOVCMP.DOC</w:t>
    </w:r>
    <w:r>
      <w:rPr>
        <w:rStyle w:val="PageNumber"/>
        <w:sz w:val="16"/>
        <w:rFonts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547" w:end="-547"/>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/mnt/main-storage/datasets/enron-docs/doc/PASTORIA___TBPRK_21NOVCMP.DOC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605" cy="175260"/>
              <wp:effectExtent l="0" t="0" r="0" b="0"/>
              <wp:wrapTopAndBottom/>
              <wp:docPr id="3"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i</w:t>
                          </w:r>
                          <w:r>
                            <w:rPr>
                              <w:rStyle w:val="PageNumbe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i</w:t>
                    </w:r>
                    <w:r>
                      <w:rPr>
                        <w:rStyle w:val="PageNumber"/>
                        <w:sz w:val="24"/>
                        <w:rFonts w:ascii="Times New Roman" w:hAnsi="Times New Roman"/>
                      </w:rPr>
                      <w:fldChar w:fldCharType="end"/>
                    </w:r>
                  </w:p>
                </w:txbxContent>
              </v:textbox>
              <w10:wrap type="topAndBottom"/>
            </v:rect>
          </w:pict>
        </mc:Fallback>
      </mc:AlternateContent>
    </w:r>
  </w:p>
  <w:p>
    <w:pPr>
      <w:pStyle w:val="Footer"/>
      <w:bidi w:val="0"/>
      <w:jc w:val="start"/>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/mnt/main-storage/datasets/enron-docs/doc/PASTORIA___TBPRK_21NOVCMP.DOC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605" cy="175260"/>
              <wp:effectExtent l="0" t="0" r="0" b="0"/>
              <wp:wrapTopAndBottom/>
              <wp:docPr id="4"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i</w:t>
                          </w:r>
                          <w:r>
                            <w:rPr>
                              <w:rStyle w:val="PageNumbe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i</w:t>
                    </w:r>
                    <w:r>
                      <w:rPr>
                        <w:rStyle w:val="PageNumber"/>
                        <w:sz w:val="24"/>
                        <w:rFonts w:ascii="Times New Roman" w:hAnsi="Times New Roman"/>
                      </w:rPr>
                      <w:fldChar w:fldCharType="end"/>
                    </w:r>
                  </w:p>
                </w:txbxContent>
              </v:textbox>
              <w10:wrap type="topAndBottom"/>
            </v:rect>
          </w:pict>
        </mc:Fallback>
      </mc:AlternateContent>
    </w:r>
  </w:p>
  <w:p>
    <w:pPr>
      <w:pStyle w:val="Footer"/>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qFormat/>
    <w:pPr>
      <w:keepNext w:val="true"/>
      <w:keepLines/>
      <w:spacing w:before="240" w:after="0"/>
      <w:ind w:hanging="720" w:start="720" w:end="1440"/>
    </w:pPr>
    <w:rPr>
      <w:color w:val="00007F"/>
    </w:rPr>
  </w:style>
  <w:style w:type="paragraph" w:styleId="Heading2">
    <w:name w:val="heading 2"/>
    <w:basedOn w:val="Heading1"/>
    <w:qFormat/>
    <w:pPr>
      <w:keepNext w:val="true"/>
      <w:keepLines/>
      <w:spacing w:before="240" w:after="0"/>
      <w:ind w:hanging="720" w:start="1440" w:end="1440"/>
    </w:pPr>
    <w:rPr>
      <w:color w:val="7F007F"/>
    </w:rPr>
  </w:style>
  <w:style w:type="paragraph" w:styleId="Heading3">
    <w:name w:val="heading 3"/>
    <w:basedOn w:val="Heading2"/>
    <w:qFormat/>
    <w:pPr>
      <w:keepNext w:val="true"/>
      <w:keepLines/>
      <w:spacing w:before="240" w:after="0"/>
      <w:ind w:hanging="720" w:start="2160" w:end="1440"/>
    </w:pPr>
    <w:rPr>
      <w:color w:val="007F00"/>
    </w:rPr>
  </w:style>
  <w:style w:type="paragraph" w:styleId="Heading4">
    <w:name w:val="heading 4"/>
    <w:basedOn w:val="Heading3"/>
    <w:qFormat/>
    <w:pPr>
      <w:keepNext w:val="true"/>
      <w:keepLines/>
      <w:spacing w:before="240" w:after="0"/>
      <w:ind w:hanging="720" w:start="2880" w:end="1440"/>
    </w:pPr>
    <w:rPr>
      <w:color w:val="7F7F7F"/>
    </w:rPr>
  </w:style>
  <w:style w:type="paragraph" w:styleId="Heading5">
    <w:name w:val="heading 5"/>
    <w:basedOn w:val="Heading4"/>
    <w:qFormat/>
    <w:pPr>
      <w:keepNext w:val="true"/>
      <w:keepLines/>
      <w:spacing w:before="240" w:after="0"/>
      <w:ind w:hanging="720" w:start="3600" w:end="1440"/>
    </w:pPr>
    <w:rPr/>
  </w:style>
  <w:style w:type="paragraph" w:styleId="Heading6">
    <w:name w:val="heading 6"/>
    <w:basedOn w:val="Normal"/>
    <w:qFormat/>
    <w:pPr>
      <w:spacing w:before="240" w:after="0"/>
      <w:ind w:hanging="720" w:start="4320" w:end="1440"/>
    </w:pPr>
    <w:rPr/>
  </w:style>
  <w:style w:type="paragraph" w:styleId="Heading7">
    <w:name w:val="heading 7"/>
    <w:basedOn w:val="Normal"/>
    <w:qFormat/>
    <w:pPr>
      <w:spacing w:before="240" w:after="0"/>
      <w:ind w:hanging="720" w:start="5040" w:end="1440"/>
    </w:pPr>
    <w:rPr/>
  </w:style>
  <w:style w:type="paragraph" w:styleId="Heading8">
    <w:name w:val="heading 8"/>
    <w:basedOn w:val="Normal"/>
    <w:qFormat/>
    <w:pPr>
      <w:spacing w:before="240" w:after="0"/>
      <w:ind w:hanging="720" w:start="5760" w:end="1440"/>
    </w:pPr>
    <w:rPr/>
  </w:style>
  <w:style w:type="paragraph" w:styleId="Heading9">
    <w:name w:val="heading 9"/>
    <w:basedOn w:val="Normal"/>
    <w:qFormat/>
    <w:pPr>
      <w:spacing w:before="240" w:after="0"/>
      <w:ind w:hanging="720" w:start="6480" w:end="1440"/>
    </w:pPr>
    <w:rPr/>
  </w:style>
  <w:style w:type="character" w:styleId="DefaultParagraphFont">
    <w:name w:val="Default Paragraph Font"/>
    <w:qFormat/>
    <w:rPr>
      <w:sz w:val="20"/>
    </w:rPr>
  </w:style>
  <w:style w:type="character" w:styleId="FootnoteCharacters">
    <w:name w:val="Footnote Characters"/>
    <w:basedOn w:val="DefaultParagraphFont"/>
    <w:qFormat/>
    <w:rPr>
      <w:color w:val="FF0000"/>
      <w:sz w:val="16"/>
      <w:vertAlign w:val="superscript"/>
    </w:rPr>
  </w:style>
  <w:style w:type="character" w:styleId="FootnoteReference">
    <w:name w:val="footnote reference"/>
    <w:rPr>
      <w:color w:val="FF0000"/>
      <w:sz w:val="16"/>
      <w:vertAlign w:val="superscript"/>
    </w:rPr>
  </w:style>
  <w:style w:type="character" w:styleId="PageNumber">
    <w:name w:val="page number"/>
    <w:basedOn w:val="DefaultParagraphFont"/>
    <w:rPr>
      <w:color w:val="000000"/>
      <w:sz w:val="24"/>
    </w:rPr>
  </w:style>
  <w:style w:type="character" w:styleId="LP2">
    <w:name w:val="L&amp;P 2"/>
    <w:basedOn w:val="DefaultParagraphFont"/>
    <w:qForma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720"/>
      <w:jc w:val="both"/>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lineRule="atLeast" w:line="240" w:before="240" w:after="0"/>
      <w:ind w:firstLine="1440"/>
    </w:pPr>
    <w:rPr/>
  </w:style>
  <w:style w:type="paragraph" w:styleId="NormalIndent">
    <w:name w:val="Normal Indent"/>
    <w:basedOn w:val="Normal"/>
    <w:qFormat/>
    <w:pPr>
      <w:spacing w:before="240" w:after="0"/>
      <w:ind w:hanging="0" w:start="720"/>
    </w:pPr>
    <w:rPr/>
  </w:style>
  <w:style w:type="paragraph" w:styleId="TOC5">
    <w:name w:val="toc 5"/>
    <w:basedOn w:val="Index"/>
    <w:next w:val="Normal"/>
    <w:pPr>
      <w:tabs>
        <w:tab w:val="clear" w:pos="720"/>
        <w:tab w:val="right" w:pos="9360" w:leader="dot"/>
      </w:tabs>
      <w:ind w:hanging="0" w:start="960"/>
    </w:pPr>
    <w:rPr>
      <w:sz w:val="20"/>
    </w:rPr>
  </w:style>
  <w:style w:type="paragraph" w:styleId="TOC4">
    <w:name w:val="toc 4"/>
    <w:basedOn w:val="Index"/>
    <w:next w:val="Normal"/>
    <w:pPr>
      <w:tabs>
        <w:tab w:val="clear" w:pos="720"/>
        <w:tab w:val="right" w:pos="9360" w:leader="dot"/>
      </w:tabs>
      <w:ind w:hanging="0" w:start="720"/>
    </w:pPr>
    <w:rPr>
      <w:sz w:val="20"/>
    </w:rPr>
  </w:style>
  <w:style w:type="paragraph" w:styleId="TOC3">
    <w:name w:val="toc 3"/>
    <w:basedOn w:val="Index"/>
    <w:pPr>
      <w:tabs>
        <w:tab w:val="clear" w:pos="720"/>
        <w:tab w:val="right" w:pos="9360" w:leader="dot"/>
      </w:tabs>
      <w:ind w:hanging="0" w:start="480"/>
    </w:pPr>
    <w:rPr>
      <w:sz w:val="20"/>
    </w:rPr>
  </w:style>
  <w:style w:type="paragraph" w:styleId="TOC2">
    <w:name w:val="toc 2"/>
    <w:basedOn w:val="Index"/>
    <w:pPr>
      <w:tabs>
        <w:tab w:val="clear" w:pos="720"/>
        <w:tab w:val="right" w:pos="9360" w:leader="dot"/>
      </w:tabs>
      <w:spacing w:before="240" w:after="0"/>
      <w:ind w:hanging="0" w:start="240"/>
    </w:pPr>
    <w:rPr>
      <w:b/>
      <w:sz w:val="20"/>
    </w:rPr>
  </w:style>
  <w:style w:type="paragraph" w:styleId="TOC1">
    <w:name w:val="toc 1"/>
    <w:basedOn w:val="Normal"/>
    <w:pPr>
      <w:tabs>
        <w:tab w:val="clear" w:pos="720"/>
        <w:tab w:val="right" w:pos="9360" w:leader="dot"/>
      </w:tabs>
      <w:spacing w:before="360" w:after="0"/>
    </w:pPr>
    <w:rPr>
      <w:rFonts w:ascii="Arial" w:hAnsi="Arial"/>
      <w:b/>
      <w:caps/>
    </w:rPr>
  </w:style>
  <w:style w:type="paragraph" w:styleId="HeaderandFooter">
    <w:name w:val="Header and Footer"/>
    <w:basedOn w:val="Normal"/>
    <w:qFormat/>
    <w:pPr/>
    <w:rPr/>
  </w:style>
  <w:style w:type="paragraph" w:styleId="Footer">
    <w:name w:val="footer"/>
    <w:basedOn w:val="Normal"/>
    <w:pPr>
      <w:tabs>
        <w:tab w:val="clear" w:pos="720"/>
        <w:tab w:val="center" w:pos="4140" w:leader="none"/>
        <w:tab w:val="right" w:pos="9900" w:leader="none"/>
      </w:tabs>
      <w:ind w:hanging="0" w:start="-547" w:end="-547"/>
    </w:pPr>
    <w:rPr>
      <w:rFonts w:ascii="Arial" w:hAnsi="Arial"/>
      <w:color w:val="0000FF"/>
      <w:sz w:val="14"/>
    </w:rPr>
  </w:style>
  <w:style w:type="paragraph" w:styleId="Header">
    <w:name w:val="header"/>
    <w:basedOn w:val="Normal"/>
    <w:pPr/>
    <w:rPr/>
  </w:style>
  <w:style w:type="paragraph" w:styleId="FootnoteText">
    <w:name w:val="footnote text"/>
    <w:basedOn w:val="Normal"/>
    <w:pPr>
      <w:spacing w:before="240" w:after="0"/>
    </w:pPr>
    <w:rPr/>
  </w:style>
  <w:style w:type="paragraph" w:styleId="bodytextblock">
    <w:name w:val="body text block"/>
    <w:basedOn w:val="bodytext1"/>
    <w:next w:val="bodytext1"/>
    <w:qFormat/>
    <w:pPr>
      <w:spacing w:lineRule="atLeast" w:line="240" w:before="240" w:after="0"/>
      <w:ind w:hanging="0"/>
    </w:pPr>
    <w:rPr/>
  </w:style>
  <w:style w:type="paragraph" w:styleId="Plain">
    <w:name w:val="Plain"/>
    <w:basedOn w:val="Normal"/>
    <w:qFormat/>
    <w:pPr/>
    <w:rPr/>
  </w:style>
  <w:style w:type="paragraph" w:styleId="EnvelopeAddress">
    <w:name w:val="envelope address"/>
    <w:basedOn w:val="Normal"/>
    <w:pPr>
      <w:ind w:hanging="0" w:start="2880"/>
    </w:pPr>
    <w:rPr/>
  </w:style>
  <w:style w:type="paragraph" w:styleId="List4">
    <w:name w:val="List 4"/>
    <w:qFormat/>
    <w:pPr>
      <w:widowControl w:val="false"/>
      <w:bidi w:val="0"/>
      <w:spacing w:before="240" w:after="0"/>
      <w:ind w:hanging="720" w:start="2880"/>
    </w:pPr>
    <w:rPr>
      <w:rFonts w:ascii="Liberation Serif" w:hAnsi="Liberation Serif" w:eastAsia="Liberation Sans" w:cs="NotoSans NF"/>
      <w:color w:val="auto"/>
      <w:kern w:val="2"/>
      <w:sz w:val="24"/>
      <w:szCs w:val="24"/>
      <w:lang w:val="en-CA" w:eastAsia="zh-CN" w:bidi="hi-IN"/>
    </w:rPr>
  </w:style>
  <w:style w:type="paragraph" w:styleId="List3">
    <w:name w:val="List 3"/>
    <w:qFormat/>
    <w:pPr>
      <w:widowControl w:val="false"/>
      <w:bidi w:val="0"/>
      <w:spacing w:before="240" w:after="0"/>
      <w:ind w:hanging="720" w:start="2160"/>
    </w:pPr>
    <w:rPr>
      <w:rFonts w:ascii="Liberation Serif" w:hAnsi="Liberation Serif" w:eastAsia="Liberation Sans" w:cs="NotoSans NF"/>
      <w:color w:val="auto"/>
      <w:kern w:val="2"/>
      <w:sz w:val="24"/>
      <w:szCs w:val="24"/>
      <w:lang w:val="en-CA" w:eastAsia="zh-CN" w:bidi="hi-IN"/>
    </w:rPr>
  </w:style>
  <w:style w:type="paragraph" w:styleId="List2">
    <w:name w:val="List 2"/>
    <w:qFormat/>
    <w:pPr>
      <w:widowControl w:val="false"/>
      <w:bidi w:val="0"/>
      <w:spacing w:before="240" w:after="0"/>
      <w:ind w:hanging="720" w:start="1440"/>
    </w:pPr>
    <w:rPr>
      <w:rFonts w:ascii="Liberation Serif" w:hAnsi="Liberation Serif" w:eastAsia="Liberation Sans" w:cs="NotoSans NF"/>
      <w:color w:val="auto"/>
      <w:kern w:val="2"/>
      <w:sz w:val="24"/>
      <w:szCs w:val="24"/>
      <w:lang w:val="en-CA" w:eastAsia="zh-CN" w:bidi="hi-IN"/>
    </w:rPr>
  </w:style>
  <w:style w:type="paragraph" w:styleId="List1">
    <w:name w:val="List 1"/>
    <w:basedOn w:val="Normal"/>
    <w:qFormat/>
    <w:pPr>
      <w:spacing w:before="240" w:after="0"/>
      <w:ind w:hanging="720" w:start="720"/>
    </w:pPr>
    <w:rPr/>
  </w:style>
  <w:style w:type="paragraph" w:styleId="List5">
    <w:name w:val="List 5"/>
    <w:basedOn w:val="List4"/>
    <w:qFormat/>
    <w:pPr>
      <w:spacing w:before="240" w:after="0"/>
      <w:ind w:hanging="720" w:start="3600"/>
    </w:pPr>
    <w:rPr/>
  </w:style>
  <w:style w:type="paragraph" w:styleId="List1d">
    <w:name w:val="List 1.d"/>
    <w:basedOn w:val="List1"/>
    <w:qFormat/>
    <w:pPr>
      <w:tabs>
        <w:tab w:val="clear" w:pos="720"/>
        <w:tab w:val="decimal" w:pos="504" w:leader="none"/>
      </w:tabs>
      <w:spacing w:before="240" w:after="0"/>
      <w:ind w:hanging="720" w:start="720"/>
    </w:pPr>
    <w:rPr/>
  </w:style>
  <w:style w:type="paragraph" w:styleId="List2d">
    <w:name w:val="List 2.d"/>
    <w:basedOn w:val="List2"/>
    <w:qFormat/>
    <w:pPr>
      <w:tabs>
        <w:tab w:val="clear" w:pos="720"/>
        <w:tab w:val="decimal" w:pos="1224" w:leader="none"/>
      </w:tabs>
      <w:spacing w:before="240" w:after="0"/>
      <w:ind w:hanging="720" w:start="1440"/>
    </w:pPr>
    <w:rPr/>
  </w:style>
  <w:style w:type="paragraph" w:styleId="List3d">
    <w:name w:val="List 3.d"/>
    <w:basedOn w:val="List3"/>
    <w:qFormat/>
    <w:pPr>
      <w:tabs>
        <w:tab w:val="clear" w:pos="720"/>
        <w:tab w:val="decimal" w:pos="1944" w:leader="none"/>
      </w:tabs>
      <w:spacing w:before="240" w:after="0"/>
      <w:ind w:hanging="720" w:start="2160"/>
    </w:pPr>
    <w:rPr/>
  </w:style>
  <w:style w:type="paragraph" w:styleId="List4d">
    <w:name w:val="List 4.d"/>
    <w:basedOn w:val="List4"/>
    <w:qFormat/>
    <w:pPr>
      <w:tabs>
        <w:tab w:val="clear" w:pos="720"/>
        <w:tab w:val="decimal" w:pos="2664" w:leader="none"/>
      </w:tabs>
      <w:spacing w:before="240" w:after="0"/>
      <w:ind w:hanging="720" w:start="2880"/>
    </w:pPr>
    <w:rPr/>
  </w:style>
  <w:style w:type="paragraph" w:styleId="List5d">
    <w:name w:val="List 5.d"/>
    <w:basedOn w:val="List5"/>
    <w:qFormat/>
    <w:pPr>
      <w:tabs>
        <w:tab w:val="clear" w:pos="720"/>
        <w:tab w:val="decimal" w:pos="3384" w:leader="none"/>
      </w:tabs>
      <w:spacing w:before="240" w:after="0"/>
      <w:ind w:hanging="720" w:start="3600"/>
    </w:pPr>
    <w:rPr/>
  </w:style>
  <w:style w:type="paragraph" w:styleId="Quote">
    <w:name w:val="Quote"/>
    <w:basedOn w:val="Normal"/>
    <w:qFormat/>
    <w:pPr>
      <w:spacing w:before="240" w:after="0"/>
      <w:ind w:hanging="0" w:start="1440" w:end="1440"/>
    </w:pPr>
    <w:rPr/>
  </w:style>
  <w:style w:type="paragraph" w:styleId="zFirstFooter">
    <w:name w:val="zFirstFooter"/>
    <w:basedOn w:val="Normal"/>
    <w:qFormat/>
    <w:pPr>
      <w:tabs>
        <w:tab w:val="clear" w:pos="720"/>
        <w:tab w:val="right" w:pos="10260" w:leader="none"/>
      </w:tabs>
      <w:ind w:hanging="0" w:start="-900" w:end="-900"/>
    </w:pPr>
    <w:rPr>
      <w:rFonts w:ascii="Arial" w:hAnsi="Arial"/>
      <w:color w:val="0000FF"/>
      <w:sz w:val="14"/>
    </w:rPr>
  </w:style>
  <w:style w:type="paragraph" w:styleId="zMemoHeading">
    <w:name w:val="zMemoHeading"/>
    <w:basedOn w:val="Normal"/>
    <w:next w:val="Normal"/>
    <w:qFormat/>
    <w:pPr>
      <w:keepLines/>
      <w:spacing w:lineRule="atLeast" w:line="240" w:before="480" w:after="480"/>
      <w:jc w:val="center"/>
    </w:pPr>
    <w:rPr>
      <w:b/>
      <w:u w:val="single"/>
    </w:rPr>
  </w:style>
  <w:style w:type="paragraph" w:styleId="zAuthorInitials">
    <w:name w:val="zAuthorInitials"/>
    <w:basedOn w:val="Normal"/>
    <w:qFormat/>
    <w:pPr>
      <w:spacing w:lineRule="atLeast" w:line="480"/>
      <w:ind w:hanging="0" w:start="4766"/>
    </w:pPr>
    <w:rPr/>
  </w:style>
  <w:style w:type="paragraph" w:styleId="zHiddenHeader">
    <w:name w:val="zHiddenHeader"/>
    <w:basedOn w:val="Header"/>
    <w:qFormat/>
    <w:pPr>
      <w:tabs>
        <w:tab w:val="clear" w:pos="720"/>
        <w:tab w:val="left" w:pos="1440" w:leader="none"/>
        <w:tab w:val="center" w:pos="4680" w:leader="none"/>
        <w:tab w:val="right" w:pos="9360" w:leader="none"/>
      </w:tabs>
      <w:spacing w:lineRule="atLeast" w:line="240"/>
    </w:pPr>
    <w:rPr>
      <w:vanish/>
      <w:color w:val="FF0000"/>
      <w:sz w:val="16"/>
    </w:rPr>
  </w:style>
  <w:style w:type="paragraph" w:styleId="Interrogatory">
    <w:name w:val="Interrogatory"/>
    <w:basedOn w:val="Normal"/>
    <w:next w:val="bodytext1"/>
    <w:qFormat/>
    <w:pPr>
      <w:keepNext w:val="true"/>
      <w:spacing w:lineRule="exact" w:line="240" w:before="240" w:after="0"/>
    </w:pPr>
    <w:rPr>
      <w:u w:val="single"/>
    </w:rPr>
  </w:style>
  <w:style w:type="paragraph" w:styleId="Style1toc">
    <w:name w:val="Style1 (toc)"/>
    <w:basedOn w:val="BodyText"/>
    <w:qFormat/>
    <w:pPr>
      <w:ind w:hanging="0" w:start="720"/>
      <w:jc w:val="center"/>
    </w:pPr>
    <w:rPr>
      <w:sz w:val="23"/>
      <w:u w:val="single"/>
    </w:rPr>
  </w:style>
  <w:style w:type="paragraph" w:styleId="Style2toc">
    <w:name w:val="Style2 (toc)"/>
    <w:basedOn w:val="BodyText"/>
    <w:qFormat/>
    <w:pPr>
      <w:keepNext w:val="true"/>
      <w:ind w:hanging="0" w:start="720"/>
      <w:jc w:val="both"/>
    </w:pPr>
    <w:rPr>
      <w:sz w:val="23"/>
    </w:rPr>
  </w:style>
  <w:style w:type="paragraph" w:styleId="BodyText2">
    <w:name w:val="Body Text 2"/>
    <w:basedOn w:val="Normal"/>
    <w:qFormat/>
    <w:pPr>
      <w:ind w:firstLine="720" w:start="720"/>
      <w:jc w:val="both"/>
    </w:pPr>
    <w:rPr>
      <w:sz w:val="23"/>
    </w:rPr>
  </w:style>
  <w:style w:type="paragraph" w:styleId="BodyTextIndent2">
    <w:name w:val="Body Text Indent 2"/>
    <w:basedOn w:val="Normal"/>
    <w:qFormat/>
    <w:pPr>
      <w:ind w:firstLine="720" w:start="1440"/>
      <w:jc w:val="both"/>
    </w:pPr>
    <w:rPr>
      <w:sz w:val="23"/>
    </w:rPr>
  </w:style>
  <w:style w:type="paragraph" w:styleId="bodytext2level">
    <w:name w:val="body text 2 level"/>
    <w:basedOn w:val="bodytext1"/>
    <w:qFormat/>
    <w:pPr>
      <w:spacing w:lineRule="auto" w:line="240" w:before="240" w:after="0"/>
      <w:ind w:hanging="0"/>
    </w:pPr>
    <w:rPr/>
  </w:style>
  <w:style w:type="paragraph" w:styleId="bodytext4level">
    <w:name w:val="body text 4 level"/>
    <w:qFormat/>
    <w:pPr>
      <w:widowControl w:val="false"/>
      <w:bidi w:val="0"/>
      <w:spacing w:before="240" w:after="0"/>
      <w:ind w:hanging="1080" w:start="2520"/>
      <w:jc w:val="both"/>
    </w:pPr>
    <w:rPr>
      <w:rFonts w:ascii="Liberation Serif" w:hAnsi="Liberation Serif" w:eastAsia="Liberation Sans" w:cs="NotoSans NF"/>
      <w:color w:val="auto"/>
      <w:kern w:val="2"/>
      <w:sz w:val="22"/>
      <w:szCs w:val="24"/>
      <w:lang w:val="en-CA" w:eastAsia="zh-CN" w:bidi="hi-IN"/>
    </w:rPr>
  </w:style>
  <w:style w:type="paragraph" w:styleId="bodytext3level">
    <w:name w:val="body text 3 level"/>
    <w:basedOn w:val="Normal"/>
    <w:qFormat/>
    <w:pPr>
      <w:spacing w:before="240" w:after="0"/>
      <w:ind w:firstLine="720"/>
      <w:jc w:val="both"/>
    </w:pPr>
    <w:rPr>
      <w:sz w:val="22"/>
    </w:rPr>
  </w:style>
  <w:style w:type="paragraph" w:styleId="BodyTextIndent3">
    <w:name w:val="Body Text Indent 3"/>
    <w:basedOn w:val="Normal"/>
    <w:qFormat/>
    <w:pPr>
      <w:ind w:firstLine="720" w:start="720"/>
      <w:jc w:val="both"/>
    </w:pPr>
    <w:rPr>
      <w:sz w:val="23"/>
    </w:rPr>
  </w:style>
  <w:style w:type="paragraph" w:styleId="bodylevel4">
    <w:name w:val="body level 4"/>
    <w:basedOn w:val="bodytext1"/>
    <w:qFormat/>
    <w:pPr>
      <w:spacing w:lineRule="auto" w:line="240" w:before="240" w:after="0"/>
      <w:ind w:firstLine="720" w:start="720"/>
      <w:jc w:val="both"/>
    </w:pPr>
    <w:rPr/>
  </w:style>
  <w:style w:type="paragraph" w:styleId="TOC6">
    <w:name w:val="toc 6"/>
    <w:basedOn w:val="Normal"/>
    <w:next w:val="Normal"/>
    <w:pPr>
      <w:tabs>
        <w:tab w:val="clear" w:pos="720"/>
        <w:tab w:val="right" w:pos="9360" w:leader="dot"/>
      </w:tabs>
      <w:ind w:hanging="0" w:start="1200"/>
    </w:pPr>
    <w:rPr>
      <w:sz w:val="20"/>
    </w:rPr>
  </w:style>
  <w:style w:type="paragraph" w:styleId="TOC7">
    <w:name w:val="toc 7"/>
    <w:basedOn w:val="Normal"/>
    <w:next w:val="Normal"/>
    <w:pPr>
      <w:tabs>
        <w:tab w:val="clear" w:pos="720"/>
        <w:tab w:val="right" w:pos="9360" w:leader="dot"/>
      </w:tabs>
      <w:ind w:hanging="0" w:start="1440"/>
    </w:pPr>
    <w:rPr>
      <w:sz w:val="20"/>
    </w:rPr>
  </w:style>
  <w:style w:type="paragraph" w:styleId="TOC8">
    <w:name w:val="toc 8"/>
    <w:basedOn w:val="Normal"/>
    <w:next w:val="Normal"/>
    <w:pPr>
      <w:tabs>
        <w:tab w:val="clear" w:pos="720"/>
        <w:tab w:val="right" w:pos="9360" w:leader="dot"/>
      </w:tabs>
      <w:ind w:hanging="0" w:start="1680"/>
    </w:pPr>
    <w:rPr>
      <w:sz w:val="20"/>
    </w:rPr>
  </w:style>
  <w:style w:type="paragraph" w:styleId="TOC9">
    <w:name w:val="toc 9"/>
    <w:basedOn w:val="Normal"/>
    <w:next w:val="Normal"/>
    <w:pPr>
      <w:tabs>
        <w:tab w:val="clear" w:pos="720"/>
        <w:tab w:val="right" w:pos="9360" w:leader="dot"/>
      </w:tabs>
      <w:ind w:hanging="0" w:start="1920"/>
    </w:pPr>
    <w:rPr>
      <w:sz w:val="20"/>
    </w:rPr>
  </w:style>
  <w:style w:type="paragraph" w:styleId="DraftStamp">
    <w:name w:val="Draft Stamp"/>
    <w:basedOn w:val="Normal"/>
    <w:qFormat/>
    <w:pPr/>
    <w:rPr>
      <w:rFonts w:ascii="Arial" w:hAnsi="Arial"/>
      <w:b/>
      <w:smallCaps/>
      <w:spacing w:val="50"/>
      <w:sz w:val="48"/>
    </w:rPr>
  </w:style>
  <w:style w:type="paragraph" w:styleId="Title">
    <w:name w:val="Title"/>
    <w:basedOn w:val="Normal"/>
    <w:qFormat/>
    <w:pPr>
      <w:jc w:val="center"/>
    </w:pPr>
    <w:rPr>
      <w:b/>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32808</Words>
  <CharactersWithSpaces>187009</CharactersWithSpaces>
  <Company>McCutchen,Doyle,Brown&amp;Enersen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2000-11-21T16:51:00Z</dcterms:created>
  <dc:creator>Hyde, Earl</dc:creator>
  <dc:description/>
  <cp:keywords>20578-0041</cp:keywords>
  <dc:language>en-CA</dc:language>
  <cp:lastModifiedBy/>
  <cp:lastPrinted>2000-11-07T09:24:00Z</cp:lastPrinted>
  <dcterms:modified xsi:type="dcterms:W3CDTF">2000-11-21T16:51:00Z</dcterms:modified>
  <cp:revision>3</cp:revision>
  <dc:subject/>
  <dc:title>ENGINEERING, PROCUREMENT AND CONSTRUCTION CONTRACT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John Schwartzenburg</vt:lpwstr>
  </property>
</Properties>
</file>