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jc w:val="center"/>
        <w:outlineLvl w:val="0"/>
        <w:rPr>
          <w:b/>
          <w:color w:val="000000"/>
        </w:rPr>
      </w:pPr>
      <w:r>
        <w:rPr>
          <w:b/>
          <w:color w:val="000000"/>
        </w:rPr>
        <w:t>PROPOSAL TO PRESERVE CUSTOMER CHOICE AND DIRECT ACCESS</w:t>
      </w:r>
    </w:p>
    <w:p>
      <w:pPr>
        <w:pStyle w:val="BodyText"/>
        <w:jc w:val="center"/>
        <w:rPr>
          <w:b/>
          <w:color w:val="000000"/>
        </w:rPr>
      </w:pPr>
      <w:r>
        <w:rPr>
          <w:b/>
          <w:color w:val="000000"/>
        </w:rPr>
      </w:r>
    </w:p>
    <w:p>
      <w:pPr>
        <w:pStyle w:val="BodyText"/>
        <w:numPr>
          <w:ilvl w:val="0"/>
          <w:numId w:val="0"/>
        </w:numPr>
        <w:jc w:val="center"/>
        <w:outlineLvl w:val="0"/>
        <w:rPr>
          <w:b/>
          <w:color w:val="000000"/>
        </w:rPr>
      </w:pPr>
      <w:r>
        <w:rPr>
          <w:b/>
          <w:color w:val="000000"/>
        </w:rPr>
        <w:t>PROPOSED AMENDMENTS TO SB 27X</w:t>
      </w:r>
    </w:p>
    <w:p>
      <w:pPr>
        <w:pStyle w:val="BodyText"/>
        <w:rPr>
          <w:b/>
          <w:color w:val="000000"/>
        </w:rPr>
      </w:pPr>
      <w:r>
        <w:rPr>
          <w:b/>
          <w:color w:val="000000"/>
        </w:rPr>
      </w:r>
    </w:p>
    <w:p>
      <w:pPr>
        <w:pStyle w:val="BodyText"/>
        <w:rPr>
          <w:color w:val="000000"/>
        </w:rPr>
      </w:pPr>
      <w:r>
        <w:rPr>
          <w:color w:val="000000"/>
        </w:rPr>
      </w:r>
    </w:p>
    <w:p>
      <w:pPr>
        <w:pStyle w:val="BodyText"/>
        <w:rPr>
          <w:color w:val="000000"/>
        </w:rPr>
      </w:pPr>
      <w:r>
        <w:rPr>
          <w:color w:val="000000"/>
        </w:rPr>
      </w:r>
    </w:p>
    <w:p>
      <w:pPr>
        <w:pStyle w:val="BodyText"/>
        <w:numPr>
          <w:ilvl w:val="0"/>
          <w:numId w:val="0"/>
        </w:numPr>
        <w:outlineLvl w:val="0"/>
        <w:rPr>
          <w:color w:val="000000"/>
        </w:rPr>
      </w:pPr>
      <w:r>
        <w:rPr>
          <w:color w:val="000000"/>
        </w:rPr>
        <w:t>Strike the next to last sentence of Section 80110.</w:t>
      </w:r>
    </w:p>
    <w:p>
      <w:pPr>
        <w:pStyle w:val="BodyText"/>
        <w:rPr>
          <w:color w:val="000000"/>
        </w:rPr>
      </w:pPr>
      <w:del w:id="0" w:author="Aaron Thomas" w:date="2001-01-30T22:15:00Z">
        <w:r>
          <w:rPr>
            <w:color w:val="000000"/>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longer supplies power hereunder.  The department shall have the same rights with respect to the payment by retail end use customers for power sold by the department as do providers of power to such customers.</w:delText>
        </w:r>
      </w:del>
    </w:p>
    <w:p>
      <w:pPr>
        <w:pStyle w:val="Normal"/>
        <w:autoSpaceDE w:val="false"/>
        <w:rPr>
          <w:color w:val="000000"/>
        </w:rPr>
      </w:pPr>
      <w:r>
        <w:rPr>
          <w:color w:val="000000"/>
        </w:rPr>
      </w:r>
    </w:p>
    <w:p>
      <w:pPr>
        <w:pStyle w:val="Normal"/>
        <w:autoSpaceDE w:val="false"/>
        <w:rPr>
          <w:color w:val="000000"/>
        </w:rPr>
      </w:pPr>
      <w:r>
        <w:rPr>
          <w:color w:val="000000"/>
        </w:rPr>
        <w:t>Insert the following language at the end of Section 80110:</w:t>
      </w:r>
    </w:p>
    <w:p>
      <w:pPr>
        <w:pStyle w:val="Normal"/>
        <w:autoSpaceDE w:val="false"/>
        <w:rPr>
          <w:color w:val="000000"/>
        </w:rPr>
      </w:pPr>
      <w:r>
        <w:rPr>
          <w:color w:val="000000"/>
        </w:rPr>
      </w:r>
    </w:p>
    <w:p>
      <w:pPr>
        <w:pStyle w:val="Normal"/>
        <w:autoSpaceDE w:val="false"/>
        <w:rPr>
          <w:color w:val="000000"/>
        </w:rPr>
      </w:pPr>
      <w:r>
        <w:rPr>
          <w:color w:val="000000"/>
        </w:rPr>
        <w:t>The commission shall implement subscription protocols for the power supplied by the department in accordance with the following:</w:t>
      </w:r>
    </w:p>
    <w:p>
      <w:pPr>
        <w:pStyle w:val="Normal"/>
        <w:numPr>
          <w:ilvl w:val="0"/>
          <w:numId w:val="1"/>
        </w:numPr>
        <w:tabs>
          <w:tab w:val="clear" w:pos="720"/>
        </w:tabs>
        <w:autoSpaceDE w:val="false"/>
        <w:spacing w:before="120" w:after="120"/>
        <w:ind w:hanging="0" w:start="0" w:end="0"/>
        <w:rPr>
          <w:color w:val="000000"/>
        </w:rPr>
      </w:pPr>
      <w:r>
        <w:rPr>
          <w:color w:val="000000"/>
        </w:rPr>
        <w:t>The right of residential and small commercial customers to elect an alternate provider for retail service shall not be restricted by this section.</w:t>
      </w:r>
    </w:p>
    <w:p>
      <w:pPr>
        <w:pStyle w:val="Normal"/>
        <w:numPr>
          <w:ilvl w:val="0"/>
          <w:numId w:val="1"/>
        </w:numPr>
        <w:tabs>
          <w:tab w:val="clear" w:pos="720"/>
        </w:tabs>
        <w:autoSpaceDE w:val="false"/>
        <w:spacing w:before="120" w:after="120"/>
        <w:ind w:hanging="0" w:start="0" w:end="0"/>
        <w:rPr>
          <w:color w:val="000000"/>
        </w:rPr>
      </w:pPr>
      <w:r>
        <w:rPr>
          <w:color w:val="000000"/>
        </w:rPr>
        <w:t>The right of large commercial and industrial customers to elect service from an alternate provider for retail service shall not be limited until such time as the department has fully satisfied the net short position of the respective electrical corporation with long-term contracts.  The department shall provide public notice when the department has fully satisfied the net short position of an electrical corporation.  This event shall be deemed to be the close of the initial subscription period for the applicable electrical corporation.</w:t>
      </w:r>
    </w:p>
    <w:p>
      <w:pPr>
        <w:pStyle w:val="Normal"/>
        <w:numPr>
          <w:ilvl w:val="0"/>
          <w:numId w:val="1"/>
        </w:numPr>
        <w:tabs>
          <w:tab w:val="clear" w:pos="720"/>
        </w:tabs>
        <w:autoSpaceDE w:val="false"/>
        <w:spacing w:before="120" w:after="120"/>
        <w:ind w:hanging="0" w:start="0" w:end="0"/>
        <w:rPr>
          <w:color w:val="000000"/>
        </w:rPr>
      </w:pPr>
      <w:r>
        <w:rPr>
          <w:color w:val="000000"/>
        </w:rPr>
        <w:t>If, after the initial subscription period has closed, a large commercial or industrial customer elects to leave the department service, the department may impose a fee equal to the incremental costs imposed on the portfolio that are directly related to the load of the departing customer.</w:t>
      </w:r>
    </w:p>
    <w:p>
      <w:pPr>
        <w:pStyle w:val="Normal"/>
        <w:numPr>
          <w:ilvl w:val="0"/>
          <w:numId w:val="1"/>
        </w:numPr>
        <w:tabs>
          <w:tab w:val="clear" w:pos="720"/>
        </w:tabs>
        <w:autoSpaceDE w:val="false"/>
        <w:spacing w:before="120" w:after="120"/>
        <w:ind w:hanging="0" w:start="0" w:end="0"/>
        <w:rPr>
          <w:color w:val="000000"/>
        </w:rPr>
      </w:pPr>
      <w:r>
        <w:rPr>
          <w:color w:val="000000"/>
        </w:rPr>
        <w:t>Upon conclusion of the initial subscription period, the department shall notify all large commercial and industrial customers no less than six months in advance of the lapse of any long-term contract.  Upon such notice large commercial and industrial customers shall have the right to elect an alternate provider without being subject to the surcharge set forth in sub-section (c).  This event shall be deemed to be an open subscription period and shall remain in effect until such time as the aggregated demand of all customers electing an alternative provider exceeds the capacity of the lapsing contract.  This event shall be deemed to be an open subscription period.</w:t>
      </w:r>
    </w:p>
    <w:p>
      <w:pPr>
        <w:pStyle w:val="Normal"/>
        <w:numPr>
          <w:ilvl w:val="0"/>
          <w:numId w:val="1"/>
        </w:numPr>
        <w:tabs>
          <w:tab w:val="clear" w:pos="720"/>
        </w:tabs>
        <w:autoSpaceDE w:val="false"/>
        <w:spacing w:before="120" w:after="120"/>
        <w:ind w:hanging="0" w:start="0" w:end="0"/>
        <w:rPr>
          <w:color w:val="000000"/>
        </w:rPr>
      </w:pPr>
      <w:r>
        <w:rPr>
          <w:color w:val="000000"/>
        </w:rPr>
        <w:t xml:space="preserve">If a large commercial or industrial customer requests service from the department after the initial subscription period or outside of an open subscription period, the department may impose a fee equal to the incremental costs imposed on the portfolio that are directly related to the load of the returning customer, taking into account prospects for load growth in its customer base, compared to the total value of the portfolio of energy used to serve the customer.  </w:t>
      </w:r>
    </w:p>
    <w:p>
      <w:pPr>
        <w:pStyle w:val="Normal"/>
        <w:numPr>
          <w:ilvl w:val="0"/>
          <w:numId w:val="1"/>
        </w:numPr>
        <w:tabs>
          <w:tab w:val="clear" w:pos="720"/>
        </w:tabs>
        <w:autoSpaceDE w:val="false"/>
        <w:spacing w:before="120" w:after="120"/>
        <w:ind w:hanging="0" w:start="0" w:end="0"/>
        <w:rPr>
          <w:color w:val="000000"/>
        </w:rPr>
      </w:pPr>
      <w:r>
        <w:rPr>
          <w:color w:val="000000"/>
        </w:rPr>
        <w:t>Customers that have elected to take service from the department after the initial subscription period or outside of an open subscription period shall be required to take service from the department for a minimum of one year.</w:t>
      </w:r>
    </w:p>
    <w:p>
      <w:pPr>
        <w:pStyle w:val="Normal"/>
        <w:numPr>
          <w:ilvl w:val="0"/>
          <w:numId w:val="1"/>
        </w:numPr>
        <w:tabs>
          <w:tab w:val="clear" w:pos="720"/>
        </w:tabs>
        <w:autoSpaceDE w:val="false"/>
        <w:spacing w:before="120" w:after="120"/>
        <w:ind w:hanging="0" w:start="0" w:end="0"/>
        <w:rPr>
          <w:color w:val="000000"/>
        </w:rPr>
      </w:pPr>
      <w:r>
        <w:rPr>
          <w:color w:val="000000"/>
        </w:rPr>
        <w:t>Any new customer to the service territory of an electrical corporation shall have the opportunity to elect service from the department without being subject to sub-section (e).</w:t>
      </w:r>
    </w:p>
    <w:p>
      <w:pPr>
        <w:pStyle w:val="Normal"/>
        <w:numPr>
          <w:ilvl w:val="0"/>
          <w:numId w:val="1"/>
        </w:numPr>
        <w:tabs>
          <w:tab w:val="clear" w:pos="720"/>
        </w:tabs>
        <w:autoSpaceDE w:val="false"/>
        <w:spacing w:before="120" w:after="120"/>
        <w:ind w:hanging="0" w:start="0" w:end="0"/>
        <w:rPr>
          <w:color w:val="000000"/>
        </w:rPr>
      </w:pPr>
      <w:r>
        <w:rPr>
          <w:color w:val="000000"/>
        </w:rPr>
        <w:t>Any new customer shall have the opportunity to elect service from an alternative provider during the first 120 days from the date of service initiation without being subject to sub-section (c).</w:t>
      </w:r>
    </w:p>
    <w:p>
      <w:pPr>
        <w:pStyle w:val="Normal"/>
        <w:numPr>
          <w:ilvl w:val="0"/>
          <w:numId w:val="1"/>
        </w:numPr>
        <w:tabs>
          <w:tab w:val="clear" w:pos="720"/>
        </w:tabs>
        <w:autoSpaceDE w:val="false"/>
        <w:spacing w:before="120" w:after="120"/>
        <w:ind w:hanging="0" w:start="0" w:end="0"/>
        <w:rPr>
          <w:color w:val="000000"/>
        </w:rPr>
      </w:pPr>
      <w:r>
        <w:rPr>
          <w:color w:val="000000"/>
        </w:rPr>
        <w:t>For purposes of this section, residential and small commercial customers shall be defined as customers with demands less than 100 kW.</w:t>
      </w:r>
    </w:p>
    <w:p>
      <w:pPr>
        <w:pStyle w:val="Normal"/>
        <w:numPr>
          <w:ilvl w:val="0"/>
          <w:numId w:val="1"/>
        </w:numPr>
        <w:tabs>
          <w:tab w:val="clear" w:pos="720"/>
        </w:tabs>
        <w:autoSpaceDE w:val="false"/>
        <w:spacing w:before="120" w:after="120"/>
        <w:ind w:hanging="0" w:start="0" w:end="0"/>
        <w:rPr>
          <w:color w:val="000000"/>
        </w:rPr>
      </w:pPr>
      <w:r>
        <w:rPr>
          <w:color w:val="000000"/>
        </w:rPr>
        <w:t>For purposes of this section, commercial and industrial customers shall be defined as customers with demands equal to or greater than 100 kW.</w:t>
      </w:r>
    </w:p>
    <w:p>
      <w:pPr>
        <w:pStyle w:val="Normal"/>
        <w:numPr>
          <w:ilvl w:val="0"/>
          <w:numId w:val="1"/>
        </w:numPr>
        <w:tabs>
          <w:tab w:val="clear" w:pos="720"/>
        </w:tabs>
        <w:autoSpaceDE w:val="false"/>
        <w:spacing w:before="120" w:after="120"/>
        <w:ind w:hanging="0" w:start="0" w:end="0"/>
        <w:rPr>
          <w:color w:val="000000"/>
        </w:rPr>
      </w:pPr>
      <w:r>
        <w:rPr>
          <w:color w:val="000000"/>
        </w:rPr>
        <w:t>For purposes of this section, a long-term contract shall be defined as a contract for energy greater than or equal to one-year in length.</w:t>
      </w:r>
    </w:p>
    <w:p>
      <w:pPr>
        <w:pStyle w:val="Normal"/>
        <w:numPr>
          <w:ilvl w:val="0"/>
          <w:numId w:val="1"/>
        </w:numPr>
        <w:tabs>
          <w:tab w:val="clear" w:pos="720"/>
        </w:tabs>
        <w:autoSpaceDE w:val="false"/>
        <w:spacing w:before="120" w:after="120"/>
        <w:ind w:hanging="0" w:start="0" w:end="0"/>
        <w:rPr>
          <w:color w:val="000000"/>
        </w:rPr>
      </w:pPr>
      <w:r>
        <w:rPr>
          <w:color w:val="000000"/>
        </w:rPr>
        <w:t>For purposes of this section, incremental costs shall be defined as the costs that the department cannot reasonably avoid until such time as one or more long-term contracts expire.</w:t>
      </w:r>
    </w:p>
    <w:p>
      <w:pPr>
        <w:pStyle w:val="Normal"/>
        <w:spacing w:lineRule="exact" w:line="200" w:before="240" w:after="0"/>
        <w:rPr/>
      </w:pPr>
      <w:r>
        <w:rPr>
          <w:rStyle w:val="zzmpTrailerItem"/>
        </w:rPr>
        <w:t>2704/138/PART5-1</w:t>
      </w:r>
      <w:r>
        <w:rPr/>
        <w:t xml:space="preserve"> </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iTrailerType" w:val="1"/>
    <w:docVar w:name="zzmpFixedDOC_ID" w:val="2704/138/PART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2001-02-15T16:36:00Z</dcterms:created>
  <dc:creator>Aaron Thomas</dc:creator>
  <dc:description/>
  <dc:language>en-CA</dc:language>
  <cp:lastModifiedBy>Michael B. Day</cp:lastModifiedBy>
  <cp:lastPrinted>2001-02-15T11:05:00Z</cp:lastPrinted>
  <dcterms:modified xsi:type="dcterms:W3CDTF">2001-02-15T16:36:00Z</dcterms:modified>
  <cp:revision>3</cp:revision>
  <dc:subject/>
  <dc:title/>
</cp:coreProperties>
</file>