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WEATHER RISK MANAGEMENT</w:t>
      </w:r>
    </w:p>
    <w:p>
      <w:pPr>
        <w:pStyle w:val="Normal"/>
        <w:rPr/>
      </w:pPr>
      <w:r>
        <w:rPr/>
      </w:r>
    </w:p>
    <w:p>
      <w:pPr>
        <w:pStyle w:val="Normal"/>
        <w:rPr/>
      </w:pPr>
      <w:r>
        <w:rPr/>
        <w:t>The concept of value at risk (VAR) as a risk management tool in weather derivatives is questioned. Here, profit at risk (PAR) is introduced.</w:t>
      </w:r>
    </w:p>
    <w:p>
      <w:pPr>
        <w:pStyle w:val="Heading1"/>
        <w:ind w:hanging="0" w:start="0"/>
        <w:rPr/>
      </w:pPr>
      <w:r>
        <w:rPr/>
        <w:t>Whether to Use VAR? Weather to use PAR.</w:t>
      </w:r>
    </w:p>
    <w:p>
      <w:pPr>
        <w:pStyle w:val="Normal"/>
        <w:rPr/>
      </w:pPr>
      <w:r>
        <w:rPr/>
      </w:r>
    </w:p>
    <w:p>
      <w:pPr>
        <w:pStyle w:val="Normal"/>
        <w:rPr/>
      </w:pPr>
      <w:r>
        <w:rPr/>
        <w:t xml:space="preserve">Pricing weather derivatives has never been so easy, both numerical [1,2] and analytical solutions [3] exist. Introductions and laymen reviews are published regularly and are readily available [4]. Discussions of the treatment of weather data are at an advanced stage and a multitude of Internet sites has been created to facilitate trading. Life is healthy in weather derivatives. Or is it? Where is the mention of risk? </w:t>
      </w:r>
    </w:p>
    <w:p>
      <w:pPr>
        <w:pStyle w:val="Normal"/>
        <w:rPr/>
      </w:pPr>
      <w:r>
        <w:rPr/>
      </w:r>
    </w:p>
    <w:p>
      <w:pPr>
        <w:pStyle w:val="Normal"/>
        <w:rPr/>
      </w:pPr>
      <w:r>
        <w:rPr/>
        <w:t xml:space="preserve">It is the mark of a sagacious and sensible investor, be they a major investment bank with billions of dollars worth of assets or a single investor with a few hundred, that they have some idea of the risk associated with their investments. The risk of course is the likelihood of their losses that may result from typical movements in the assets they have taken positions in. </w:t>
      </w:r>
    </w:p>
    <w:p>
      <w:pPr>
        <w:pStyle w:val="Normal"/>
        <w:rPr/>
      </w:pPr>
      <w:r>
        <w:rPr/>
      </w:r>
    </w:p>
    <w:p>
      <w:pPr>
        <w:pStyle w:val="Normal"/>
        <w:rPr/>
      </w:pPr>
      <w:r>
        <w:rPr/>
        <w:t>This article describes a measure, profit at risk (PAR), that assess the likely losses of a portfolio of weather derivative contracts. The understanding of risk may encourage other option writers to enter the market and hence help to improve capacity in the weather derivative market.</w:t>
      </w:r>
    </w:p>
    <w:p>
      <w:pPr>
        <w:pStyle w:val="Normal"/>
        <w:rPr/>
      </w:pPr>
      <w:r>
        <w:rPr/>
      </w:r>
    </w:p>
    <w:p>
      <w:pPr>
        <w:pStyle w:val="Normal"/>
        <w:rPr/>
      </w:pPr>
      <w:r>
        <w:rPr/>
        <w:t xml:space="preserve">Traditionally financial institutions have used value at risk (VAR) as a measure for the possible down side of a portfolio. VAR is an estimate, with a given degree of confidence, of how much one can lose from a portfolio over a given time horizon. If market prices and volatilities exist in the market then it is possible to mark to market. Otherwise marking to model is the best alternative. </w:t>
      </w:r>
    </w:p>
    <w:p>
      <w:pPr>
        <w:pStyle w:val="Normal"/>
        <w:rPr/>
      </w:pPr>
      <w:r>
        <w:rPr/>
      </w:r>
    </w:p>
    <w:p>
      <w:pPr>
        <w:pStyle w:val="Normal"/>
        <w:rPr/>
      </w:pPr>
      <w:r>
        <w:rPr/>
        <w:t>VAR was designed for traded positions that could be dynamically hedged. Dynamic hedging is the practice of continually eliminating risk from a derivative position by buying or selling an appropriate hedge as indicated by the greeks (or parameter sensitivities). VAR is associated with a time horizon and assumes that the portfolio can be unwound instantaneously at that level without further affecting the underlying markets. VAR as a risk measure is solely focused on price movements and not volume.</w:t>
      </w:r>
    </w:p>
    <w:p>
      <w:pPr>
        <w:pStyle w:val="Normal"/>
        <w:rPr/>
      </w:pPr>
      <w:r>
        <w:rPr/>
      </w:r>
    </w:p>
    <w:p>
      <w:pPr>
        <w:pStyle w:val="Normal"/>
        <w:rPr/>
      </w:pPr>
      <w:r>
        <w:rPr/>
        <w:t>Unfortunately this VAR concept does not sit comfortably with the present weather derivative market. As has been said many times before: there exists no underlying in the weather derivative market place. One cannot buy or sell sunshine. Hence one cannot dynamically hedge a weather derivative. An immediate static hedge is also difficult because present indices are illiquid and bid-offer spreads tend to be wide. A static hedge reduces the risk of a derivative position by trading another derivative position whose composition does not change through time. The lack of capacity and diversity in the hedge direction in this particular OTC market also means that any single trade in the market has a profound feed back effect on the price.</w:t>
      </w:r>
    </w:p>
    <w:p>
      <w:pPr>
        <w:pStyle w:val="Normal"/>
        <w:rPr/>
      </w:pPr>
      <w:r>
        <w:rPr/>
      </w:r>
    </w:p>
    <w:p>
      <w:pPr>
        <w:pStyle w:val="Normal"/>
        <w:rPr/>
      </w:pPr>
      <w:r>
        <w:rPr/>
        <w:t xml:space="preserve">Clearly an alternative measure for weather risk is required: profit at risk. PAR assumes that weather derivative positions are held to maturity rather than being closed out. The full financial risk of a highly volatile and illiquid weather market is now taken account of in a risk measure.  </w:t>
      </w:r>
    </w:p>
    <w:p>
      <w:pPr>
        <w:pStyle w:val="Normal"/>
        <w:rPr/>
      </w:pPr>
      <w:r>
        <w:rPr/>
      </w:r>
    </w:p>
    <w:p>
      <w:pPr>
        <w:pStyle w:val="Normal"/>
        <w:rPr/>
      </w:pPr>
      <w:r>
        <w:rPr/>
        <w:t>PAR allows the encapsulation of different derivatives, differing maturities and differing locations. For this reason a complex portfolio of weather derivatives has no closed form solutions for market value, delta or vega. Perhaps the best way to evaluate PAR is to implement a quasi-Monte Carlo integration. Monte Carlo integration is a numerical method for finding the integral of a function. One simply evaluates the function at as many points as desired, take the average, multiply it by the volume and the result is the value for your integral!</w:t>
      </w:r>
    </w:p>
    <w:p>
      <w:pPr>
        <w:pStyle w:val="Normal"/>
        <w:rPr/>
      </w:pPr>
      <w:r>
        <w:rPr/>
      </w:r>
    </w:p>
    <w:p>
      <w:pPr>
        <w:pStyle w:val="Normal"/>
        <w:rPr/>
      </w:pPr>
      <w:r>
        <w:rPr/>
        <w:t>In its naive form it can be slow to produce an accurate solution. However recent mathematical advances now produces a convergent solution from quasi-Monte Carlo some 10 to 1,000 faster than Monte Carlo.</w:t>
      </w:r>
    </w:p>
    <w:p>
      <w:pPr>
        <w:pStyle w:val="Normal"/>
        <w:rPr/>
      </w:pPr>
      <w:r>
        <w:rPr/>
      </w:r>
    </w:p>
    <w:p>
      <w:pPr>
        <w:pStyle w:val="Normal"/>
        <w:rPr/>
      </w:pPr>
      <w:r>
        <w:rPr/>
        <w:t>With the above technique the complete picture of PAR can be easily built up and analysed. PAR can identify suitable static hedges and run what-if scenarios on these strategies. Similarly before undertaking a trade a trader can run a what-if scenario to see the effect of including the trade in the portfolio.  PAR displays crucial before and after information in both cases. Furthermore, changing input parameters performs essential stress testing. Correlations between assets, which can be notoriously difficult to measure, can be adjusted and the result quickly displayed. Correlation is a measure of the degree to which changes in two variables are related, normally expressed as a coefficient between plus one, variables move in the same direction to the same degree, and minus one, variables move in opposite directions.</w:t>
      </w:r>
    </w:p>
    <w:p>
      <w:pPr>
        <w:pStyle w:val="Normal"/>
        <w:rPr/>
      </w:pPr>
      <w:r>
        <w:rPr/>
      </w:r>
    </w:p>
    <w:p>
      <w:pPr>
        <w:pStyle w:val="Normal"/>
        <w:rPr/>
      </w:pPr>
      <w:r>
        <w:rPr/>
        <w:t>Correlations have long been used in the capital markets from Sharpe’s capital asset pricing model to option pricing. It has also been used to offset an option position in one market against another with similar direction and volatility.  The reasons for this include reducing costs – to avoid hedging positions separately, or because the implied volatility is lower, or because hedging is difficult in the first market. It is this last feature which is the most important to weather derivatives and the one that we will use to illustrate PAR.</w:t>
      </w:r>
    </w:p>
    <w:p>
      <w:pPr>
        <w:pStyle w:val="Normal"/>
        <w:rPr/>
      </w:pPr>
      <w:r>
        <w:rPr/>
      </w:r>
    </w:p>
    <w:p>
      <w:pPr>
        <w:pStyle w:val="Normal"/>
        <w:rPr/>
      </w:pPr>
      <w:r>
        <w:rPr/>
        <w:t>Consider the following simple scenario. A director of a power company attends a risk management conference and listens to the argument that if he does not hedge risk he is actually speculating with shareholders money. Nothing new, he thinks. However the speaker then talks not only about price risk and hedging but also about the volume of sales. He is told that if he doesn’t hedge his volume of sales he is also speculating with the shareholders money. His profits arise from price and volume.</w:t>
      </w:r>
    </w:p>
    <w:p>
      <w:pPr>
        <w:pStyle w:val="Normal"/>
        <w:rPr/>
      </w:pPr>
      <w:r>
        <w:rPr/>
      </w:r>
    </w:p>
    <w:p>
      <w:pPr>
        <w:pStyle w:val="Normal"/>
        <w:rPr/>
      </w:pPr>
      <w:r>
        <w:rPr/>
        <w:t>After a moments thought the director realises that the price of power is not the biggest factor that affects his volume but whether or not it is hot or cold. The colder it is in winter the more volume he sells and the greater profits he can generate. Or the warmer it is the less revenue he generates.</w:t>
      </w:r>
    </w:p>
    <w:p>
      <w:pPr>
        <w:pStyle w:val="Normal"/>
        <w:rPr/>
      </w:pPr>
      <w:r>
        <w:rPr/>
      </w:r>
    </w:p>
    <w:p>
      <w:pPr>
        <w:pStyle w:val="Normal"/>
        <w:rPr/>
      </w:pPr>
      <w:r>
        <w:rPr/>
        <w:t xml:space="preserve">The power company has customers in the west coast of Scotland and he decides that he wants to protect the company against adverse weather effects. He decides that he wants to buy an out of the money Heating degree-day (HDD) put option to benefit when the following winter is mild and customers do not switch on their heating. </w:t>
      </w:r>
      <w:r>
        <w:rPr>
          <w:rStyle w:val="FootnoteCharacters"/>
          <w:rStyle w:val="FootnoteReference"/>
        </w:rPr>
        <w:footnoteReference w:id="2"/>
      </w:r>
    </w:p>
    <w:p>
      <w:pPr>
        <w:pStyle w:val="Normal"/>
        <w:rPr/>
      </w:pPr>
      <w:r>
        <w:rPr/>
      </w:r>
    </w:p>
    <w:p>
      <w:pPr>
        <w:pStyle w:val="Normal"/>
        <w:rPr/>
      </w:pPr>
      <w:r>
        <w:rPr/>
        <w:t xml:space="preserve">As the hedgers customers are in Scotland he </w:t>
      </w:r>
      <w:r>
        <w:rPr>
          <w:color w:val="000000"/>
        </w:rPr>
        <w:t>feels more comfortable if</w:t>
      </w:r>
      <w:r>
        <w:rPr/>
        <w:t xml:space="preserve"> the weather index that the final financial settlement is to be calculated from is located in Glasgow, Scotland. </w:t>
      </w:r>
    </w:p>
    <w:p>
      <w:pPr>
        <w:pStyle w:val="Normal"/>
        <w:rPr/>
      </w:pPr>
      <w:r>
        <w:rPr/>
      </w:r>
    </w:p>
    <w:p>
      <w:pPr>
        <w:pStyle w:val="Normal"/>
        <w:rPr/>
      </w:pPr>
      <w:r>
        <w:rPr/>
        <w:t xml:space="preserve">After the trade the </w:t>
      </w:r>
      <w:r>
        <w:rPr>
          <w:color w:val="000000"/>
        </w:rPr>
        <w:t>Power Company is protected during</w:t>
      </w:r>
      <w:r>
        <w:rPr/>
        <w:t xml:space="preserve"> a possible mild winter as he is paid out a sum of money that is proportional to the loss of revenue from his power supply. If it has been a cold year he will have earned considerable profits and hence it is only a minor irritation in paying for the option premium that expired worthless. After the option trade the volatility of his future earnings are considerably reduced. The shareholders are appeased.</w:t>
      </w:r>
    </w:p>
    <w:p>
      <w:pPr>
        <w:pStyle w:val="Normal"/>
        <w:rPr/>
      </w:pPr>
      <w:r>
        <w:rPr/>
      </w:r>
    </w:p>
    <w:p>
      <w:pPr>
        <w:pStyle w:val="Normal"/>
        <w:rPr/>
      </w:pPr>
      <w:r>
        <w:rPr/>
        <w:t>It is a different story for the writer of the option. From the trader’s perspective he has sold the following HDD Nov-March option detailed in Table 1.</w:t>
      </w:r>
    </w:p>
    <w:p>
      <w:pPr>
        <w:pStyle w:val="Normal"/>
        <w:rPr/>
      </w:pPr>
      <w:r>
        <w:rPr/>
      </w:r>
    </w:p>
    <w:p>
      <w:pPr>
        <w:pStyle w:val="Heading4"/>
        <w:ind w:hanging="0" w:start="0"/>
        <w:rPr/>
      </w:pPr>
      <w:r>
        <w:rPr/>
        <w:t>Table 1: the initial trade for the option writer</w:t>
      </w:r>
    </w:p>
    <w:tbl>
      <w:tblPr>
        <w:tblW w:w="8520" w:type="dxa"/>
        <w:jc w:val="start"/>
        <w:tblInd w:w="0" w:type="dxa"/>
        <w:tblLayout w:type="fixed"/>
        <w:tblCellMar>
          <w:top w:w="0" w:type="dxa"/>
          <w:start w:w="108" w:type="dxa"/>
          <w:bottom w:w="0" w:type="dxa"/>
          <w:end w:w="108" w:type="dxa"/>
        </w:tblCellMar>
      </w:tblPr>
      <w:tblGrid>
        <w:gridCol w:w="1704"/>
        <w:gridCol w:w="1704"/>
        <w:gridCol w:w="1704"/>
        <w:gridCol w:w="1704"/>
        <w:gridCol w:w="1704"/>
      </w:tblGrid>
      <w:tr>
        <w:trPr/>
        <w:tc>
          <w:tcPr>
            <w:tcW w:w="1704" w:type="dxa"/>
            <w:tcBorders>
              <w:top w:val="single" w:sz="4" w:space="0" w:color="000000"/>
              <w:start w:val="single" w:sz="4" w:space="0" w:color="000000"/>
              <w:end w:val="single" w:sz="4" w:space="0" w:color="000000"/>
            </w:tcBorders>
          </w:tcPr>
          <w:p>
            <w:pPr>
              <w:pStyle w:val="Normal"/>
              <w:jc w:val="center"/>
              <w:rPr/>
            </w:pPr>
            <w:r>
              <w:rPr/>
              <w:t>Location</w:t>
            </w:r>
          </w:p>
        </w:tc>
        <w:tc>
          <w:tcPr>
            <w:tcW w:w="1704" w:type="dxa"/>
            <w:tcBorders>
              <w:top w:val="single" w:sz="4" w:space="0" w:color="000000"/>
              <w:start w:val="single" w:sz="4" w:space="0" w:color="000000"/>
              <w:end w:val="single" w:sz="4" w:space="0" w:color="000000"/>
            </w:tcBorders>
          </w:tcPr>
          <w:p>
            <w:pPr>
              <w:pStyle w:val="Normal"/>
              <w:jc w:val="center"/>
              <w:rPr/>
            </w:pPr>
            <w:r>
              <w:rPr/>
              <w:t>Type</w:t>
            </w:r>
          </w:p>
        </w:tc>
        <w:tc>
          <w:tcPr>
            <w:tcW w:w="1704" w:type="dxa"/>
            <w:tcBorders>
              <w:top w:val="single" w:sz="4" w:space="0" w:color="000000"/>
              <w:start w:val="single" w:sz="4" w:space="0" w:color="000000"/>
              <w:end w:val="single" w:sz="4" w:space="0" w:color="000000"/>
            </w:tcBorders>
          </w:tcPr>
          <w:p>
            <w:pPr>
              <w:pStyle w:val="Normal"/>
              <w:jc w:val="center"/>
              <w:rPr/>
            </w:pPr>
            <w:r>
              <w:rPr/>
              <w:t>Position</w:t>
            </w:r>
          </w:p>
        </w:tc>
        <w:tc>
          <w:tcPr>
            <w:tcW w:w="1704" w:type="dxa"/>
            <w:tcBorders>
              <w:top w:val="single" w:sz="4" w:space="0" w:color="000000"/>
              <w:start w:val="single" w:sz="4" w:space="0" w:color="000000"/>
              <w:end w:val="single" w:sz="4" w:space="0" w:color="000000"/>
            </w:tcBorders>
          </w:tcPr>
          <w:p>
            <w:pPr>
              <w:pStyle w:val="Normal"/>
              <w:jc w:val="center"/>
              <w:rPr/>
            </w:pPr>
            <w:r>
              <w:rPr/>
              <w:t>Strike (HDD)</w:t>
            </w:r>
          </w:p>
        </w:tc>
        <w:tc>
          <w:tcPr>
            <w:tcW w:w="1704" w:type="dxa"/>
            <w:tcBorders>
              <w:top w:val="single" w:sz="4" w:space="0" w:color="000000"/>
              <w:start w:val="single" w:sz="4" w:space="0" w:color="000000"/>
              <w:end w:val="single" w:sz="4" w:space="0" w:color="000000"/>
            </w:tcBorders>
          </w:tcPr>
          <w:p>
            <w:pPr>
              <w:pStyle w:val="Normal"/>
              <w:jc w:val="center"/>
              <w:rPr/>
            </w:pPr>
            <w:r>
              <w:rPr/>
              <w:t>Tick Size (£)</w:t>
            </w:r>
          </w:p>
        </w:tc>
      </w:tr>
      <w:tr>
        <w:trPr/>
        <w:tc>
          <w:tcPr>
            <w:tcW w:w="1704"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Glasgow</w:t>
            </w:r>
          </w:p>
        </w:tc>
        <w:tc>
          <w:tcPr>
            <w:tcW w:w="1704"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Put</w:t>
            </w:r>
          </w:p>
        </w:tc>
        <w:tc>
          <w:tcPr>
            <w:tcW w:w="1704"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Short</w:t>
            </w:r>
          </w:p>
        </w:tc>
        <w:tc>
          <w:tcPr>
            <w:tcW w:w="1704"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1800</w:t>
            </w:r>
          </w:p>
        </w:tc>
        <w:tc>
          <w:tcPr>
            <w:tcW w:w="1704"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10,000</w:t>
            </w:r>
          </w:p>
        </w:tc>
      </w:tr>
    </w:tbl>
    <w:p>
      <w:pPr>
        <w:pStyle w:val="Normal"/>
        <w:rPr/>
      </w:pPr>
      <w:r>
        <w:rPr/>
      </w:r>
    </w:p>
    <w:p>
      <w:pPr>
        <w:pStyle w:val="Normal"/>
        <w:rPr/>
      </w:pPr>
      <w:r>
        <w:rPr/>
      </w:r>
    </w:p>
    <w:p>
      <w:pPr>
        <w:pStyle w:val="Normal"/>
        <w:rPr/>
      </w:pPr>
      <w:r>
        <w:rPr/>
        <w:t xml:space="preserve">The trader is faced with risk. In fact, if he does nothing PAR analysis suggests that with a 95% confidence limit the trade will generate losses no greater than £750,000. The trader, not leaving anything to the gods and wanting a job next winter, would like to reduce his risk by using some of the premium he has earned from selling the option.  As mentioned above this is not easy and potentially represents a serious problem for his book. There is no underlying so he cannot delta hedge. Static hedging is difficult because Glasgow is an example of a very illiquid location. Nothing may have ever traded there before and nobody has reason to make a tight price now. </w:t>
      </w:r>
    </w:p>
    <w:p>
      <w:pPr>
        <w:pStyle w:val="Normal"/>
        <w:rPr/>
      </w:pPr>
      <w:r>
        <w:rPr/>
      </w:r>
    </w:p>
    <w:p>
      <w:pPr>
        <w:pStyle w:val="Normal"/>
        <w:rPr/>
      </w:pPr>
      <w:r>
        <w:rPr/>
        <w:t>The trader can reduce his risk however by hedging an appropriate trade in a liquid location. In this case London Heathrow. As discussed in [2] London Heathrow was conjectured as an appropriate central site that could be used to trade UK temperature weather risk. Recently, this potential has become a reality as the contract has recently traded and is quoted on line by Enron.</w:t>
      </w:r>
    </w:p>
    <w:p>
      <w:pPr>
        <w:pStyle w:val="Normal"/>
        <w:rPr/>
      </w:pPr>
      <w:r>
        <w:rPr/>
      </w:r>
    </w:p>
    <w:p>
      <w:pPr>
        <w:pStyle w:val="Normal"/>
        <w:rPr/>
      </w:pPr>
      <w:r>
        <w:rPr/>
        <w:t>The measured correlation between the two sites for the contract is estimated to be 0.86. This represents a very strong positive relationship between Glasgow and London. If London HDD increases we would expect Glasgow’s HDD to increase. He therefore goes long an out of the money HDD Nov-March put option detailed in Table 2.</w:t>
      </w:r>
    </w:p>
    <w:p>
      <w:pPr>
        <w:pStyle w:val="Normal"/>
        <w:rPr/>
      </w:pPr>
      <w:r>
        <w:rPr/>
        <w:t xml:space="preserve"> </w:t>
      </w:r>
    </w:p>
    <w:p>
      <w:pPr>
        <w:pStyle w:val="Heading4"/>
        <w:ind w:hanging="0" w:start="0"/>
        <w:rPr/>
      </w:pPr>
      <w:r>
        <w:rPr/>
        <w:t>Table 2: the traders hedge</w:t>
      </w:r>
    </w:p>
    <w:tbl>
      <w:tblPr>
        <w:tblW w:w="8520" w:type="dxa"/>
        <w:jc w:val="start"/>
        <w:tblInd w:w="0" w:type="dxa"/>
        <w:tblLayout w:type="fixed"/>
        <w:tblCellMar>
          <w:top w:w="0" w:type="dxa"/>
          <w:start w:w="108" w:type="dxa"/>
          <w:bottom w:w="0" w:type="dxa"/>
          <w:end w:w="108" w:type="dxa"/>
        </w:tblCellMar>
      </w:tblPr>
      <w:tblGrid>
        <w:gridCol w:w="1704"/>
        <w:gridCol w:w="1704"/>
        <w:gridCol w:w="1704"/>
        <w:gridCol w:w="1704"/>
        <w:gridCol w:w="1704"/>
      </w:tblGrid>
      <w:tr>
        <w:trPr/>
        <w:tc>
          <w:tcPr>
            <w:tcW w:w="1704" w:type="dxa"/>
            <w:tcBorders>
              <w:top w:val="single" w:sz="4" w:space="0" w:color="000000"/>
              <w:start w:val="single" w:sz="4" w:space="0" w:color="000000"/>
              <w:end w:val="single" w:sz="4" w:space="0" w:color="000000"/>
            </w:tcBorders>
          </w:tcPr>
          <w:p>
            <w:pPr>
              <w:pStyle w:val="Normal"/>
              <w:jc w:val="center"/>
              <w:rPr/>
            </w:pPr>
            <w:r>
              <w:rPr/>
              <w:t>Location</w:t>
            </w:r>
          </w:p>
        </w:tc>
        <w:tc>
          <w:tcPr>
            <w:tcW w:w="1704" w:type="dxa"/>
            <w:tcBorders>
              <w:top w:val="single" w:sz="4" w:space="0" w:color="000000"/>
              <w:start w:val="single" w:sz="4" w:space="0" w:color="000000"/>
              <w:end w:val="single" w:sz="4" w:space="0" w:color="000000"/>
            </w:tcBorders>
          </w:tcPr>
          <w:p>
            <w:pPr>
              <w:pStyle w:val="Normal"/>
              <w:jc w:val="center"/>
              <w:rPr/>
            </w:pPr>
            <w:r>
              <w:rPr/>
              <w:t>Type</w:t>
            </w:r>
          </w:p>
        </w:tc>
        <w:tc>
          <w:tcPr>
            <w:tcW w:w="1704" w:type="dxa"/>
            <w:tcBorders>
              <w:top w:val="single" w:sz="4" w:space="0" w:color="000000"/>
              <w:start w:val="single" w:sz="4" w:space="0" w:color="000000"/>
              <w:end w:val="single" w:sz="4" w:space="0" w:color="000000"/>
            </w:tcBorders>
          </w:tcPr>
          <w:p>
            <w:pPr>
              <w:pStyle w:val="Normal"/>
              <w:jc w:val="center"/>
              <w:rPr/>
            </w:pPr>
            <w:r>
              <w:rPr/>
              <w:t>Position</w:t>
            </w:r>
          </w:p>
        </w:tc>
        <w:tc>
          <w:tcPr>
            <w:tcW w:w="1704" w:type="dxa"/>
            <w:tcBorders>
              <w:top w:val="single" w:sz="4" w:space="0" w:color="000000"/>
              <w:start w:val="single" w:sz="4" w:space="0" w:color="000000"/>
              <w:end w:val="single" w:sz="4" w:space="0" w:color="000000"/>
            </w:tcBorders>
          </w:tcPr>
          <w:p>
            <w:pPr>
              <w:pStyle w:val="Normal"/>
              <w:jc w:val="center"/>
              <w:rPr/>
            </w:pPr>
            <w:r>
              <w:rPr/>
              <w:t>Strike (HDD)</w:t>
            </w:r>
          </w:p>
        </w:tc>
        <w:tc>
          <w:tcPr>
            <w:tcW w:w="1704" w:type="dxa"/>
            <w:tcBorders>
              <w:top w:val="single" w:sz="4" w:space="0" w:color="000000"/>
              <w:start w:val="single" w:sz="4" w:space="0" w:color="000000"/>
              <w:end w:val="single" w:sz="4" w:space="0" w:color="000000"/>
            </w:tcBorders>
          </w:tcPr>
          <w:p>
            <w:pPr>
              <w:pStyle w:val="Normal"/>
              <w:jc w:val="center"/>
              <w:rPr/>
            </w:pPr>
            <w:r>
              <w:rPr/>
              <w:t>Tick Size (£)</w:t>
            </w:r>
          </w:p>
        </w:tc>
      </w:tr>
      <w:tr>
        <w:trPr/>
        <w:tc>
          <w:tcPr>
            <w:tcW w:w="1704"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London</w:t>
            </w:r>
          </w:p>
        </w:tc>
        <w:tc>
          <w:tcPr>
            <w:tcW w:w="1704"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Put</w:t>
            </w:r>
          </w:p>
        </w:tc>
        <w:tc>
          <w:tcPr>
            <w:tcW w:w="1704"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Long</w:t>
            </w:r>
          </w:p>
        </w:tc>
        <w:tc>
          <w:tcPr>
            <w:tcW w:w="1704"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1580</w:t>
            </w:r>
          </w:p>
        </w:tc>
        <w:tc>
          <w:tcPr>
            <w:tcW w:w="1704"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10,000</w:t>
            </w:r>
          </w:p>
        </w:tc>
      </w:tr>
    </w:tbl>
    <w:p>
      <w:pPr>
        <w:pStyle w:val="Normal"/>
        <w:rPr/>
      </w:pPr>
      <w:r>
        <w:rPr/>
      </w:r>
    </w:p>
    <w:p>
      <w:pPr>
        <w:pStyle w:val="Normal"/>
        <w:rPr/>
      </w:pPr>
      <w:r>
        <w:rPr/>
        <w:t>In our scenario the liquidity in this location and option makes the trading price far closer to the fair value. Only a fraction of the original premium the trader received is required to buy this hedge.</w:t>
      </w:r>
    </w:p>
    <w:p>
      <w:pPr>
        <w:pStyle w:val="Normal"/>
        <w:rPr/>
      </w:pPr>
      <w:r>
        <w:rPr/>
      </w:r>
    </w:p>
    <w:p>
      <w:pPr>
        <w:pStyle w:val="Normal"/>
        <w:rPr/>
      </w:pPr>
      <w:r>
        <w:rPr/>
        <w:t>The resulting PAR analysis of the before-and-after hedge trade makes interesting reading as can be summarised in Chart 1.</w:t>
      </w:r>
    </w:p>
    <w:p>
      <w:pPr>
        <w:pStyle w:val="Normal"/>
        <w:rPr/>
      </w:pPr>
      <w:r>
        <w:rPr/>
      </w:r>
    </w:p>
    <w:p>
      <w:pPr>
        <w:pStyle w:val="Heading4"/>
        <w:ind w:hanging="0" w:start="0"/>
        <w:rPr/>
      </w:pPr>
      <w:r>
        <w:rPr/>
        <w:t>Chart 1</w:t>
      </w:r>
    </w:p>
    <w:p>
      <w:pPr>
        <w:pStyle w:val="Normal"/>
        <w:rPr>
          <w:lang w:val="en-CA"/>
        </w:rPr>
      </w:pPr>
      <w:r>
        <w:rPr>
          <w:lang w:val="en-CA"/>
        </w:rP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5273040" cy="366649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8" r="-6" b="-8"/>
                    <a:stretch>
                      <a:fillRect/>
                    </a:stretch>
                  </pic:blipFill>
                  <pic:spPr bwMode="auto">
                    <a:xfrm>
                      <a:off x="0" y="0"/>
                      <a:ext cx="5273040" cy="3666490"/>
                    </a:xfrm>
                    <a:prstGeom prst="rect">
                      <a:avLst/>
                    </a:prstGeom>
                    <a:noFill/>
                  </pic:spPr>
                </pic:pic>
              </a:graphicData>
            </a:graphic>
          </wp:anchor>
        </w:drawing>
      </w:r>
    </w:p>
    <w:p>
      <w:pPr>
        <w:pStyle w:val="Normal"/>
        <w:rPr/>
      </w:pPr>
      <w:r>
        <w:rPr/>
      </w:r>
    </w:p>
    <w:p>
      <w:pPr>
        <w:pStyle w:val="Normal"/>
        <w:rPr/>
      </w:pPr>
      <w:r>
        <w:rPr/>
      </w:r>
    </w:p>
    <w:p>
      <w:pPr>
        <w:pStyle w:val="Normal"/>
        <w:rPr/>
      </w:pPr>
      <w:r>
        <w:rPr/>
        <w:t>The hedge that the trader puts on reduces the probability of a loss at all levels.  The PAR analysis suggests, with a 95% confidence limit, that he will not incur losses greater than £400,000. The trader has used a small amount of his profit to protect his maximum likely loss. The risk that remains, i.e. the probability of the portfolio expiring less than a specified amount (the red line) is attributable to the correlation.</w:t>
      </w:r>
    </w:p>
    <w:p>
      <w:pPr>
        <w:pStyle w:val="Normal"/>
        <w:rPr/>
      </w:pPr>
      <w:r>
        <w:rPr/>
      </w:r>
    </w:p>
    <w:p>
      <w:pPr>
        <w:pStyle w:val="Normal"/>
        <w:rPr/>
      </w:pPr>
      <w:r>
        <w:rPr/>
        <w:t xml:space="preserve">The trader can stress test the hedge with PAR analysis. This is especially useful, as correlations between locations or assets are notoriously difficult to measure and historic estimations may be poor predictors of future realised correlations. For example, </w:t>
      </w:r>
      <w:r>
        <w:rPr>
          <w:color w:val="000000"/>
        </w:rPr>
        <w:t>taking the two existing positions,</w:t>
      </w:r>
      <w:r>
        <w:rPr/>
        <w:t xml:space="preserve"> the red line and hence risk, tends to zero as the correlation tends to one. There is a perfect hedge and the portfolio is the analogue of trading the same site. Conversely there is more risk to the original position if the realised correlation is actually negative. In fact if he thought there is a strong negative correlation he would have taken a long position in an appropriate out of the money call option.</w:t>
      </w:r>
    </w:p>
    <w:p>
      <w:pPr>
        <w:pStyle w:val="Normal"/>
        <w:rPr/>
      </w:pPr>
      <w:r>
        <w:rPr/>
      </w:r>
    </w:p>
    <w:p>
      <w:pPr>
        <w:pStyle w:val="Normal"/>
        <w:rPr/>
      </w:pPr>
      <w:r>
        <w:rPr/>
        <w:t>Weather derivatives were designed to be a capital market product. It was conceived to hedge low-risk high-probability events similar to those that the seminal work of Black Scholes undertook for financial options. With weather derivatives being a capital market product they could take full advantage of the huge capacity that exists within this market.</w:t>
      </w:r>
    </w:p>
    <w:p>
      <w:pPr>
        <w:pStyle w:val="Normal"/>
        <w:rPr/>
      </w:pPr>
      <w:r>
        <w:rPr/>
      </w:r>
    </w:p>
    <w:p>
      <w:pPr>
        <w:pStyle w:val="Normal"/>
        <w:rPr/>
      </w:pPr>
      <w:r>
        <w:rPr/>
        <w:t xml:space="preserve">Insurance typically deals with high-risk low-probability events, for example hurricanes or earthquakes. An earlier paper in EPRM by Ross McIntyre [3] identified that the fair value of a weather derivative could be </w:t>
      </w:r>
      <w:r>
        <w:rPr>
          <w:i/>
        </w:rPr>
        <w:t>valued</w:t>
      </w:r>
      <w:r>
        <w:rPr/>
        <w:t xml:space="preserve"> in a capital market framework.  That is identify the risk neutral distribution and calculate the expectation value. PAR states that a weather derivative should be </w:t>
      </w:r>
      <w:r>
        <w:rPr>
          <w:i/>
        </w:rPr>
        <w:t>revalued</w:t>
      </w:r>
      <w:r>
        <w:rPr/>
        <w:t xml:space="preserve"> more like an insurance product. </w:t>
      </w:r>
    </w:p>
    <w:p>
      <w:pPr>
        <w:pStyle w:val="Normal"/>
        <w:rPr/>
      </w:pPr>
      <w:r>
        <w:rPr/>
      </w:r>
    </w:p>
    <w:p>
      <w:pPr>
        <w:pStyle w:val="Normal"/>
        <w:rPr/>
      </w:pPr>
      <w:r>
        <w:rPr/>
        <w:t>Interestingly, the PAR technique is identical to that for evaluating the risk of a weather securitization deal. Principles in the market can use the technique to quantify the mutualisation effects for large portfolios. That however is another story for another article.</w:t>
      </w:r>
    </w:p>
    <w:p>
      <w:pPr>
        <w:pStyle w:val="Normal"/>
        <w:rPr/>
      </w:pPr>
      <w:r>
        <w:rPr/>
      </w:r>
    </w:p>
    <w:p>
      <w:pPr>
        <w:pStyle w:val="BodyText2"/>
        <w:jc w:val="both"/>
        <w:rPr/>
      </w:pPr>
      <w:r>
        <w:rPr/>
        <w:t>Ross McIntyre is a director of Speedwell Weather Derivatives Limited. Speedwell provides advice, consultancy and software for the weather derivative markets. Speedwell implements a quasi-Monte Carlo technique to evaluate PAR in its suite of COM objects.</w:t>
      </w:r>
    </w:p>
    <w:p>
      <w:pPr>
        <w:pStyle w:val="Normal"/>
        <w:rPr/>
      </w:pPr>
      <w:r>
        <w:rPr/>
      </w:r>
    </w:p>
    <w:p>
      <w:pPr>
        <w:pStyle w:val="Normal"/>
        <w:jc w:val="start"/>
        <w:rPr/>
      </w:pPr>
      <w:r>
        <w:rPr/>
        <w:t>Email:</w:t>
        <w:tab/>
      </w:r>
      <w:hyperlink r:id="rId3">
        <w:r>
          <w:rPr>
            <w:rStyle w:val="Hyperlink"/>
          </w:rPr>
          <w:t>ross@weatherderivs.com</w:t>
        </w:r>
      </w:hyperlink>
    </w:p>
    <w:p>
      <w:pPr>
        <w:pStyle w:val="Normal"/>
        <w:jc w:val="start"/>
        <w:rPr/>
      </w:pPr>
      <w:r>
        <w:rPr/>
        <w:t>Web:</w:t>
        <w:tab/>
      </w:r>
      <w:hyperlink r:id="rId4">
        <w:r>
          <w:rPr>
            <w:rStyle w:val="Hyperlink"/>
          </w:rPr>
          <w:t>www.weatherderivs.com</w:t>
        </w:r>
      </w:hyperlink>
    </w:p>
    <w:p>
      <w:pPr>
        <w:pStyle w:val="Normal"/>
        <w:jc w:val="start"/>
        <w:rPr/>
      </w:pPr>
      <w:r>
        <w:rPr/>
        <w:t>Tel:</w:t>
        <w:tab/>
        <w:t>+44 (0)20 7929 7979</w:t>
      </w:r>
    </w:p>
    <w:p>
      <w:pPr>
        <w:pStyle w:val="Normal"/>
        <w:jc w:val="start"/>
        <w:rPr/>
      </w:pPr>
      <w:r>
        <w:rPr/>
        <w:t>Fax:</w:t>
        <w:tab/>
        <w:t>+44 (0)20 7929 1818</w:t>
      </w:r>
    </w:p>
    <w:p>
      <w:pPr>
        <w:pStyle w:val="Normal"/>
        <w:rPr/>
      </w:pPr>
      <w:r>
        <w:rPr/>
      </w:r>
    </w:p>
    <w:p>
      <w:pPr>
        <w:pStyle w:val="Heading3"/>
        <w:spacing w:before="0" w:after="0"/>
        <w:ind w:hanging="0" w:start="0"/>
        <w:rPr/>
      </w:pPr>
      <w:r>
        <w:rPr/>
        <w:t>References</w:t>
      </w:r>
    </w:p>
    <w:p>
      <w:pPr>
        <w:pStyle w:val="Normal"/>
        <w:rPr/>
      </w:pPr>
      <w:r>
        <w:rPr/>
      </w:r>
    </w:p>
    <w:p>
      <w:pPr>
        <w:pStyle w:val="Normal"/>
        <w:rPr/>
      </w:pPr>
      <w:r>
        <w:rPr/>
        <w:t xml:space="preserve">[1] Dischel, B. (1998) Black-Scholes Won’t Do. </w:t>
      </w:r>
      <w:r>
        <w:rPr>
          <w:i/>
        </w:rPr>
        <w:t>Energy and Power Risk Management</w:t>
      </w:r>
      <w:r>
        <w:rPr/>
        <w:t>, October</w:t>
      </w:r>
    </w:p>
    <w:p>
      <w:pPr>
        <w:pStyle w:val="Normal"/>
        <w:rPr/>
      </w:pPr>
      <w:r>
        <w:rPr/>
      </w:r>
    </w:p>
    <w:p>
      <w:pPr>
        <w:pStyle w:val="Normal"/>
        <w:rPr/>
      </w:pPr>
      <w:r>
        <w:rPr/>
        <w:t xml:space="preserve">[2] McIntyre, R. and Doherty, S. (1999) An example from the UK. </w:t>
      </w:r>
      <w:r>
        <w:rPr>
          <w:i/>
        </w:rPr>
        <w:t>Energy and Power Risk Management</w:t>
      </w:r>
      <w:r>
        <w:rPr/>
        <w:t>, June</w:t>
      </w:r>
    </w:p>
    <w:p>
      <w:pPr>
        <w:pStyle w:val="Normal"/>
        <w:rPr/>
      </w:pPr>
      <w:r>
        <w:rPr/>
      </w:r>
    </w:p>
    <w:p>
      <w:pPr>
        <w:pStyle w:val="Normal"/>
        <w:rPr/>
      </w:pPr>
      <w:r>
        <w:rPr/>
        <w:t xml:space="preserve">[3] McIntyre, R. (1999) Black Scholes Will Do. </w:t>
      </w:r>
      <w:r>
        <w:rPr>
          <w:i/>
        </w:rPr>
        <w:t>Energy and Power Risk Management</w:t>
      </w:r>
      <w:r>
        <w:rPr/>
        <w:t>, November</w:t>
      </w:r>
    </w:p>
    <w:p>
      <w:pPr>
        <w:pStyle w:val="Normal"/>
        <w:rPr/>
      </w:pPr>
      <w:r>
        <w:rPr/>
      </w:r>
    </w:p>
    <w:p>
      <w:pPr>
        <w:pStyle w:val="Normal"/>
        <w:rPr/>
      </w:pPr>
      <w:r>
        <w:rPr/>
        <w:t xml:space="preserve">[4] see for example Toulson , D. (2000) Pricing the weather – basic strategies. </w:t>
      </w:r>
      <w:r>
        <w:rPr>
          <w:i/>
        </w:rPr>
        <w:t>Environmental Finance</w:t>
      </w:r>
      <w:r>
        <w:rPr/>
        <w:t>, February</w:t>
      </w:r>
    </w:p>
    <w:p>
      <w:pPr>
        <w:pStyle w:val="Normal"/>
        <w:rPr/>
      </w:pPr>
      <w:r>
        <w:rPr/>
      </w:r>
    </w:p>
    <w:p>
      <w:pPr>
        <w:pStyle w:val="Normal"/>
        <w:rPr/>
      </w:pPr>
      <w:r>
        <w:rPr/>
      </w:r>
    </w:p>
    <w:p>
      <w:pPr>
        <w:pStyle w:val="Normal"/>
        <w:rPr/>
      </w:pPr>
      <w:r>
        <w:rPr/>
      </w:r>
    </w:p>
    <w:p>
      <w:pPr>
        <w:pStyle w:val="Normal"/>
        <w:rPr/>
      </w:pPr>
      <w:r>
        <w:rPr/>
      </w:r>
    </w:p>
    <w:p>
      <w:pPr>
        <w:pStyle w:val="Normal"/>
        <w:rPr/>
      </w:pPr>
      <w:r>
        <w:rPr/>
      </w:r>
    </w:p>
    <w:sectPr>
      <w:footnotePr>
        <w:numFmt w:val="decimal"/>
      </w:footnote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pPr>
      <w:r>
        <w:rPr>
          <w:rStyle w:val="FootnoteCharacters"/>
        </w:rPr>
        <w:footnoteRef/>
      </w:r>
      <w:r>
        <w:rPr/>
        <w:t xml:space="preserve"> </w:t>
      </w:r>
      <w:r>
        <w:rPr>
          <w:color w:val="000000"/>
        </w:rPr>
        <w:t>A degree-day is a measure of the variation of one-day’s temperature against a standard reference temperature, typically 18</w:t>
      </w:r>
      <w:r>
        <w:rPr>
          <w:color w:val="000000"/>
          <w:vertAlign w:val="superscript"/>
        </w:rPr>
        <w:t>O</w:t>
      </w:r>
      <w:r>
        <w:rPr>
          <w:color w:val="000000"/>
        </w:rPr>
        <w:t xml:space="preserve"> Celsius. For example, if the average temperature on any given day is 8 degrees, then 10 heating degree-days are reported for that day. A cooling degree-day (CDD) would occur when the average temperature is in excess of 18 degrees. By definition, neither HDDs nor CDDs can be negative. </w:t>
      </w:r>
    </w:p>
    <w:p>
      <w:pPr>
        <w:pStyle w:val="FootnoteText"/>
        <w:rPr>
          <w:color w:val="000000"/>
        </w:rPr>
      </w:pPr>
      <w:r>
        <w:rPr>
          <w:color w:val="000000"/>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kern w:val="2"/>
      <w:sz w:val="20"/>
      <w:szCs w:val="20"/>
      <w:lang w:val="en-GB" w:eastAsia="zh-CN" w:bidi="hi-IN"/>
    </w:rPr>
  </w:style>
  <w:style w:type="paragraph" w:styleId="Heading1">
    <w:name w:val="heading 1"/>
    <w:basedOn w:val="Normal"/>
    <w:next w:val="Normal"/>
    <w:qFormat/>
    <w:pPr>
      <w:keepNext w:val="true"/>
      <w:numPr>
        <w:ilvl w:val="0"/>
        <w:numId w:val="1"/>
      </w:numPr>
      <w:spacing w:before="240" w:after="60"/>
      <w:jc w:val="start"/>
      <w:outlineLvl w:val="0"/>
    </w:pPr>
    <w:rPr>
      <w:b/>
      <w:color w:val="000000"/>
      <w:sz w:val="32"/>
      <w:lang w:val="en-US"/>
    </w:rPr>
  </w:style>
  <w:style w:type="paragraph" w:styleId="Heading2">
    <w:name w:val="heading 2"/>
    <w:basedOn w:val="Normal"/>
    <w:next w:val="Normal"/>
    <w:qFormat/>
    <w:pPr>
      <w:keepNext w:val="true"/>
      <w:numPr>
        <w:ilvl w:val="1"/>
        <w:numId w:val="1"/>
      </w:numPr>
      <w:spacing w:before="240" w:after="60"/>
      <w:jc w:val="start"/>
      <w:outlineLvl w:val="1"/>
    </w:pPr>
    <w:rPr>
      <w:b/>
      <w:color w:val="000000"/>
      <w:sz w:val="28"/>
      <w:lang w:val="en-US"/>
    </w:rPr>
  </w:style>
  <w:style w:type="paragraph" w:styleId="Heading3">
    <w:name w:val="heading 3"/>
    <w:basedOn w:val="Normal"/>
    <w:next w:val="Normal"/>
    <w:qFormat/>
    <w:pPr>
      <w:keepNext w:val="true"/>
      <w:numPr>
        <w:ilvl w:val="2"/>
        <w:numId w:val="1"/>
      </w:numPr>
      <w:spacing w:before="240" w:after="60"/>
      <w:jc w:val="start"/>
      <w:outlineLvl w:val="2"/>
    </w:pPr>
    <w:rPr>
      <w:b/>
      <w:color w:val="000000"/>
      <w:sz w:val="24"/>
      <w:lang w:val="en-US"/>
    </w:rPr>
  </w:style>
  <w:style w:type="paragraph" w:styleId="Heading4">
    <w:name w:val="heading 4"/>
    <w:basedOn w:val="Normal"/>
    <w:next w:val="Normal"/>
    <w:qFormat/>
    <w:pPr>
      <w:keepNext w:val="true"/>
      <w:numPr>
        <w:ilvl w:val="3"/>
        <w:numId w:val="1"/>
      </w:numPr>
      <w:outlineLvl w:val="3"/>
    </w:pPr>
    <w:rPr>
      <w:b/>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sz w:val="20"/>
    </w:rPr>
  </w:style>
  <w:style w:type="paragraph" w:styleId="BodyText2">
    <w:name w:val="Body Text 2"/>
    <w:basedOn w:val="Normal"/>
    <w:qFormat/>
    <w:pPr>
      <w:jc w:val="start"/>
    </w:pPr>
    <w:rPr>
      <w:b/>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oss@speedderivs.com" TargetMode="External"/><Relationship Id="rId4" Type="http://schemas.openxmlformats.org/officeDocument/2006/relationships/hyperlink" Target="http://www.weatherderivs.com/"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2000-02-24T14:01:00Z</dcterms:created>
  <dc:creator>Ross McIntyre</dc:creator>
  <dc:description/>
  <dc:language>en-CA</dc:language>
  <cp:lastModifiedBy>Ross McIntyre</cp:lastModifiedBy>
  <cp:lastPrinted>2000-03-01T16:09:00Z</cp:lastPrinted>
  <dcterms:modified xsi:type="dcterms:W3CDTF">2000-03-02T09:26:00Z</dcterms:modified>
  <cp:revision>27</cp:revision>
  <dc:subject/>
  <dc:title>WEATHER RISK MANAGEMENT</dc:title>
</cp:coreProperties>
</file>