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FORM OF PARKING AND LOANING SERVICE AGREEMENT</w:t>
      </w:r>
      <w:r>
        <mc:AlternateContent>
          <mc:Choice Requires="wps">
            <w:drawing>
              <wp:anchor behindDoc="0" distT="0" distB="0" distL="114935" distR="114935" simplePos="0" locked="0" layoutInCell="1" allowOverlap="1" relativeHeight="2">
                <wp:simplePos x="0" y="0"/>
                <wp:positionH relativeFrom="column">
                  <wp:posOffset>4160520</wp:posOffset>
                </wp:positionH>
                <wp:positionV relativeFrom="paragraph">
                  <wp:posOffset>-640080</wp:posOffset>
                </wp:positionV>
                <wp:extent cx="1188720" cy="457200"/>
                <wp:effectExtent l="0" t="0" r="0" b="0"/>
                <wp:wrapNone/>
                <wp:docPr id="1" name="Frame1"/>
                <a:graphic xmlns:a="http://schemas.openxmlformats.org/drawingml/2006/main">
                  <a:graphicData uri="http://schemas.microsoft.com/office/word/2010/wordprocessingShape">
                    <wps:wsp>
                      <wps:cNvSpPr txBox="1"/>
                      <wps:spPr>
                        <a:xfrm>
                          <a:off x="0" y="0"/>
                          <a:ext cx="1188720" cy="457200"/>
                        </a:xfrm>
                        <a:prstGeom prst="rect"/>
                        <a:solidFill>
                          <a:srgbClr val="FFFFFF"/>
                        </a:solidFill>
                      </wps:spPr>
                      <wps:txbx>
                        <w:txbxContent>
                          <w:p>
                            <w:pPr>
                              <w:pStyle w:val="Normal"/>
                              <w:rPr/>
                            </w:pPr>
                            <w:r>
                              <w:rPr/>
                              <w:t>ID No.</w:t>
                              <w:tab/>
                              <w:t>1669</w:t>
                            </w:r>
                          </w:p>
                          <w:p>
                            <w:pPr>
                              <w:pStyle w:val="Normal"/>
                              <w:rPr>
                                <w:color w:val="0000FF"/>
                              </w:rPr>
                            </w:pPr>
                            <w:r>
                              <w:rPr>
                                <w:color w:val="0000FF"/>
                              </w:rPr>
                            </w:r>
                          </w:p>
                        </w:txbxContent>
                      </wps:txbx>
                      <wps:bodyPr anchor="t" lIns="92075" tIns="46355" rIns="92075" bIns="46355">
                        <a:noAutofit/>
                      </wps:bodyPr>
                    </wps:wsp>
                  </a:graphicData>
                </a:graphic>
              </wp:anchor>
            </w:drawing>
          </mc:Choice>
          <mc:Fallback>
            <w:pict>
              <v:rect fillcolor="#FFFFFF" style="position:absolute;rotation:-0;width:93.6pt;height:36pt;mso-wrap-distance-left:9.05pt;mso-wrap-distance-right:9.05pt;mso-wrap-distance-top:0pt;mso-wrap-distance-bottom:0pt;margin-top:-50.4pt;mso-position-vertical-relative:text;margin-left:327.6pt;mso-position-horizontal-relative:text">
                <v:textbox inset="0.100694444444444in,0.0506944444444444in,0.100694444444444in,0.0506944444444444in">
                  <w:txbxContent>
                    <w:p>
                      <w:pPr>
                        <w:pStyle w:val="Normal"/>
                        <w:rPr/>
                      </w:pPr>
                      <w:r>
                        <w:rPr/>
                        <w:t>ID No.</w:t>
                        <w:tab/>
                        <w:t>1669</w:t>
                      </w:r>
                    </w:p>
                    <w:p>
                      <w:pPr>
                        <w:pStyle w:val="Normal"/>
                        <w:rPr>
                          <w:color w:val="0000FF"/>
                        </w:rPr>
                      </w:pPr>
                      <w:r>
                        <w:rPr>
                          <w:color w:val="0000FF"/>
                        </w:rPr>
                      </w:r>
                    </w:p>
                  </w:txbxContent>
                </v:textbox>
                <w10:wrap type="none"/>
              </v:rect>
            </w:pict>
          </mc:Fallback>
        </mc:AlternateContent>
      </w:r>
    </w:p>
    <w:p>
      <w:pPr>
        <w:pStyle w:val="Normal"/>
        <w:jc w:val="center"/>
        <w:rPr>
          <w:b/>
        </w:rPr>
      </w:pPr>
      <w:r>
        <w:rPr>
          <w:b/>
        </w:rPr>
      </w:r>
    </w:p>
    <w:p>
      <w:pPr>
        <w:pStyle w:val="Normal"/>
        <w:rPr/>
      </w:pPr>
      <w:r>
        <w:rPr/>
        <w:tab/>
        <w:t xml:space="preserve">This Agreement, dated July 26, </w:t>
      </w:r>
      <w:r>
        <w:rPr>
          <w:color w:val="0000FF"/>
        </w:rPr>
        <w:t xml:space="preserve"> 2000</w:t>
      </w:r>
      <w:r>
        <w:rPr/>
        <w:t>, is entered into between The Peoples Gas Light and Coke Company (“Transporter”) and Midwest Energy Hub (“Shipper”).</w:t>
      </w:r>
    </w:p>
    <w:p>
      <w:pPr>
        <w:pStyle w:val="Normal"/>
        <w:rPr/>
      </w:pPr>
      <w:r>
        <w:rPr/>
      </w:r>
    </w:p>
    <w:p>
      <w:pPr>
        <w:pStyle w:val="Normal"/>
        <w:rPr/>
      </w:pPr>
      <w:r>
        <w:rPr/>
        <w:tab/>
        <w:t>Transporter agrees to provide Parking and Loaning service to Shipper in accordance with this Agreement, each Confirmed Service Request and Transporter’s General Terms and Conditions of its Operating Statement under Section 284.224 of the Federal Energy Regulatory Commission’s Regulations, as such General Terms and Conditions may be revised from time to time.  Such General Terms and Conditions and applicable rules and regulations of the Federal Energy Regulatory Commission are incorporated in and made a part of this Agreement by reference.</w:t>
      </w:r>
    </w:p>
    <w:p>
      <w:pPr>
        <w:pStyle w:val="Normal"/>
        <w:rPr/>
      </w:pPr>
      <w:r>
        <w:rPr/>
      </w:r>
    </w:p>
    <w:p>
      <w:pPr>
        <w:pStyle w:val="Normal"/>
        <w:rPr/>
      </w:pPr>
      <w:r>
        <w:rPr/>
        <w:tab/>
        <w:t>This Agreement shall be effective for an initial term of one (1) year commencing the date first above stated and from month to month thereafter unless terminated by either party on thirty (30) days prior written notice to the other at the end of the initial term or any month to month extension of such initial term.</w:t>
      </w:r>
    </w:p>
    <w:p>
      <w:pPr>
        <w:pStyle w:val="Normal"/>
        <w:rPr/>
      </w:pPr>
      <w:r>
        <w:rPr/>
      </w:r>
    </w:p>
    <w:p>
      <w:pPr>
        <w:pStyle w:val="Normal"/>
        <w:rPr/>
      </w:pPr>
      <w:r>
        <w:rPr/>
        <w:tab/>
        <w:t>The rate, quantities of Gas, Days on which Parking and Loaning activity shall occur, Delivery Point(s) and Receipt Point(s) for each Parking and Loaning transaction shall be as stated in the Confirmed Service Request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Notices to Shipper (not a P.O. Box)</w:t>
      </w:r>
    </w:p>
    <w:p>
      <w:pPr>
        <w:pStyle w:val="Normal"/>
        <w:ind w:firstLine="720" w:end="0"/>
        <w:rPr/>
      </w:pPr>
      <w:r>
        <w:rPr>
          <w:rFonts w:eastAsia="Arial"/>
        </w:rPr>
        <w:t xml:space="preserve"> </w:t>
      </w:r>
      <w:r>
        <w:rPr/>
        <w:t>shall go to:</w:t>
      </w:r>
    </w:p>
    <w:p>
      <w:pPr>
        <w:pStyle w:val="Normal"/>
        <w:rPr/>
      </w:pPr>
      <w:r>
        <w:rPr>
          <w:rFonts w:eastAsia="Arial"/>
        </w:rPr>
        <w:t xml:space="preserve">     </w:t>
      </w:r>
      <w:r>
        <w:rPr/>
        <w:t>Correspondence (except invoices)                                  Invoices</w:t>
      </w:r>
    </w:p>
    <w:tbl>
      <w:tblPr>
        <w:tblW w:w="9018" w:type="dxa"/>
        <w:jc w:val="start"/>
        <w:tblInd w:w="0" w:type="dxa"/>
        <w:tblLayout w:type="fixed"/>
        <w:tblCellMar>
          <w:top w:w="0" w:type="dxa"/>
          <w:start w:w="108" w:type="dxa"/>
          <w:bottom w:w="0" w:type="dxa"/>
          <w:end w:w="108" w:type="dxa"/>
        </w:tblCellMar>
      </w:tblPr>
      <w:tblGrid>
        <w:gridCol w:w="1008"/>
        <w:gridCol w:w="3510"/>
        <w:gridCol w:w="990"/>
        <w:gridCol w:w="3510"/>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Midwest Energy Hub</w:t>
            </w:r>
          </w:p>
          <w:p>
            <w:pPr>
              <w:pStyle w:val="Normal"/>
              <w:rPr/>
            </w:pPr>
            <w:r>
              <w:rPr/>
              <w:t>150 N. Michigan Ave.</w:t>
            </w:r>
          </w:p>
          <w:p>
            <w:pPr>
              <w:pStyle w:val="Normal"/>
              <w:rPr/>
            </w:pPr>
            <w:r>
              <w:rPr/>
              <w:t>3610</w:t>
            </w:r>
          </w:p>
          <w:p>
            <w:pPr>
              <w:pStyle w:val="Normal"/>
              <w:rPr/>
            </w:pPr>
            <w:r>
              <w:rPr/>
              <w:t>Chicago, IL  60601</w:t>
            </w:r>
          </w:p>
          <w:p>
            <w:pPr>
              <w:pStyle w:val="Normal"/>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Midwest Energy Hub</w:t>
            </w:r>
          </w:p>
          <w:p>
            <w:pPr>
              <w:pStyle w:val="Normal"/>
              <w:rPr/>
            </w:pPr>
            <w:r>
              <w:rPr/>
              <w:t>150 N. Michigan Ave.</w:t>
            </w:r>
          </w:p>
          <w:p>
            <w:pPr>
              <w:pStyle w:val="Normal"/>
              <w:rPr/>
            </w:pPr>
            <w:r>
              <w:rPr/>
              <w:t>3610</w:t>
            </w:r>
          </w:p>
          <w:p>
            <w:pPr>
              <w:pStyle w:val="Normal"/>
              <w:rPr/>
            </w:pPr>
            <w:r>
              <w:rPr/>
              <w:t>Chicago, IL  60601</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rPr/>
            </w:pPr>
            <w:r>
              <w:rPr/>
              <w:t>Attn.:</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Barbara Dillard-Radous</w:t>
            </w:r>
          </w:p>
        </w:tc>
        <w:tc>
          <w:tcPr>
            <w:tcW w:w="990" w:type="dxa"/>
            <w:tcBorders>
              <w:top w:val="single" w:sz="4" w:space="0" w:color="000000"/>
              <w:start w:val="single" w:sz="4" w:space="0" w:color="000000"/>
              <w:bottom w:val="single" w:sz="4" w:space="0" w:color="000000"/>
              <w:end w:val="single" w:sz="4" w:space="0" w:color="000000"/>
            </w:tcBorders>
          </w:tcPr>
          <w:p>
            <w:pPr>
              <w:pStyle w:val="Normal"/>
              <w:rPr/>
            </w:pPr>
            <w:r>
              <w:rPr/>
              <w:t>Attn.:</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Kevin Radous</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rPr/>
            </w:pPr>
            <w:r>
              <w:rPr/>
              <w:t>Phone:</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312-541-1232</w:t>
            </w:r>
          </w:p>
        </w:tc>
        <w:tc>
          <w:tcPr>
            <w:tcW w:w="990" w:type="dxa"/>
            <w:tcBorders>
              <w:top w:val="single" w:sz="4" w:space="0" w:color="000000"/>
              <w:start w:val="single" w:sz="4" w:space="0" w:color="000000"/>
              <w:bottom w:val="single" w:sz="4" w:space="0" w:color="000000"/>
              <w:end w:val="single" w:sz="4" w:space="0" w:color="000000"/>
            </w:tcBorders>
          </w:tcPr>
          <w:p>
            <w:pPr>
              <w:pStyle w:val="Normal"/>
              <w:rPr/>
            </w:pPr>
            <w:r>
              <w:rPr/>
              <w:t>Phone:</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312-541-1198</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rPr/>
            </w:pPr>
            <w:r>
              <w:rPr/>
              <w:t>Fax:</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312-541-2728</w:t>
            </w:r>
          </w:p>
        </w:tc>
        <w:tc>
          <w:tcPr>
            <w:tcW w:w="990" w:type="dxa"/>
            <w:tcBorders>
              <w:top w:val="single" w:sz="4" w:space="0" w:color="000000"/>
              <w:start w:val="single" w:sz="4" w:space="0" w:color="000000"/>
              <w:bottom w:val="single" w:sz="4" w:space="0" w:color="000000"/>
              <w:end w:val="single" w:sz="4" w:space="0" w:color="000000"/>
            </w:tcBorders>
          </w:tcPr>
          <w:p>
            <w:pPr>
              <w:pStyle w:val="Normal"/>
              <w:rPr/>
            </w:pPr>
            <w:r>
              <w:rPr/>
              <w:t>Fax:</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312-541-2728</w:t>
            </w:r>
          </w:p>
        </w:tc>
      </w:tr>
    </w:tbl>
    <w:p>
      <w:pPr>
        <w:pStyle w:val="Normal"/>
        <w:rPr/>
      </w:pPr>
      <w:r>
        <w:rPr/>
      </w:r>
    </w:p>
    <w:p>
      <w:pPr>
        <w:pStyle w:val="Normal"/>
        <w:rPr/>
      </w:pPr>
      <w:r>
        <w:rPr/>
      </w:r>
    </w:p>
    <w:p>
      <w:pPr>
        <w:pStyle w:val="Normal"/>
        <w:rPr/>
      </w:pPr>
      <w:r>
        <w:rPr/>
        <w:tab/>
        <w:t>Notices to Transporter shall go to:</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188"/>
        <w:gridCol w:w="7668"/>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7668" w:type="dxa"/>
            <w:tcBorders>
              <w:top w:val="single" w:sz="4" w:space="0" w:color="000000"/>
              <w:start w:val="single" w:sz="4" w:space="0" w:color="000000"/>
              <w:bottom w:val="single" w:sz="4" w:space="0" w:color="000000"/>
              <w:end w:val="single" w:sz="4" w:space="0" w:color="000000"/>
            </w:tcBorders>
          </w:tcPr>
          <w:p>
            <w:pPr>
              <w:pStyle w:val="Normal"/>
              <w:rPr/>
            </w:pPr>
            <w:r>
              <w:rPr/>
              <w:t>The Peoples Gas Light and Coke Company</w:t>
            </w:r>
          </w:p>
          <w:p>
            <w:pPr>
              <w:pStyle w:val="Normal"/>
              <w:rPr/>
            </w:pPr>
            <w:r>
              <w:rPr/>
              <w:t>130 East Randolph Drive</w:t>
            </w:r>
          </w:p>
          <w:p>
            <w:pPr>
              <w:pStyle w:val="Normal"/>
              <w:rPr/>
            </w:pPr>
            <w:r>
              <w:rPr/>
              <w:t>22nd Floor</w:t>
            </w:r>
          </w:p>
          <w:p>
            <w:pPr>
              <w:pStyle w:val="Normal"/>
              <w:rPr/>
            </w:pPr>
            <w:r>
              <w:rPr/>
              <w:t>Chicago, Illinois 60601</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Attn.:</w:t>
            </w:r>
          </w:p>
        </w:tc>
        <w:tc>
          <w:tcPr>
            <w:tcW w:w="7668" w:type="dxa"/>
            <w:tcBorders>
              <w:top w:val="single" w:sz="4" w:space="0" w:color="000000"/>
              <w:start w:val="single" w:sz="4" w:space="0" w:color="000000"/>
              <w:bottom w:val="single" w:sz="4" w:space="0" w:color="000000"/>
              <w:end w:val="single" w:sz="4" w:space="0" w:color="000000"/>
            </w:tcBorders>
          </w:tcPr>
          <w:p>
            <w:pPr>
              <w:pStyle w:val="Normal"/>
              <w:rPr/>
            </w:pPr>
            <w:r>
              <w:rPr/>
              <w:t>Gas Supply Administration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Fax:</w:t>
            </w:r>
          </w:p>
        </w:tc>
        <w:tc>
          <w:tcPr>
            <w:tcW w:w="7668" w:type="dxa"/>
            <w:tcBorders>
              <w:top w:val="single" w:sz="4" w:space="0" w:color="000000"/>
              <w:start w:val="single" w:sz="4" w:space="0" w:color="000000"/>
              <w:bottom w:val="single" w:sz="4" w:space="0" w:color="000000"/>
              <w:end w:val="single" w:sz="4" w:space="0" w:color="000000"/>
            </w:tcBorders>
          </w:tcPr>
          <w:p>
            <w:pPr>
              <w:pStyle w:val="Normal"/>
              <w:rPr/>
            </w:pPr>
            <w:r>
              <w:rPr/>
              <w:t>(312) 240-4211</w:t>
            </w:r>
          </w:p>
        </w:tc>
      </w:tr>
    </w:tbl>
    <w:p>
      <w:pPr>
        <w:pStyle w:val="Normal"/>
        <w:rPr/>
      </w:pPr>
      <w:r>
        <w:rPr/>
      </w:r>
    </w:p>
    <w:p>
      <w:pPr>
        <w:pStyle w:val="Normal"/>
        <w:rPr/>
      </w:pPr>
      <w:r>
        <w:rPr/>
      </w:r>
    </w:p>
    <w:p>
      <w:pPr>
        <w:pStyle w:val="BodyTextIndent"/>
        <w:rPr/>
      </w:pPr>
      <w:r>
        <w:rPr/>
        <w:t>Wherefore, the parties have caused a duly authorized representative to execute this Agreement in duplicate.</w:t>
      </w:r>
    </w:p>
    <w:p>
      <w:pPr>
        <w:pStyle w:val="Normal"/>
        <w:rPr/>
      </w:pPr>
      <w:r>
        <w:rPr/>
      </w:r>
    </w:p>
    <w:p>
      <w:pPr>
        <w:pStyle w:val="Normal"/>
        <w:rPr/>
      </w:pPr>
      <w:r>
        <w:rPr/>
      </w:r>
    </w:p>
    <w:p>
      <w:pPr>
        <w:pStyle w:val="Normal"/>
        <w:ind w:hanging="3600" w:start="3600" w:end="0"/>
        <w:rPr/>
      </w:pPr>
      <w:r>
        <w:rPr/>
        <w:t>SHIPPER</w:t>
        <w:tab/>
        <w:t>THE PEOPLES GAS LIGHT AND COKE COMPANY</w:t>
      </w:r>
    </w:p>
    <w:p>
      <w:pPr>
        <w:pStyle w:val="Normal"/>
        <w:rPr/>
      </w:pPr>
      <w:r>
        <w:rPr/>
      </w:r>
    </w:p>
    <w:p>
      <w:pPr>
        <w:pStyle w:val="Normal"/>
        <w:rPr/>
      </w:pPr>
      <w:r>
        <w:rPr/>
        <w:t>By:</w:t>
        <w:tab/>
        <w:tab/>
        <w:tab/>
        <w:tab/>
        <w:tab/>
        <w:t>By:</w:t>
      </w:r>
    </w:p>
    <w:p>
      <w:pPr>
        <w:pStyle w:val="Normal"/>
        <w:rPr/>
      </w:pPr>
      <w:r>
        <w:rPr/>
      </w:r>
    </w:p>
    <w:p>
      <w:pPr>
        <w:pStyle w:val="Normal"/>
        <w:rPr/>
      </w:pPr>
      <w:r>
        <w:rPr/>
        <w:t>Name:</w:t>
        <w:tab/>
        <w:tab/>
        <w:tab/>
        <w:tab/>
        <w:tab/>
        <w:t>Name:</w:t>
      </w:r>
    </w:p>
    <w:p>
      <w:pPr>
        <w:pStyle w:val="BodyText"/>
        <w:spacing w:before="0" w:after="0"/>
        <w:rPr/>
      </w:pPr>
      <w:r>
        <w:rPr/>
      </w:r>
    </w:p>
    <w:p>
      <w:pPr>
        <w:pStyle w:val="Header"/>
        <w:tabs>
          <w:tab w:val="clear" w:pos="4320"/>
          <w:tab w:val="clear" w:pos="8640"/>
        </w:tabs>
        <w:spacing w:lineRule="auto" w:line="360"/>
        <w:rPr/>
      </w:pPr>
      <w:r>
        <w:rPr/>
        <w:t>Title:</w:t>
        <w:tab/>
        <w:tab/>
        <w:tab/>
        <w:tab/>
        <w:tab/>
        <w:t>Title:</w:t>
      </w:r>
    </w:p>
    <w:sectPr>
      <w:type w:val="nextPage"/>
      <w:pgSz w:w="12240" w:h="15840"/>
      <w:pgMar w:left="1800" w:right="180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4"/>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b w:val="false"/>
      <w:sz w:val="24"/>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Times New Roman" w:hAnsi="Times New Roman" w:cs="Times New Roman"/>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DefaultParagraphFont">
    <w:name w:val="Default Paragraph Font"/>
    <w:qFormat/>
    <w:rPr/>
  </w:style>
  <w:style w:type="paragraph" w:styleId="Heading">
    <w:name w:val="Heading"/>
    <w:basedOn w:val="Normal"/>
    <w:next w:val="BodyText"/>
    <w:qFormat/>
    <w:pPr>
      <w:jc w:val="center"/>
    </w:pPr>
    <w:rPr>
      <w:b/>
      <w:color w:val="auto"/>
    </w:rPr>
  </w:style>
  <w:style w:type="paragraph" w:styleId="BodyText">
    <w:name w:val="Body Text"/>
    <w:basedOn w:val="Normal"/>
    <w:pPr>
      <w:spacing w:before="0" w:after="120"/>
    </w:pPr>
    <w:rPr>
      <w:color w:val="aut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color w:val="auto"/>
    </w:rPr>
  </w:style>
  <w:style w:type="paragraph" w:styleId="BodyTextIndent">
    <w:name w:val="Body Text Indent"/>
    <w:basedOn w:val="Normal"/>
    <w:pPr>
      <w:ind w:firstLine="864" w:start="576" w:end="0"/>
    </w:pPr>
    <w:rPr>
      <w:color w:val="auto"/>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2000-02-03T09:44:00Z</dcterms:created>
  <dc:creator>KLYAS</dc:creator>
  <dc:description/>
  <dc:language>en-CA</dc:language>
  <cp:lastModifiedBy>STASX</cp:lastModifiedBy>
  <cp:lastPrinted>2000-03-17T14:15:00Z</cp:lastPrinted>
  <dcterms:modified xsi:type="dcterms:W3CDTF">2000-07-26T13:29:00Z</dcterms:modified>
  <cp:revision>11</cp:revision>
  <dc:subject/>
  <dc:title>TRANSPORTATION SERVICE REQUEST FORM</dc:title>
</cp:coreProperties>
</file>