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Overview of Orion Power Holdings Inc. (ORN)</w:t>
      </w:r>
    </w:p>
    <w:p>
      <w:pPr>
        <w:pStyle w:val="Normal"/>
        <w:ind w:start="-900" w:end="-72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"/>
        <w:jc w:val="start"/>
        <w:rPr>
          <w:sz w:val="20"/>
        </w:rPr>
      </w:pPr>
      <w:r>
        <w:rPr>
          <w:sz w:val="20"/>
        </w:rPr>
        <w:t xml:space="preserve">Orion’s plan is to accomplish their mission by acquiring, and often times rebuilding and repowering, existing power plants and by developing new power plants.  Orion has invested over $3 billion in power generation assets.  Orion’s current portfolio consists of 80 power plants representing over 5,300 megawatts of generating capacity located throughout New York, Ohio and Pennsylvania. </w:t>
      </w:r>
    </w:p>
    <w:p>
      <w:pPr>
        <w:pStyle w:val="BodyText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jc w:val="start"/>
        <w:rPr/>
      </w:pPr>
      <w:r>
        <w:rPr>
          <w:b/>
          <w:bCs/>
          <w:sz w:val="20"/>
          <w:u w:val="single"/>
        </w:rPr>
        <w:t>Assets</w:t>
      </w:r>
      <w:r>
        <w:rPr>
          <w:b/>
          <w:bCs/>
          <w:sz w:val="20"/>
        </w:rPr>
        <w:t>:</w:t>
      </w:r>
    </w:p>
    <w:p>
      <w:pPr>
        <w:pStyle w:val="BodyText"/>
        <w:jc w:val="start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BodyText"/>
        <w:numPr>
          <w:ilvl w:val="0"/>
          <w:numId w:val="1"/>
        </w:numPr>
        <w:jc w:val="start"/>
        <w:rPr>
          <w:i/>
          <w:i/>
          <w:iCs/>
          <w:sz w:val="20"/>
        </w:rPr>
      </w:pPr>
      <w:r>
        <w:rPr>
          <w:i/>
          <w:iCs/>
          <w:sz w:val="20"/>
        </w:rPr>
        <w:t>New York City Assets:</w:t>
      </w:r>
    </w:p>
    <w:p>
      <w:pPr>
        <w:pStyle w:val="BodyText"/>
        <w:ind w:start="720" w:end="0"/>
        <w:jc w:val="start"/>
        <w:rPr>
          <w:sz w:val="20"/>
          <w:szCs w:val="20"/>
        </w:rPr>
      </w:pPr>
      <w:r>
        <w:rPr>
          <w:sz w:val="20"/>
          <w:szCs w:val="20"/>
        </w:rPr>
        <w:t>These assets include: the gas-fired Astoria Generating Station, the gas-fired Gowanus Gas Turbines station (Queens) and the oil-fired Narrows Gas Turbines station (Brooklyn).  These NYC assets provide a combined capacity of 2,030 MW, providing New York City with over 25% of its energy needs.</w:t>
      </w:r>
    </w:p>
    <w:p>
      <w:pPr>
        <w:pStyle w:val="BodyText"/>
        <w:ind w:start="72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jc w:val="start"/>
        <w:rPr>
          <w:i/>
          <w:i/>
          <w:iCs/>
          <w:sz w:val="20"/>
        </w:rPr>
      </w:pPr>
      <w:r>
        <w:rPr>
          <w:i/>
          <w:iCs/>
          <w:sz w:val="20"/>
        </w:rPr>
        <w:t>Hydro Assets:</w:t>
      </w:r>
    </w:p>
    <w:p>
      <w:pPr>
        <w:pStyle w:val="BodyText"/>
        <w:ind w:start="720" w:end="0"/>
        <w:jc w:val="start"/>
        <w:rPr>
          <w:sz w:val="20"/>
        </w:rPr>
      </w:pPr>
      <w:r>
        <w:rPr>
          <w:sz w:val="20"/>
        </w:rPr>
        <w:t>These 68 operating assets, generating a total of 650 MW of capacity, include units situated on five major reservoirs and dams and over 20 rivers through central and northern New York State.</w:t>
      </w:r>
    </w:p>
    <w:p>
      <w:pPr>
        <w:pStyle w:val="BodyText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360" w:leader="none"/>
        </w:tabs>
        <w:jc w:val="start"/>
        <w:rPr>
          <w:i/>
          <w:i/>
          <w:iCs/>
          <w:sz w:val="20"/>
        </w:rPr>
      </w:pPr>
      <w:r>
        <w:rPr>
          <w:i/>
          <w:iCs/>
          <w:sz w:val="20"/>
        </w:rPr>
        <w:t>Up-State NY Asset:</w:t>
      </w:r>
    </w:p>
    <w:p>
      <w:pPr>
        <w:pStyle w:val="BodyText"/>
        <w:tabs>
          <w:tab w:val="clear" w:pos="720"/>
          <w:tab w:val="left" w:pos="360" w:leader="none"/>
        </w:tabs>
        <w:ind w:start="720" w:end="0"/>
        <w:jc w:val="start"/>
        <w:rPr/>
      </w:pPr>
      <w:r>
        <w:rPr>
          <w:sz w:val="20"/>
        </w:rPr>
        <w:t xml:space="preserve">Carr Street Generating Station is </w:t>
      </w:r>
      <w:r>
        <w:rPr>
          <w:sz w:val="20"/>
          <w:szCs w:val="20"/>
        </w:rPr>
        <w:t xml:space="preserve">a high-efficiency 102 MW gas-fired combined cycle power plant located in East Syracuse, NY. </w:t>
      </w:r>
    </w:p>
    <w:p>
      <w:pPr>
        <w:pStyle w:val="BodyText"/>
        <w:tabs>
          <w:tab w:val="clear" w:pos="720"/>
          <w:tab w:val="left" w:pos="360" w:leader="none"/>
        </w:tabs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360" w:leader="none"/>
        </w:tabs>
        <w:jc w:val="star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Midwest Assets:</w:t>
      </w:r>
    </w:p>
    <w:p>
      <w:pPr>
        <w:pStyle w:val="BodyText"/>
        <w:tabs>
          <w:tab w:val="clear" w:pos="720"/>
          <w:tab w:val="left" w:pos="360" w:leader="none"/>
        </w:tabs>
        <w:ind w:start="720" w:end="0"/>
        <w:jc w:val="start"/>
        <w:rPr>
          <w:i/>
          <w:i/>
          <w:iCs/>
          <w:sz w:val="20"/>
        </w:rPr>
      </w:pPr>
      <w:r>
        <w:rPr>
          <w:sz w:val="20"/>
          <w:szCs w:val="20"/>
        </w:rPr>
        <w:t>These assets, with a total combined capacity of 2,614 MW, include 6 operating facilities located throughout Pennsylvania and Ohio. These assets, consisting of five coal-fired and one oil-fired facility, provide low-cost power to metropolitan areas such as Pittsburgh and Cleveland.</w:t>
      </w:r>
    </w:p>
    <w:p>
      <w:pPr>
        <w:pStyle w:val="BodyText"/>
        <w:tabs>
          <w:tab w:val="clear" w:pos="720"/>
          <w:tab w:val="left" w:pos="360" w:leader="none"/>
        </w:tabs>
        <w:ind w:start="360" w:end="0"/>
        <w:jc w:val="start"/>
        <w:rPr>
          <w:sz w:val="20"/>
        </w:rPr>
      </w:pPr>
      <w:r>
        <w:rPr>
          <w:sz w:val="20"/>
        </w:rPr>
        <w:tab/>
      </w:r>
    </w:p>
    <w:p>
      <w:pPr>
        <w:pStyle w:val="BodyText"/>
        <w:jc w:val="start"/>
        <w:rPr/>
      </w:pPr>
      <w:r>
        <w:rPr>
          <w:b/>
          <w:bCs/>
          <w:sz w:val="20"/>
          <w:u w:val="single"/>
        </w:rPr>
        <w:t>Recent Acquisitions and Developments</w:t>
      </w:r>
      <w:r>
        <w:rPr>
          <w:b/>
          <w:bCs/>
          <w:sz w:val="20"/>
        </w:rPr>
        <w:t>:</w:t>
      </w:r>
    </w:p>
    <w:p>
      <w:pPr>
        <w:pStyle w:val="BodyText"/>
        <w:jc w:val="start"/>
        <w:rPr>
          <w:sz w:val="20"/>
        </w:rPr>
      </w:pPr>
      <w:r>
        <w:rPr>
          <w:sz w:val="20"/>
        </w:rPr>
        <w:t xml:space="preserve">Recently, Orion Power agreed to purchase Columbia Electric Corporation, a power generation company with assets in operation, in construction and under development in the Mid-Atlantic and Mid-Western regions of the US, as outlined below: </w:t>
      </w:r>
    </w:p>
    <w:p>
      <w:pPr>
        <w:pStyle w:val="NormalWeb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The power plant in operation is the 500 MW (6 GE 7FEAs in simple-cycle), Ceredo Generating Station located in Wayne County, WV.  The plant became operational on June 15, 2001.  </w:t>
      </w:r>
    </w:p>
    <w:p>
      <w:pPr>
        <w:pStyle w:val="NormalWeb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The power plant under construction is the 568 MW combined-cycle Liberty Generating Station located near Philadelphia, PA, which is scheduled to be in operation by early 2002. </w:t>
      </w:r>
    </w:p>
    <w:p>
      <w:pPr>
        <w:pStyle w:val="NormalWeb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The power plants under development include the 1,650 MW combined-cycle Kelson Ridge Generating Station located in Charles County, MD and the 500 MW simple-cycle Henderson Generating Station located in Henderson County, KY. Both sites are scheduled to be in the first phase of operation by mid 2004. </w:t>
      </w:r>
    </w:p>
    <w:p>
      <w:pPr>
        <w:pStyle w:val="NormalWeb"/>
        <w:rPr/>
      </w:pPr>
      <w:r>
        <w:rPr>
          <w:rFonts w:cs="Arial" w:ascii="Arial" w:hAnsi="Arial"/>
          <w:b/>
          <w:bCs/>
          <w:sz w:val="20"/>
          <w:u w:val="single"/>
        </w:rPr>
        <w:t>Current stock price and market value</w:t>
      </w:r>
      <w:r>
        <w:rPr>
          <w:rFonts w:cs="Arial" w:ascii="Arial" w:hAnsi="Arial"/>
          <w:b/>
          <w:bCs/>
          <w:sz w:val="20"/>
        </w:rPr>
        <w:t>:</w:t>
      </w:r>
    </w:p>
    <w:p>
      <w:pPr>
        <w:pStyle w:val="BodyText"/>
        <w:jc w:val="start"/>
        <w:rPr>
          <w:sz w:val="20"/>
        </w:rPr>
      </w:pPr>
      <w:r>
        <w:rPr>
          <w:sz w:val="20"/>
        </w:rPr>
        <w:t>Price (as of close on 7.7.01): $21.90</w:t>
      </w:r>
    </w:p>
    <w:p>
      <w:pPr>
        <w:pStyle w:val="HTMLPreformatted"/>
        <w:rPr>
          <w:rFonts w:ascii="Arial" w:hAnsi="Arial" w:cs="Arial"/>
        </w:rPr>
      </w:pPr>
      <w:r>
        <w:rPr>
          <w:rFonts w:cs="Arial" w:ascii="Arial" w:hAnsi="Arial"/>
        </w:rPr>
        <w:t>Shares Outstanding (as of June 30, 2001): 103,483,003 shares</w:t>
      </w:r>
    </w:p>
    <w:p>
      <w:pPr>
        <w:pStyle w:val="HTMLPreformatted"/>
        <w:rPr>
          <w:rFonts w:ascii="Arial" w:hAnsi="Arial" w:cs="Arial"/>
        </w:rPr>
      </w:pPr>
      <w:r>
        <w:rPr>
          <w:rFonts w:cs="Arial" w:ascii="Arial" w:hAnsi="Arial"/>
        </w:rPr>
        <w:t>Total Market Cap (as of close on 7.7.01): $2.266 Billion</w:t>
      </w:r>
    </w:p>
    <w:p>
      <w:pPr>
        <w:pStyle w:val="HTMLPreformatte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TMLPreformatted"/>
        <w:rPr>
          <w:rFonts w:ascii="Arial" w:hAnsi="Arial" w:cs="Arial"/>
        </w:rPr>
      </w:pPr>
      <w:r>
        <w:rPr>
          <w:rFonts w:cs="Arial" w:ascii="Arial" w:hAnsi="Arial"/>
        </w:rPr>
        <w:t>Assuming Market Price of $30/share, then</w:t>
      </w:r>
    </w:p>
    <w:p>
      <w:pPr>
        <w:pStyle w:val="HTMLPreformatted"/>
        <w:rPr>
          <w:rFonts w:ascii="Arial" w:hAnsi="Arial" w:cs="Arial"/>
        </w:rPr>
      </w:pPr>
      <w:r>
        <w:rPr>
          <w:rFonts w:cs="Arial" w:ascii="Arial" w:hAnsi="Arial"/>
        </w:rPr>
        <w:t>Market Cap would be equal to $3.104 Billion</w:t>
      </w:r>
    </w:p>
    <w:p>
      <w:pPr>
        <w:pStyle w:val="HTMLPreformatte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TMLPreformatted"/>
        <w:rPr/>
      </w:pPr>
      <w:r>
        <w:rPr>
          <w:rFonts w:cs="Arial" w:ascii="Arial" w:hAnsi="Arial"/>
          <w:b/>
          <w:bCs/>
          <w:u w:val="single"/>
        </w:rPr>
        <w:t>Ratio Analysis (as of June 30, 2001, unaudited)</w:t>
      </w:r>
      <w:r>
        <w:rPr>
          <w:rFonts w:cs="Arial" w:ascii="Arial" w:hAnsi="Arial"/>
          <w:b/>
          <w:bCs/>
        </w:rPr>
        <w:t>:</w:t>
      </w:r>
    </w:p>
    <w:p>
      <w:pPr>
        <w:pStyle w:val="BodyText"/>
        <w:jc w:val="start"/>
        <w:rPr>
          <w:sz w:val="20"/>
        </w:rPr>
      </w:pPr>
      <w:r>
        <w:rPr>
          <w:sz w:val="20"/>
        </w:rPr>
        <w:t>L-T Debt/ Stockholder’s Equity: (2.543 Billion / 1.531 Billion) = 1.661</w:t>
      </w:r>
    </w:p>
    <w:p>
      <w:pPr>
        <w:pStyle w:val="BodyText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jc w:val="start"/>
        <w:rPr>
          <w:sz w:val="20"/>
        </w:rPr>
      </w:pPr>
      <w:r>
        <w:rPr>
          <w:sz w:val="20"/>
        </w:rPr>
        <w:t>Current Ratio: 5.79</w:t>
      </w:r>
    </w:p>
    <w:p>
      <w:pPr>
        <w:pStyle w:val="BodyText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jc w:val="start"/>
        <w:rPr>
          <w:sz w:val="20"/>
        </w:rPr>
      </w:pPr>
      <w:r>
        <w:rPr>
          <w:sz w:val="20"/>
        </w:rPr>
        <w:t>Quick Ratio: 5.48</w:t>
      </w:r>
    </w:p>
    <w:p>
      <w:pPr>
        <w:pStyle w:val="BodyText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jc w:val="start"/>
        <w:rPr>
          <w:sz w:val="20"/>
        </w:rPr>
      </w:pPr>
      <w:r>
        <w:rPr>
          <w:sz w:val="20"/>
        </w:rPr>
        <w:t>ROE: 2.38%</w:t>
      </w:r>
    </w:p>
    <w:sectPr>
      <w:footerReference w:type="default" r:id="rId2"/>
      <w:type w:val="nextPage"/>
      <w:pgSz w:w="12240" w:h="15840"/>
      <w:pgMar w:left="1440" w:right="1260" w:gutter="0" w:header="0" w:top="5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9:02 AM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29528C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Cs w:val="1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00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color w:val="000000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2001-09-10T18:25:00Z</dcterms:created>
  <dc:creator>splauch</dc:creator>
  <dc:description/>
  <dc:language>en-CA</dc:language>
  <cp:lastModifiedBy>dmille2</cp:lastModifiedBy>
  <cp:lastPrinted>2001-09-09T16:34:00Z</cp:lastPrinted>
  <dcterms:modified xsi:type="dcterms:W3CDTF">2001-09-10T18:25:00Z</dcterms:modified>
  <cp:revision>2</cp:revision>
  <dc:subject/>
  <dc:title>Overview of Orion Power Holdings Inc</dc:title>
</cp:coreProperties>
</file>