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240" w:after="60"/>
        <w:ind w:hanging="0" w:start="0"/>
        <w:rPr/>
      </w:pPr>
      <w:r>
        <w:rPr/>
        <w:t>Settlement Notification – Manual Line Item Validations</w:t>
      </w:r>
    </w:p>
    <w:p>
      <w:pPr>
        <w:pStyle w:val="Heading1"/>
        <w:ind w:hanging="0" w:start="0"/>
        <w:rPr/>
      </w:pPr>
      <w:r>
        <w:rPr/>
        <w:t>Overview</w:t>
      </w:r>
    </w:p>
    <w:p>
      <w:pPr>
        <w:pStyle w:val="Normal"/>
        <w:rPr/>
      </w:pPr>
      <w:r>
        <w:rPr/>
        <w:t>Towards the end of 2001, several Scheduling Coordinators (SCs) indicated that they had difficulty processing the Manual Line Items (MLI) in the ISO Statement Files in an automatic fashion.  The key issues raised by the SCs included:</w:t>
      </w:r>
    </w:p>
    <w:p>
      <w:pPr>
        <w:pStyle w:val="Normal"/>
        <w:numPr>
          <w:ilvl w:val="0"/>
          <w:numId w:val="5"/>
        </w:numPr>
        <w:rPr/>
      </w:pPr>
      <w:r>
        <w:rPr/>
        <w:t>The same Charge Type seems to appear in different granularities (e.g. hourly and 10-minute).</w:t>
      </w:r>
    </w:p>
    <w:p>
      <w:pPr>
        <w:pStyle w:val="Normal"/>
        <w:numPr>
          <w:ilvl w:val="0"/>
          <w:numId w:val="5"/>
        </w:numPr>
        <w:rPr/>
      </w:pPr>
      <w:r>
        <w:rPr/>
        <w:t xml:space="preserve">Lack of clarity of the sign conventions used for the numerical quantities such as the Billable Quantity (BQ), Price and Settlement Amount.  </w:t>
      </w:r>
    </w:p>
    <w:p>
      <w:pPr>
        <w:pStyle w:val="Normal"/>
        <w:numPr>
          <w:ilvl w:val="0"/>
          <w:numId w:val="5"/>
        </w:numPr>
        <w:rPr/>
      </w:pPr>
      <w:r>
        <w:rPr/>
        <w:t>The Settlement Amount seems to lack precision.  The SCs expects that the Settlement Amount can be derived exactly using the formula: “Settlement Amount = Billable Quantity x Price”.</w:t>
      </w:r>
    </w:p>
    <w:p>
      <w:pPr>
        <w:pStyle w:val="Normal"/>
        <w:numPr>
          <w:ilvl w:val="0"/>
          <w:numId w:val="5"/>
        </w:numPr>
        <w:rPr/>
      </w:pPr>
      <w:r>
        <w:rPr/>
        <w:t>Lack of clarity whether certain data fields are mandatory or optional.</w:t>
      </w:r>
    </w:p>
    <w:p>
      <w:pPr>
        <w:pStyle w:val="Normal"/>
        <w:numPr>
          <w:ilvl w:val="0"/>
          <w:numId w:val="5"/>
        </w:numPr>
        <w:rPr/>
      </w:pPr>
      <w:r>
        <w:rPr/>
        <w:t>There is no indication whether the BQ or the Price has been adjusted.</w:t>
      </w:r>
    </w:p>
    <w:p>
      <w:pPr>
        <w:pStyle w:val="Normal"/>
        <w:numPr>
          <w:ilvl w:val="0"/>
          <w:numId w:val="5"/>
        </w:numPr>
        <w:rPr/>
      </w:pPr>
      <w:r>
        <w:rPr/>
        <w:t xml:space="preserve">SCs also like to have a simple way to map the MLI to the original settlement details record. </w:t>
      </w:r>
    </w:p>
    <w:p>
      <w:pPr>
        <w:pStyle w:val="Header"/>
        <w:tabs>
          <w:tab w:val="clear" w:pos="4320"/>
          <w:tab w:val="clear" w:pos="8640"/>
        </w:tabs>
        <w:rPr/>
      </w:pPr>
      <w:r>
        <w:rPr/>
      </w:r>
    </w:p>
    <w:p>
      <w:pPr>
        <w:pStyle w:val="Closing"/>
        <w:spacing w:lineRule="auto" w:line="240"/>
        <w:ind w:start="0" w:end="0"/>
        <w:rPr/>
      </w:pPr>
      <w:r>
        <w:rPr/>
        <w:t>SCs brought these issues to ISO’s attention through the Technical Standards Work Group (TSWG).  After several rounds of dialogue and clarification, ISO and TSWG worked out a solution that has been agreed upon by the interested parties.</w:t>
      </w:r>
    </w:p>
    <w:p>
      <w:pPr>
        <w:pStyle w:val="Heading1"/>
        <w:ind w:hanging="0" w:start="0"/>
        <w:rPr/>
      </w:pPr>
      <w:r>
        <w:rPr/>
        <w:t>Changes to ISO Charge Matrix and Statement Files Specification</w:t>
      </w:r>
    </w:p>
    <w:p>
      <w:pPr>
        <w:pStyle w:val="Normal"/>
        <w:rPr/>
      </w:pPr>
      <w:r>
        <w:rPr/>
        <w:t>The Statement Files Specification and Charge Matrix have been updated to clearly indicate the granularity, sign convention and mandatory fields used by the MLI.  Specifically, the following changes have been made in the ISO Charge Matrix:</w:t>
      </w:r>
    </w:p>
    <w:p>
      <w:pPr>
        <w:pStyle w:val="Normal"/>
        <w:numPr>
          <w:ilvl w:val="0"/>
          <w:numId w:val="4"/>
        </w:numPr>
        <w:rPr/>
      </w:pPr>
      <w:r>
        <w:rPr/>
        <w:t>The Automated Charge Matrix and Manual Charge Matrix have been consolidated into one file for easy reference and maintenance.</w:t>
      </w:r>
    </w:p>
    <w:p>
      <w:pPr>
        <w:pStyle w:val="Normal"/>
        <w:numPr>
          <w:ilvl w:val="0"/>
          <w:numId w:val="4"/>
        </w:numPr>
        <w:rPr/>
      </w:pPr>
      <w:r>
        <w:rPr/>
        <w:t>Record granularity for each Charge Type is provided and verified.</w:t>
      </w:r>
    </w:p>
    <w:p>
      <w:pPr>
        <w:pStyle w:val="Normal"/>
        <w:numPr>
          <w:ilvl w:val="0"/>
          <w:numId w:val="4"/>
        </w:numPr>
        <w:rPr/>
      </w:pPr>
      <w:r>
        <w:rPr/>
        <w:t>The exact formula governing the sign convention and relationship between Settlement Amount, BQ and Price for each Charge Type is provided.</w:t>
      </w:r>
    </w:p>
    <w:p>
      <w:pPr>
        <w:pStyle w:val="Normal"/>
        <w:numPr>
          <w:ilvl w:val="0"/>
          <w:numId w:val="4"/>
        </w:numPr>
        <w:rPr/>
      </w:pPr>
      <w:r>
        <w:rPr/>
        <w:t>Each Charge Type is clearly indicated as an “automated” or “manual”.  It should be noted that automated Charge Types may appear as MLI, but manual Charge Types will only appear as MLI.</w:t>
      </w:r>
    </w:p>
    <w:p>
      <w:pPr>
        <w:pStyle w:val="Normal"/>
        <w:numPr>
          <w:ilvl w:val="0"/>
          <w:numId w:val="4"/>
        </w:numPr>
        <w:rPr/>
      </w:pPr>
      <w:r>
        <w:rPr/>
        <w:t>Descriptions for BQ, Price and their units are reviewed for accuracy and clarifications are made as necessary.</w:t>
      </w:r>
    </w:p>
    <w:p>
      <w:pPr>
        <w:pStyle w:val="Normal"/>
        <w:rPr/>
      </w:pPr>
      <w:r>
        <w:rPr/>
      </w:r>
    </w:p>
    <w:p>
      <w:pPr>
        <w:pStyle w:val="Normal"/>
        <w:rPr/>
      </w:pPr>
      <w:r>
        <w:rPr/>
        <w:t>Appendices A and B of the Statement Files Specification currently show the populated data fields of the settlement detail and MLI records using check marks.  More precise definition is now provided using the following symbols:</w:t>
      </w:r>
    </w:p>
    <w:p>
      <w:pPr>
        <w:pStyle w:val="Normal"/>
        <w:numPr>
          <w:ilvl w:val="0"/>
          <w:numId w:val="6"/>
        </w:numPr>
        <w:ind w:hanging="360" w:start="360" w:end="0"/>
        <w:rPr/>
      </w:pPr>
      <w:r>
        <w:rPr/>
        <w:t>M – Mandatory field.</w:t>
      </w:r>
    </w:p>
    <w:p>
      <w:pPr>
        <w:pStyle w:val="Normal"/>
        <w:numPr>
          <w:ilvl w:val="0"/>
          <w:numId w:val="6"/>
        </w:numPr>
        <w:ind w:hanging="360" w:start="360" w:end="0"/>
        <w:rPr/>
      </w:pPr>
      <w:r>
        <w:rPr/>
        <w:t>C – Conditional field which is only populated depending on the context of the charge record.  For example, the Location ID field for A/S Buyback charge will be populated if it is bid-in resource and will be left null if it is buyback of self-provision.</w:t>
      </w:r>
    </w:p>
    <w:p>
      <w:pPr>
        <w:pStyle w:val="Normal"/>
        <w:numPr>
          <w:ilvl w:val="0"/>
          <w:numId w:val="6"/>
        </w:numPr>
        <w:ind w:hanging="360" w:start="360" w:end="0"/>
        <w:rPr/>
      </w:pPr>
      <w:r>
        <w:rPr/>
        <w:t xml:space="preserve">O – Optional field.  This is only used in MLI records for those fields which are populated at the discretion of the ISO Settlement Analysts.  Use of optional fields is discouraged. </w:t>
      </w:r>
    </w:p>
    <w:p>
      <w:pPr>
        <w:pStyle w:val="Normal"/>
        <w:numPr>
          <w:ilvl w:val="0"/>
          <w:numId w:val="6"/>
        </w:numPr>
        <w:ind w:hanging="360" w:start="360" w:end="0"/>
        <w:rPr/>
      </w:pPr>
      <w:r>
        <w:rPr/>
        <w:t>Null.  Data fields that are supposed to be nulls shall be left unmarked.</w:t>
      </w:r>
    </w:p>
    <w:p>
      <w:pPr>
        <w:pStyle w:val="Normal"/>
        <w:rPr/>
      </w:pPr>
      <w:r>
        <w:rPr/>
      </w:r>
    </w:p>
    <w:p>
      <w:pPr>
        <w:pStyle w:val="Normal"/>
        <w:rPr/>
      </w:pPr>
      <w:r>
        <w:rPr/>
        <w:t>While the modification to the Charge Matrix and Statement Files Specification seems massive, they are just elaboration of ISO’s existing practice.  SCs, who do not plan to take advantage of the new information, are not required to make any changes to their processing of ISO’s Statement Files.</w:t>
      </w:r>
    </w:p>
    <w:p>
      <w:pPr>
        <w:pStyle w:val="Heading1"/>
        <w:ind w:hanging="0" w:start="0"/>
        <w:rPr/>
      </w:pPr>
      <w:r>
        <w:rPr/>
        <w:t>MLI Validations</w:t>
      </w:r>
    </w:p>
    <w:p>
      <w:pPr>
        <w:pStyle w:val="Normal"/>
        <w:rPr/>
      </w:pPr>
      <w:r>
        <w:rPr/>
        <w:t>Validations of the MLI will be performed by ISO’s Settlement System when the record is created or updated.  There are already existing validations that check for valid data type and ensure all ID fields (such as Charge Type ID, Location ID and Zone ID) are recognized.  In addition to the existing validation rules, the Settlement System will also perform the following validations:</w:t>
      </w:r>
    </w:p>
    <w:p>
      <w:pPr>
        <w:pStyle w:val="Normal"/>
        <w:numPr>
          <w:ilvl w:val="0"/>
          <w:numId w:val="3"/>
        </w:numPr>
        <w:ind w:hanging="360" w:start="360" w:end="0"/>
        <w:rPr/>
      </w:pPr>
      <w:r>
        <w:rPr/>
        <w:t>The granularity of the MLI record will be verified for its consistency with the ISO Charge Matrix.  A 10-minute charge shall have a subhour interval value between 1 to 6.  Hourly charge shall have a subhour interval of 0.  Monthly charge shall be dated the last day of the month and the hour, subhour interval values shall be 0.  Similarly, annual charge, if any, will be dated the last day of the year and have 0s’ in the hour and subhour interval fields.</w:t>
      </w:r>
    </w:p>
    <w:p>
      <w:pPr>
        <w:pStyle w:val="Normal"/>
        <w:numPr>
          <w:ilvl w:val="0"/>
          <w:numId w:val="3"/>
        </w:numPr>
        <w:ind w:hanging="360" w:start="360" w:end="0"/>
        <w:rPr/>
      </w:pPr>
      <w:r>
        <w:rPr/>
        <w:t>The sign convention used by the Settlement Amount, Billable Quantity and Price will be verified to be consistent with the formula specified in the Charge Matrix.</w:t>
      </w:r>
    </w:p>
    <w:p>
      <w:pPr>
        <w:pStyle w:val="Normal"/>
        <w:numPr>
          <w:ilvl w:val="0"/>
          <w:numId w:val="3"/>
        </w:numPr>
        <w:ind w:hanging="360" w:start="360" w:end="0"/>
        <w:rPr/>
      </w:pPr>
      <w:r>
        <w:rPr/>
        <w:t>The Settlement Amount will be verified for its numerical precision.  The Settlement System currently provides 2 decimal places for the Settlement Amount and BQ, and 5 decimal prices for Price.  Thus, the maximum allowable errors are 0.005 for Settlement Amount, 0.005 for BQ and 0.000005 for Price.  The magnitude of the Settlement Amount provided in the MLI must lie within the range of values that are formed by multiplying the allowable magnitudes of BQ and Price.</w:t>
      </w:r>
    </w:p>
    <w:p>
      <w:pPr>
        <w:pStyle w:val="Normal"/>
        <w:numPr>
          <w:ilvl w:val="0"/>
          <w:numId w:val="3"/>
        </w:numPr>
        <w:ind w:hanging="360" w:start="360" w:end="0"/>
        <w:rPr/>
      </w:pPr>
      <w:r>
        <w:rPr/>
        <w:t>Each data field will be verified to be consistent with its  Mandatory/Conditional/Optional nature.</w:t>
      </w:r>
    </w:p>
    <w:p>
      <w:pPr>
        <w:pStyle w:val="Normal"/>
        <w:rPr/>
      </w:pPr>
      <w:r>
        <w:rPr/>
      </w:r>
    </w:p>
    <w:p>
      <w:pPr>
        <w:pStyle w:val="Normal"/>
        <w:rPr/>
      </w:pPr>
      <w:r>
        <w:rPr/>
        <w:t>These validations ensure that all MLI records that appear in the Statement Files will adhere to the predefined format and structure, but have no other effect on the settlement calculations.</w:t>
      </w:r>
    </w:p>
    <w:p>
      <w:pPr>
        <w:pStyle w:val="Normal"/>
        <w:rPr/>
      </w:pPr>
      <w:r>
        <w:rPr/>
      </w:r>
    </w:p>
    <w:p>
      <w:pPr>
        <w:pStyle w:val="Heading1"/>
        <w:ind w:hanging="0" w:start="0"/>
        <w:rPr/>
      </w:pPr>
      <w:r>
        <w:rPr/>
        <w:t>Implementation Schedule</w:t>
      </w:r>
    </w:p>
    <w:p>
      <w:pPr>
        <w:pStyle w:val="Header"/>
        <w:widowControl/>
        <w:tabs>
          <w:tab w:val="clear" w:pos="4320"/>
          <w:tab w:val="clear" w:pos="8640"/>
        </w:tabs>
        <w:rPr/>
      </w:pPr>
      <w:r>
        <w:rPr/>
        <w:t xml:space="preserve">The new MLI validation scheme will take effect on trade date 1/1/2002.  </w:t>
      </w:r>
    </w:p>
    <w:p>
      <w:pPr>
        <w:pStyle w:val="Heading1"/>
        <w:ind w:hanging="0" w:start="0"/>
        <w:rPr/>
      </w:pPr>
      <w:r>
        <w:rPr/>
        <w:t>Questions and Comments</w:t>
      </w:r>
    </w:p>
    <w:p>
      <w:pPr>
        <w:pStyle w:val="BodyTextIndent2"/>
        <w:widowControl/>
        <w:ind w:start="0" w:end="0"/>
        <w:rPr/>
      </w:pPr>
      <w:r>
        <w:rPr/>
        <w:t>Questions and comments are welcome.  Please direct them to Mr. C. P. Ng via email (</w:t>
      </w:r>
      <w:hyperlink r:id="rId2">
        <w:r>
          <w:rPr>
            <w:rStyle w:val="Hyperlink"/>
          </w:rPr>
          <w:t>cng@caiso.com</w:t>
        </w:r>
      </w:hyperlink>
      <w:r>
        <w:rPr/>
        <w:t>).</w:t>
      </w:r>
    </w:p>
    <w:p>
      <w:pPr>
        <w:pStyle w:val="Normal"/>
        <w:rPr/>
      </w:pPr>
      <w:r>
        <w:rPr/>
      </w:r>
    </w:p>
    <w:sectPr>
      <w:headerReference w:type="default" r:id="rId3"/>
      <w:footerReference w:type="default" r:id="rId4"/>
      <w:type w:val="nextPage"/>
      <w:pgSz w:w="12240" w:h="15840"/>
      <w:pgMar w:left="1800" w:right="1800" w:gutter="0" w:header="720" w:top="180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old">
    <w:charset w:val="00" w:characterSet="windows-1252"/>
    <w:family w:val="swiss"/>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CPN    S&amp;B    Mkt Srvc</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drawing>
        <wp:inline distT="0" distB="0" distL="0" distR="0">
          <wp:extent cx="2191385" cy="3194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9" t="-58" r="-9" b="-58"/>
                  <a:stretch>
                    <a:fillRect/>
                  </a:stretch>
                </pic:blipFill>
                <pic:spPr bwMode="auto">
                  <a:xfrm>
                    <a:off x="0" y="0"/>
                    <a:ext cx="2191385" cy="319405"/>
                  </a:xfrm>
                  <a:prstGeom prst="rect">
                    <a:avLst/>
                  </a:prstGeom>
                  <a:noFill/>
                </pic:spPr>
              </pic:pic>
            </a:graphicData>
          </a:graphic>
        </wp:inline>
      </w:drawing>
    </w:r>
    <w:r>
      <w:rPr>
        <w:rFonts w:eastAsia="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0"/>
        </w:tabs>
        <w:ind w:start="0" w:hanging="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Bold" w:hAnsi="Arial Bold" w:cs="Arial Bold"/>
      <w:b/>
      <w:kern w:val="2"/>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ind w:hanging="0" w:start="1152" w:end="0"/>
    </w:pPr>
    <w:rPr>
      <w:rFonts w:ascii="Arial" w:hAnsi="Arial" w:cs="Arial"/>
    </w:rPr>
  </w:style>
  <w:style w:type="paragraph" w:styleId="ListNumber">
    <w:name w:val="List Number"/>
    <w:basedOn w:val="Normal"/>
    <w:qFormat/>
    <w:pPr>
      <w:widowControl/>
      <w:numPr>
        <w:ilvl w:val="0"/>
        <w:numId w:val="2"/>
      </w:numPr>
      <w:spacing w:before="0" w:after="220"/>
      <w:jc w:val="both"/>
    </w:pPr>
    <w:rPr>
      <w:rFonts w:ascii="Arial" w:hAnsi="Arial" w:cs="Arial"/>
    </w:rPr>
  </w:style>
  <w:style w:type="paragraph" w:styleId="Closing">
    <w:name w:val="Closing"/>
    <w:basedOn w:val="Normal"/>
    <w:qFormat/>
    <w:pPr>
      <w:widowControl/>
      <w:spacing w:lineRule="atLeast" w:line="220"/>
      <w:ind w:hanging="0" w:start="840" w:end="-360"/>
    </w:pPr>
    <w:rPr/>
  </w:style>
  <w:style w:type="paragraph" w:styleId="BodyText2">
    <w:name w:val="Body Text 2"/>
    <w:basedOn w:val="Normal"/>
    <w:qFormat/>
    <w:pPr>
      <w:keepNext w:val="true"/>
      <w:widowControl/>
      <w:ind w:hanging="0" w:start="0" w:end="-360"/>
    </w:pPr>
    <w:rPr>
      <w:rFonts w:ascii="Arial" w:hAnsi="Arial" w:cs="Arial"/>
      <w:sz w:val="22"/>
    </w:rPr>
  </w:style>
  <w:style w:type="paragraph" w:styleId="BodyText3">
    <w:name w:val="Body Text 3"/>
    <w:basedOn w:val="Normal"/>
    <w:qFormat/>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ng@caiso.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2002-01-16T22:54:00Z</dcterms:created>
  <dc:creator>Crystal T. Gutenberger</dc:creator>
  <dc:description/>
  <dc:language>en-CA</dc:language>
  <cp:lastModifiedBy>cpng</cp:lastModifiedBy>
  <cp:lastPrinted>2001-11-05T15:20:00Z</cp:lastPrinted>
  <dcterms:modified xsi:type="dcterms:W3CDTF">2002-01-22T14:13:00Z</dcterms:modified>
  <cp:revision>5</cp:revision>
  <dc:subject/>
  <dc:title>Work Item:</dc:title>
</cp:coreProperties>
</file>