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60"/>
        <w:ind w:hanging="0" w:start="0"/>
        <w:rPr/>
      </w:pPr>
      <w:r>
        <w:rPr/>
        <w:t>Settlement Notification – Ancillary Services &amp; Real Time Energy Operations Charge</w:t>
      </w:r>
    </w:p>
    <w:p>
      <w:pPr>
        <w:pStyle w:val="Heading1"/>
        <w:ind w:hanging="0" w:start="0"/>
        <w:rPr/>
      </w:pPr>
      <w:r>
        <w:rPr/>
        <w:t>Overview</w:t>
      </w:r>
    </w:p>
    <w:p>
      <w:pPr>
        <w:pStyle w:val="Closing"/>
        <w:spacing w:lineRule="auto" w:line="240"/>
        <w:ind w:start="0" w:end="0"/>
        <w:rPr/>
      </w:pPr>
      <w:r>
        <w:rPr/>
        <w:t xml:space="preserve">During the discussions leading to the development of the ISO's three service categories of Grid Management Charges (GMC), the issue of Self Provision of Ancillary Services (A/S) was raised as a possible concern for the future.  Self Provision is currently exempted from the Market Operations Charge.  However, it was noted that this exemption would likely need to be addressed when the volumes of Self Provision increased.  Due to the substantial changes in market conditions since the beginning of 2001, which led to a decrease in Replacement Reserves and increased Self Provision of A/S, the ISO found that it must address the issue of Self Provision sooner than expected.  </w:t>
      </w:r>
    </w:p>
    <w:p>
      <w:pPr>
        <w:pStyle w:val="Closing"/>
        <w:spacing w:lineRule="auto" w:line="240"/>
        <w:ind w:firstLine="720" w:start="0" w:end="0"/>
        <w:rPr/>
      </w:pPr>
      <w:r>
        <w:rPr/>
      </w:r>
    </w:p>
    <w:p>
      <w:pPr>
        <w:pStyle w:val="Closing"/>
        <w:spacing w:lineRule="auto" w:line="240"/>
        <w:ind w:start="0" w:end="0"/>
        <w:rPr/>
      </w:pPr>
      <w:r>
        <w:rPr/>
        <w:t>During 2001, ISO’s total A/S (ISO market and self-provided) has decreased significantly.  A significant portion of the decrease is due to less reservation of capacity by the ISO through Replacement Reserve.  At the same time, the volume of Self Provision has increased substantially.  The combined effect led to a substantial decrease in A/S volumes procured through ISO market.  Thus, the billing determinant volume for the Market Operations Charge dropped significantly.  Barring any change to the rate structure, the required rate for the Market Operations Charge for 2002 will have to increase substantially.  Since ISO’s effort to accommodate Self Provision does not differ substantially from that related to A/S procured through the ISO markets, ISO proposes allocating a portion of its costs to Self Provision.</w:t>
      </w:r>
    </w:p>
    <w:p>
      <w:pPr>
        <w:pStyle w:val="Normal"/>
        <w:rPr/>
      </w:pPr>
      <w:r>
        <w:rPr/>
      </w:r>
    </w:p>
    <w:p>
      <w:pPr>
        <w:pStyle w:val="Normal"/>
        <w:rPr/>
      </w:pPr>
      <w:r>
        <w:rPr/>
        <w:t>Beginning January 1, 2002, the Market Operations component of the GMC will be replaced by the Ancillary Services and Real Time Energy Operations Charge.  Currently, all purchases and sales of A/S and real time Energy (both Instructed and Uninstructed) are assessed the Market Operations Charge.  Under the new Ancillary Services and Real Time Energy Operations Charge, Scheduling Coordinators (SCs) will accrue GMC based on the following transaction volumes:</w:t>
      </w:r>
    </w:p>
    <w:p>
      <w:pPr>
        <w:pStyle w:val="Normal"/>
        <w:numPr>
          <w:ilvl w:val="0"/>
          <w:numId w:val="4"/>
        </w:numPr>
        <w:rPr/>
      </w:pPr>
      <w:r>
        <w:rPr/>
        <w:t>Purchases and sales of real time Energy (both instructed and Uninstructed) through the ISO’s markets;</w:t>
      </w:r>
    </w:p>
    <w:p>
      <w:pPr>
        <w:pStyle w:val="Normal"/>
        <w:numPr>
          <w:ilvl w:val="0"/>
          <w:numId w:val="4"/>
        </w:numPr>
        <w:rPr/>
      </w:pPr>
      <w:r>
        <w:rPr/>
        <w:t>Purchases and sales of A/S through the ISO markets; and</w:t>
      </w:r>
    </w:p>
    <w:p>
      <w:pPr>
        <w:pStyle w:val="Normal"/>
        <w:numPr>
          <w:ilvl w:val="0"/>
          <w:numId w:val="4"/>
        </w:numPr>
        <w:rPr/>
      </w:pPr>
      <w:r>
        <w:rPr/>
        <w:t>50% of the Effective Self Provision (on one side of the transaction only).</w:t>
      </w:r>
    </w:p>
    <w:p>
      <w:pPr>
        <w:pStyle w:val="Normal"/>
        <w:rPr/>
      </w:pPr>
      <w:r>
        <w:rPr/>
      </w:r>
    </w:p>
    <w:p>
      <w:pPr>
        <w:pStyle w:val="Normal"/>
        <w:tabs>
          <w:tab w:val="left" w:pos="720" w:leader="none"/>
        </w:tabs>
        <w:rPr/>
      </w:pPr>
      <w:r>
        <w:rPr/>
        <w:t>The first two groups of transactions are already included in the existing Market Operations Charge.  The only change in the new charge is the addition of the last group. A SC, who provides A/S through the ISO market and consumes A/S at the same time, will be charged for his sales and purchases.  Self Providers, who also provides and consumes A/S at the same time, will only be charged for one side of their transactions.  Furthermore, they will also have a 50% volume discount applied to their one-sided transactions.  Self Provision arranged under Existing Contracts are treated just like regular Self Provision and require no special GMC treatment.</w:t>
      </w:r>
    </w:p>
    <w:p>
      <w:pPr>
        <w:pStyle w:val="Normal"/>
        <w:tabs>
          <w:tab w:val="left" w:pos="720" w:leader="none"/>
        </w:tabs>
        <w:rPr/>
      </w:pPr>
      <w:r>
        <w:rPr/>
      </w:r>
    </w:p>
    <w:p>
      <w:pPr>
        <w:pStyle w:val="Heading1"/>
        <w:ind w:hanging="0" w:start="0"/>
        <w:rPr/>
      </w:pPr>
      <w:r>
        <w:rPr/>
        <w:t>Charge Calculation</w:t>
      </w:r>
    </w:p>
    <w:p>
      <w:pPr>
        <w:pStyle w:val="Normal"/>
        <w:widowControl/>
        <w:tabs>
          <w:tab w:val="clear" w:pos="720"/>
          <w:tab w:val="left" w:pos="1860" w:leader="none"/>
        </w:tabs>
        <w:autoSpaceDE w:val="false"/>
        <w:rPr>
          <w:rFonts w:cs="Arial"/>
        </w:rPr>
      </w:pPr>
      <w:r>
        <w:rPr>
          <w:rFonts w:cs="Arial"/>
        </w:rPr>
        <w:t>A SC will accrue A/S and Real Time Energy Operations Charge in each hour as governed by the following formula:</w:t>
      </w:r>
    </w:p>
    <w:p>
      <w:pPr>
        <w:pStyle w:val="Normal"/>
        <w:widowControl/>
        <w:tabs>
          <w:tab w:val="clear" w:pos="720"/>
          <w:tab w:val="left" w:pos="1860" w:leader="none"/>
        </w:tabs>
        <w:autoSpaceDE w:val="false"/>
        <w:rPr>
          <w:rFonts w:eastAsia="Arial" w:cs="Arial"/>
        </w:rPr>
      </w:pPr>
      <w:r>
        <w:rPr>
          <w:rFonts w:eastAsia="Arial" w:cs="Arial"/>
        </w:rPr>
        <w:t xml:space="preserve"> </w:t>
      </w:r>
    </w:p>
    <w:p>
      <w:pPr>
        <w:pStyle w:val="Normal"/>
        <w:widowControl/>
        <w:tabs>
          <w:tab w:val="clear" w:pos="720"/>
          <w:tab w:val="left" w:pos="1860" w:leader="none"/>
        </w:tabs>
        <w:autoSpaceDE w:val="false"/>
        <w:rPr/>
      </w:pPr>
      <w:r>
        <w:rPr>
          <w:rFonts w:cs="Arial"/>
        </w:rPr>
        <w:t>ASRTEC</w:t>
      </w:r>
      <w:r>
        <w:rPr>
          <w:rFonts w:cs="Arial"/>
          <w:vertAlign w:val="subscript"/>
        </w:rPr>
        <w:t>jth</w:t>
      </w:r>
      <w:r>
        <w:rPr>
          <w:rFonts w:cs="Arial"/>
        </w:rPr>
        <w:t xml:space="preserve"> = ASRTER * { </w:t>
      </w:r>
      <w:r>
        <w:rPr>
          <w:rFonts w:cs="Arial" w:ascii="Symbol" w:hAnsi="Symbol"/>
        </w:rPr>
        <w:sym w:font="Symbol" w:char="f053"/>
      </w:r>
      <w:r>
        <w:rPr>
          <w:rFonts w:cs="Arial"/>
          <w:vertAlign w:val="subscript"/>
        </w:rPr>
        <w:t xml:space="preserve">r </w:t>
      </w:r>
      <w:r>
        <w:rPr>
          <w:rFonts w:cs="Arial"/>
        </w:rPr>
        <w:t>|ASP</w:t>
      </w:r>
      <w:r>
        <w:rPr>
          <w:rFonts w:cs="Arial"/>
          <w:vertAlign w:val="subscript"/>
        </w:rPr>
        <w:t>jrth</w:t>
      </w:r>
      <w:r>
        <w:rPr>
          <w:rFonts w:cs="Arial"/>
        </w:rPr>
        <w:t xml:space="preserve">| + </w:t>
      </w:r>
      <w:r>
        <w:rPr>
          <w:rFonts w:cs="Arial" w:ascii="Symbol" w:hAnsi="Symbol"/>
        </w:rPr>
        <w:sym w:font="Symbol" w:char="f053"/>
      </w:r>
      <w:r>
        <w:rPr>
          <w:rFonts w:cs="Arial"/>
          <w:vertAlign w:val="subscript"/>
        </w:rPr>
        <w:t xml:space="preserve">z </w:t>
      </w:r>
      <w:r>
        <w:rPr>
          <w:rFonts w:cs="Arial"/>
        </w:rPr>
        <w:t>|ASS</w:t>
      </w:r>
      <w:r>
        <w:rPr>
          <w:rFonts w:cs="Arial"/>
          <w:vertAlign w:val="subscript"/>
        </w:rPr>
        <w:t>jzth</w:t>
      </w:r>
      <w:r>
        <w:rPr>
          <w:rFonts w:cs="Arial"/>
        </w:rPr>
        <w:t xml:space="preserve">| + </w:t>
      </w:r>
      <w:r>
        <w:rPr>
          <w:rFonts w:cs="Arial" w:ascii="Symbol" w:hAnsi="Symbol"/>
        </w:rPr>
        <w:sym w:font="Symbol" w:char="f053"/>
      </w:r>
      <w:r>
        <w:rPr>
          <w:rFonts w:cs="Arial"/>
          <w:vertAlign w:val="subscript"/>
        </w:rPr>
        <w:t>z</w:t>
      </w:r>
      <w:r>
        <w:rPr>
          <w:rFonts w:cs="Arial"/>
        </w:rPr>
        <w:t xml:space="preserve"> |0.5 * ESPAS</w:t>
      </w:r>
      <w:r>
        <w:rPr>
          <w:rFonts w:cs="Arial"/>
          <w:vertAlign w:val="subscript"/>
        </w:rPr>
        <w:t>jzth</w:t>
      </w:r>
      <w:r>
        <w:rPr>
          <w:rFonts w:cs="Arial"/>
        </w:rPr>
        <w:t xml:space="preserve">| + </w:t>
      </w:r>
    </w:p>
    <w:p>
      <w:pPr>
        <w:pStyle w:val="Normal"/>
        <w:widowControl/>
        <w:tabs>
          <w:tab w:val="clear" w:pos="720"/>
          <w:tab w:val="left" w:pos="1860" w:leader="none"/>
        </w:tabs>
        <w:autoSpaceDE w:val="false"/>
        <w:rPr/>
      </w:pPr>
      <w:r>
        <w:rPr>
          <w:rFonts w:eastAsia="Arial" w:cs="Arial"/>
        </w:rPr>
        <w:t xml:space="preserve">                                         </w:t>
      </w:r>
      <w:r>
        <w:rPr>
          <w:rFonts w:cs="Arial" w:ascii="Symbol" w:hAnsi="Symbol"/>
        </w:rPr>
        <w:sym w:font="Symbol" w:char="f053"/>
      </w:r>
      <w:r>
        <w:rPr>
          <w:rFonts w:cs="Arial"/>
          <w:vertAlign w:val="subscript"/>
        </w:rPr>
        <w:t>r</w:t>
      </w:r>
      <w:r>
        <w:rPr>
          <w:rFonts w:cs="Arial" w:ascii="Symbol" w:hAnsi="Symbol"/>
        </w:rPr>
        <w:sym w:font="Symbol" w:char="f053"/>
      </w:r>
      <w:r>
        <w:rPr>
          <w:rFonts w:cs="Arial"/>
          <w:vertAlign w:val="subscript"/>
        </w:rPr>
        <w:t>k</w:t>
      </w:r>
      <w:r>
        <w:rPr>
          <w:rFonts w:cs="Arial"/>
        </w:rPr>
        <w:t xml:space="preserve"> | IIE</w:t>
      </w:r>
      <w:r>
        <w:rPr>
          <w:rFonts w:cs="Arial"/>
          <w:vertAlign w:val="subscript"/>
        </w:rPr>
        <w:t>jrthk</w:t>
      </w:r>
      <w:r>
        <w:rPr>
          <w:rFonts w:cs="Arial"/>
        </w:rPr>
        <w:t xml:space="preserve">| + </w:t>
      </w:r>
      <w:r>
        <w:rPr>
          <w:rFonts w:cs="Arial" w:ascii="Symbol" w:hAnsi="Symbol"/>
        </w:rPr>
        <w:sym w:font="Symbol" w:char="f053"/>
      </w:r>
      <w:r>
        <w:rPr>
          <w:rFonts w:cs="Arial"/>
          <w:vertAlign w:val="subscript"/>
        </w:rPr>
        <w:t>r</w:t>
      </w:r>
      <w:r>
        <w:rPr>
          <w:rFonts w:cs="Arial" w:ascii="Symbol" w:hAnsi="Symbol"/>
        </w:rPr>
        <w:sym w:font="Symbol" w:char="f053"/>
      </w:r>
      <w:r>
        <w:rPr>
          <w:rFonts w:cs="Arial"/>
          <w:vertAlign w:val="subscript"/>
        </w:rPr>
        <w:t>k</w:t>
      </w:r>
      <w:r>
        <w:rPr>
          <w:rFonts w:cs="Arial"/>
        </w:rPr>
        <w:t xml:space="preserve"> |UIE</w:t>
      </w:r>
      <w:r>
        <w:rPr>
          <w:rFonts w:cs="Arial"/>
          <w:vertAlign w:val="subscript"/>
        </w:rPr>
        <w:t>jrthk</w:t>
      </w:r>
      <w:r>
        <w:rPr>
          <w:rFonts w:cs="Arial"/>
        </w:rPr>
        <w:t>| }</w:t>
      </w:r>
    </w:p>
    <w:p>
      <w:pPr>
        <w:pStyle w:val="Normal"/>
        <w:widowControl/>
        <w:tabs>
          <w:tab w:val="clear" w:pos="720"/>
          <w:tab w:val="left" w:pos="1860" w:leader="none"/>
        </w:tabs>
        <w:autoSpaceDE w:val="false"/>
        <w:rPr>
          <w:rFonts w:cs="Arial"/>
        </w:rPr>
      </w:pPr>
      <w:r>
        <w:rPr>
          <w:rFonts w:cs="Arial"/>
        </w:rPr>
        <w:t>where</w:t>
      </w:r>
    </w:p>
    <w:p>
      <w:pPr>
        <w:pStyle w:val="Normal"/>
        <w:widowControl/>
        <w:tabs>
          <w:tab w:val="clear" w:pos="720"/>
          <w:tab w:val="left" w:pos="1860" w:leader="none"/>
        </w:tabs>
        <w:autoSpaceDE w:val="false"/>
        <w:rPr/>
      </w:pPr>
      <w:r>
        <w:rPr>
          <w:rFonts w:cs="Arial"/>
        </w:rPr>
        <w:t>ASRTEC</w:t>
      </w:r>
      <w:r>
        <w:rPr>
          <w:rFonts w:cs="Arial"/>
          <w:vertAlign w:val="subscript"/>
        </w:rPr>
        <w:t>jth</w:t>
      </w:r>
      <w:r>
        <w:rPr>
          <w:rFonts w:cs="Arial"/>
        </w:rPr>
        <w:t xml:space="preserve"> = Ancillary Services and Real-Time Energy Operations Charge</w:t>
      </w:r>
      <w:r>
        <w:rPr>
          <w:rFonts w:cs="Arial"/>
          <w:b/>
          <w:bCs/>
        </w:rPr>
        <w:t xml:space="preserve"> </w:t>
      </w:r>
      <w:r>
        <w:rPr>
          <w:rFonts w:cs="Arial"/>
        </w:rPr>
        <w:t>accrued by SCj on trading date t and trading hour h.</w:t>
      </w:r>
    </w:p>
    <w:p>
      <w:pPr>
        <w:pStyle w:val="Normal"/>
        <w:widowControl/>
        <w:tabs>
          <w:tab w:val="clear" w:pos="720"/>
          <w:tab w:val="left" w:pos="1860" w:leader="none"/>
        </w:tabs>
        <w:autoSpaceDE w:val="false"/>
        <w:rPr>
          <w:rFonts w:cs="Arial"/>
        </w:rPr>
      </w:pPr>
      <w:r>
        <w:rPr>
          <w:rFonts w:cs="Arial"/>
        </w:rPr>
      </w:r>
    </w:p>
    <w:p>
      <w:pPr>
        <w:pStyle w:val="Normal"/>
        <w:widowControl/>
        <w:tabs>
          <w:tab w:val="clear" w:pos="720"/>
          <w:tab w:val="left" w:pos="1860" w:leader="none"/>
        </w:tabs>
        <w:autoSpaceDE w:val="false"/>
        <w:rPr>
          <w:rFonts w:cs="Arial"/>
        </w:rPr>
      </w:pPr>
      <w:r>
        <w:rPr>
          <w:rFonts w:cs="Arial"/>
        </w:rPr>
        <w:t xml:space="preserve">ASRTERR = Rate for Ancillary Services and Real-Time Energy Operations Charge.  This rate will be determined by ISO in accordance with the tariff. </w:t>
      </w:r>
    </w:p>
    <w:p>
      <w:pPr>
        <w:pStyle w:val="Normal"/>
        <w:widowControl/>
        <w:tabs>
          <w:tab w:val="clear" w:pos="720"/>
          <w:tab w:val="left" w:pos="1860" w:leader="none"/>
        </w:tabs>
        <w:autoSpaceDE w:val="false"/>
        <w:rPr>
          <w:rFonts w:cs="Arial"/>
        </w:rPr>
      </w:pPr>
      <w:r>
        <w:rPr>
          <w:rFonts w:cs="Arial"/>
        </w:rPr>
      </w:r>
    </w:p>
    <w:p>
      <w:pPr>
        <w:pStyle w:val="Normal"/>
        <w:widowControl/>
        <w:tabs>
          <w:tab w:val="clear" w:pos="720"/>
          <w:tab w:val="left" w:pos="1860" w:leader="none"/>
        </w:tabs>
        <w:autoSpaceDE w:val="false"/>
        <w:rPr/>
      </w:pPr>
      <w:r>
        <w:rPr>
          <w:rFonts w:cs="Arial"/>
        </w:rPr>
        <w:t>ASP</w:t>
      </w:r>
      <w:r>
        <w:rPr>
          <w:rFonts w:cs="Arial"/>
          <w:vertAlign w:val="subscript"/>
        </w:rPr>
        <w:t>jrth</w:t>
      </w:r>
      <w:r>
        <w:rPr>
          <w:rFonts w:cs="Arial"/>
        </w:rPr>
        <w:t xml:space="preserve"> = Ancillary Service Purchases from SCj for resource r (or zone r) on trading date t and trading hour h, not including self-provision.  This includes the positive billable quantities for charge types 1, 2, 4, 5, 6, 51, 52, 54, 55, and 56, and the negative billable quantities for charge types 111, 112, 114, 115, and 116.  Replacement Reserve Capacity, whose payment has been withheld in Charge Type 24, will be deducted from this amount. </w:t>
      </w:r>
    </w:p>
    <w:p>
      <w:pPr>
        <w:pStyle w:val="Normal"/>
        <w:widowControl/>
        <w:tabs>
          <w:tab w:val="clear" w:pos="720"/>
          <w:tab w:val="left" w:pos="1860" w:leader="none"/>
        </w:tabs>
        <w:autoSpaceDE w:val="false"/>
        <w:rPr>
          <w:rFonts w:cs="Arial"/>
        </w:rPr>
      </w:pPr>
      <w:r>
        <w:rPr>
          <w:rFonts w:cs="Arial"/>
        </w:rPr>
      </w:r>
    </w:p>
    <w:p>
      <w:pPr>
        <w:pStyle w:val="Normal"/>
        <w:widowControl/>
        <w:tabs>
          <w:tab w:val="clear" w:pos="720"/>
          <w:tab w:val="left" w:pos="1860" w:leader="none"/>
        </w:tabs>
        <w:autoSpaceDE w:val="false"/>
        <w:rPr/>
      </w:pPr>
      <w:r>
        <w:rPr>
          <w:rFonts w:cs="Arial"/>
        </w:rPr>
        <w:t>ASS</w:t>
      </w:r>
      <w:r>
        <w:rPr>
          <w:rFonts w:cs="Arial"/>
          <w:vertAlign w:val="subscript"/>
        </w:rPr>
        <w:t xml:space="preserve">jzth </w:t>
      </w:r>
      <w:r>
        <w:rPr>
          <w:rFonts w:cs="Arial"/>
        </w:rPr>
        <w:t xml:space="preserve">= Ancillary Service Sales to SCj in zone z (or at resource r) on trading date t, trading hour h, not including self-provision.  This includes the positive billable quantities for charge types 111, 112, 114, 115, and 116, and the negative billable quantities for charge types 1, 2, 4, 5, 6, 51, 52, 54, 55, and 56.  Surplus Self Provision of Replacement Reserve, whose payment has been withheld in Charge Type 124, will be deducted from this amount.  </w:t>
      </w:r>
    </w:p>
    <w:p>
      <w:pPr>
        <w:pStyle w:val="Normal"/>
        <w:widowControl/>
        <w:tabs>
          <w:tab w:val="clear" w:pos="720"/>
          <w:tab w:val="left" w:pos="1860" w:leader="none"/>
        </w:tabs>
        <w:autoSpaceDE w:val="false"/>
        <w:rPr>
          <w:rFonts w:cs="Arial"/>
        </w:rPr>
      </w:pPr>
      <w:r>
        <w:rPr>
          <w:rFonts w:cs="Arial"/>
        </w:rPr>
      </w:r>
    </w:p>
    <w:p>
      <w:pPr>
        <w:pStyle w:val="Normal"/>
        <w:widowControl/>
        <w:tabs>
          <w:tab w:val="clear" w:pos="720"/>
          <w:tab w:val="left" w:pos="1860" w:leader="none"/>
        </w:tabs>
        <w:autoSpaceDE w:val="false"/>
        <w:rPr/>
      </w:pPr>
      <w:r>
        <w:rPr>
          <w:rFonts w:cs="Arial"/>
        </w:rPr>
        <w:t>ESPAS</w:t>
      </w:r>
      <w:r>
        <w:rPr>
          <w:rFonts w:cs="Arial"/>
          <w:vertAlign w:val="subscript"/>
        </w:rPr>
        <w:t xml:space="preserve">jzth = </w:t>
      </w:r>
      <w:r>
        <w:rPr>
          <w:rFonts w:cs="Arial"/>
        </w:rPr>
        <w:t>Effective Self</w:t>
      </w:r>
      <w:r>
        <w:rPr>
          <w:rFonts w:cs="Arial"/>
          <w:vertAlign w:val="subscript"/>
        </w:rPr>
        <w:t xml:space="preserve"> </w:t>
      </w:r>
      <w:r>
        <w:rPr>
          <w:rFonts w:cs="Arial"/>
        </w:rPr>
        <w:t>Provision of Ancillary Services for SCj in zone z on trading date t, trading hour h.</w:t>
      </w:r>
    </w:p>
    <w:p>
      <w:pPr>
        <w:pStyle w:val="Normal"/>
        <w:widowControl/>
        <w:tabs>
          <w:tab w:val="clear" w:pos="720"/>
          <w:tab w:val="left" w:pos="1860" w:leader="none"/>
        </w:tabs>
        <w:autoSpaceDE w:val="false"/>
        <w:rPr>
          <w:rFonts w:cs="Arial"/>
        </w:rPr>
      </w:pPr>
      <w:r>
        <w:rPr>
          <w:rFonts w:cs="Arial"/>
        </w:rPr>
      </w:r>
    </w:p>
    <w:p>
      <w:pPr>
        <w:pStyle w:val="Normal"/>
        <w:widowControl/>
        <w:tabs>
          <w:tab w:val="clear" w:pos="720"/>
          <w:tab w:val="left" w:pos="1860" w:leader="none"/>
        </w:tabs>
        <w:autoSpaceDE w:val="false"/>
        <w:rPr>
          <w:rFonts w:cs="Arial"/>
          <w:b/>
          <w:bCs/>
          <w:i/>
          <w:i/>
          <w:iCs/>
        </w:rPr>
      </w:pPr>
      <w:r>
        <w:rPr>
          <w:rFonts w:cs="Arial"/>
        </w:rPr>
        <w:t>IIE</w:t>
      </w:r>
      <w:r>
        <w:rPr>
          <w:rFonts w:cs="Arial"/>
          <w:vertAlign w:val="subscript"/>
        </w:rPr>
        <w:t>jrthk</w:t>
      </w:r>
      <w:r>
        <w:rPr>
          <w:rFonts w:cs="Arial"/>
        </w:rPr>
        <w:t xml:space="preserve"> = Instructed Imbalance Energy for SCj at location r on trading date t, trading hour h and subhour interval k.  This value is the net of all IIE per SC per location per interval (i.e. Instructed Energy of different A/S types occurring at the same location</w:t>
      </w:r>
      <w:r>
        <w:rPr>
          <w:rFonts w:cs="Arial"/>
          <w:strike/>
        </w:rPr>
        <w:t>s</w:t>
      </w:r>
      <w:r>
        <w:rPr>
          <w:rFonts w:cs="Arial"/>
        </w:rPr>
        <w:t xml:space="preserve"> during the same interval are netted.).</w:t>
      </w:r>
    </w:p>
    <w:p>
      <w:pPr>
        <w:pStyle w:val="Normal"/>
        <w:widowControl/>
        <w:tabs>
          <w:tab w:val="clear" w:pos="720"/>
          <w:tab w:val="left" w:pos="1860" w:leader="none"/>
        </w:tabs>
        <w:autoSpaceDE w:val="false"/>
        <w:rPr>
          <w:rFonts w:cs="Arial"/>
          <w:b/>
          <w:bCs/>
          <w:i/>
          <w:i/>
          <w:iCs/>
        </w:rPr>
      </w:pPr>
      <w:r>
        <w:rPr>
          <w:rFonts w:cs="Arial"/>
          <w:b/>
          <w:bCs/>
          <w:i/>
          <w:iCs/>
        </w:rPr>
      </w:r>
    </w:p>
    <w:p>
      <w:pPr>
        <w:pStyle w:val="Normal"/>
        <w:widowControl/>
        <w:tabs>
          <w:tab w:val="clear" w:pos="720"/>
          <w:tab w:val="left" w:pos="1860" w:leader="none"/>
        </w:tabs>
        <w:autoSpaceDE w:val="false"/>
        <w:rPr>
          <w:rFonts w:cs="Arial"/>
          <w:sz w:val="20"/>
        </w:rPr>
      </w:pPr>
      <w:r>
        <w:rPr>
          <w:rFonts w:cs="Arial"/>
        </w:rPr>
        <w:t>UIE</w:t>
      </w:r>
      <w:r>
        <w:rPr>
          <w:rFonts w:cs="Arial"/>
          <w:vertAlign w:val="subscript"/>
        </w:rPr>
        <w:t xml:space="preserve">jrthk </w:t>
      </w:r>
      <w:r>
        <w:rPr>
          <w:rFonts w:cs="Arial"/>
        </w:rPr>
        <w:t>= Uninstructed Imbalance Energy for SCj at location r on trading date t, trading hour h and subhour interval k.</w:t>
      </w:r>
    </w:p>
    <w:p>
      <w:pPr>
        <w:pStyle w:val="Normal"/>
        <w:rPr>
          <w:rFonts w:cs="Arial"/>
          <w:sz w:val="20"/>
        </w:rPr>
      </w:pPr>
      <w:r>
        <w:rPr>
          <w:rFonts w:cs="Arial"/>
          <w:sz w:val="20"/>
        </w:rPr>
      </w:r>
    </w:p>
    <w:p>
      <w:pPr>
        <w:pStyle w:val="Heading1"/>
        <w:ind w:hanging="0" w:start="0"/>
        <w:rPr/>
      </w:pPr>
      <w:r>
        <w:rPr/>
        <w:t>Changes to ISO Charge Matrix and Statement Files</w:t>
      </w:r>
    </w:p>
    <w:p>
      <w:pPr>
        <w:pStyle w:val="BodyText"/>
        <w:rPr/>
      </w:pPr>
      <w:r>
        <w:rPr/>
        <w:t>The following changes have been made to the ISO Charge Matrix and Statement Files Specification:</w:t>
      </w:r>
    </w:p>
    <w:p>
      <w:pPr>
        <w:pStyle w:val="BodyText"/>
        <w:numPr>
          <w:ilvl w:val="0"/>
          <w:numId w:val="3"/>
        </w:numPr>
        <w:ind w:hanging="360" w:start="360" w:end="0"/>
        <w:rPr/>
      </w:pPr>
      <w:r>
        <w:rPr/>
        <w:t>The existing Market Operations Charge (CT 523) will be retired on trade date 12/31/2001.  A new Charge Type (CT 524) will be used for the A/S and Real Time Energy Operations Charge.  CT 524, just like CT 523, will be a monthly charge that appears in the statement for the last day of a trade month.  It will take effect in January 2002.</w:t>
      </w:r>
    </w:p>
    <w:p>
      <w:pPr>
        <w:pStyle w:val="BodyText"/>
        <w:numPr>
          <w:ilvl w:val="0"/>
          <w:numId w:val="3"/>
        </w:numPr>
        <w:ind w:hanging="360" w:start="360" w:end="0"/>
        <w:rPr/>
      </w:pPr>
      <w:r>
        <w:rPr/>
        <w:t xml:space="preserve">Additional support data will be added to the “GMC, Wheeling &amp; Market Uplifts Detail File”.   The data will indicate the contribution of the SC’s Effective Self Provision towards the new Charge Type. </w:t>
      </w:r>
    </w:p>
    <w:p>
      <w:pPr>
        <w:pStyle w:val="Heading1"/>
        <w:ind w:hanging="0" w:start="0"/>
        <w:rPr/>
      </w:pPr>
      <w:r>
        <w:rPr/>
        <w:t>Implementation Schedule</w:t>
      </w:r>
    </w:p>
    <w:p>
      <w:pPr>
        <w:pStyle w:val="Header"/>
        <w:widowControl/>
        <w:tabs>
          <w:tab w:val="clear" w:pos="4320"/>
          <w:tab w:val="clear" w:pos="8640"/>
        </w:tabs>
        <w:rPr/>
      </w:pPr>
      <w:r>
        <w:rPr/>
        <w:t xml:space="preserve">The new GMC scheme will take effect on trade date 1/1/2002.  </w:t>
      </w:r>
    </w:p>
    <w:p>
      <w:pPr>
        <w:pStyle w:val="Heading1"/>
        <w:ind w:hanging="0" w:start="0"/>
        <w:rPr/>
      </w:pPr>
      <w:r>
        <w:rPr/>
        <w:t>Questions and Comments</w:t>
      </w:r>
    </w:p>
    <w:p>
      <w:pPr>
        <w:pStyle w:val="BodyTextIndent2"/>
        <w:widowControl/>
        <w:ind w:start="0" w:end="0"/>
        <w:rPr/>
      </w:pPr>
      <w:r>
        <w:rPr/>
        <w:t>Questions and comments are welcome.  Please direct them to Mr. C. P. Ng via email (</w:t>
      </w:r>
      <w:hyperlink r:id="rId2">
        <w:r>
          <w:rPr>
            <w:rStyle w:val="Hyperlink"/>
          </w:rPr>
          <w:t>cng@caiso.com</w:t>
        </w:r>
      </w:hyperlink>
      <w:r>
        <w:rPr/>
        <w:t>).</w:t>
      </w:r>
    </w:p>
    <w:p>
      <w:pPr>
        <w:pStyle w:val="BodyText"/>
        <w:spacing w:before="0" w:after="120"/>
        <w:rPr/>
      </w:pPr>
      <w:r>
        <w:rPr/>
      </w:r>
    </w:p>
    <w:sectPr>
      <w:headerReference w:type="default" r:id="rId3"/>
      <w:footerReference w:type="default" r:id="rId4"/>
      <w:type w:val="nextPage"/>
      <w:pgSz w:w="12240" w:h="15840"/>
      <w:pgMar w:left="1800" w:right="1800" w:gutter="0" w:header="720" w:top="18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CPN    S&amp;B    Mkt Srvc</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drawing>
        <wp:inline distT="0" distB="0" distL="0" distR="0">
          <wp:extent cx="2191385" cy="3194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58" r="-9" b="-58"/>
                  <a:stretch>
                    <a:fillRect/>
                  </a:stretch>
                </pic:blipFill>
                <pic:spPr bwMode="auto">
                  <a:xfrm>
                    <a:off x="0" y="0"/>
                    <a:ext cx="2191385" cy="319405"/>
                  </a:xfrm>
                  <a:prstGeom prst="rect">
                    <a:avLst/>
                  </a:prstGeom>
                  <a:noFill/>
                </pic:spPr>
              </pic:pic>
            </a:graphicData>
          </a:graphic>
        </wp:inline>
      </w:drawing>
    </w: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0"/>
        </w:tabs>
        <w:ind w:start="0" w:hanging="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Bold" w:hAnsi="Arial Bold" w:cs="Arial Bold"/>
      <w:b/>
      <w:kern w:val="2"/>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0" w:start="1152" w:end="0"/>
    </w:pPr>
    <w:rPr>
      <w:rFonts w:ascii="Arial" w:hAnsi="Arial" w:cs="Arial"/>
    </w:rPr>
  </w:style>
  <w:style w:type="paragraph" w:styleId="ListNumber">
    <w:name w:val="List Number"/>
    <w:basedOn w:val="Normal"/>
    <w:qFormat/>
    <w:pPr>
      <w:widowControl/>
      <w:numPr>
        <w:ilvl w:val="0"/>
        <w:numId w:val="2"/>
      </w:numPr>
      <w:spacing w:before="0" w:after="220"/>
      <w:jc w:val="both"/>
    </w:pPr>
    <w:rPr>
      <w:rFonts w:ascii="Arial" w:hAnsi="Arial" w:cs="Arial"/>
    </w:rPr>
  </w:style>
  <w:style w:type="paragraph" w:styleId="Closing">
    <w:name w:val="Closing"/>
    <w:basedOn w:val="Normal"/>
    <w:qFormat/>
    <w:pPr>
      <w:widowControl/>
      <w:spacing w:lineRule="atLeast" w:line="220"/>
      <w:ind w:hanging="0" w:start="840" w:end="-360"/>
    </w:pPr>
    <w:rPr/>
  </w:style>
  <w:style w:type="paragraph" w:styleId="BodyText2">
    <w:name w:val="Body Text 2"/>
    <w:basedOn w:val="Normal"/>
    <w:qFormat/>
    <w:pPr>
      <w:keepNext w:val="true"/>
      <w:widowControl/>
      <w:ind w:hanging="0" w:start="0" w:end="-360"/>
    </w:pPr>
    <w:rPr>
      <w:rFonts w:ascii="Arial" w:hAnsi="Arial" w:cs="Arial"/>
      <w:sz w:val="22"/>
    </w:rPr>
  </w:style>
  <w:style w:type="paragraph" w:styleId="BodyText3">
    <w:name w:val="Body Text 3"/>
    <w:basedOn w:val="Normal"/>
    <w:qFormat/>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ng@caiso.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2002-01-16T22:01:00Z</dcterms:created>
  <dc:creator>Crystal T. Gutenberger</dc:creator>
  <dc:description/>
  <dc:language>en-CA</dc:language>
  <cp:lastModifiedBy>cpng</cp:lastModifiedBy>
  <cp:lastPrinted>2001-11-05T15:20:00Z</cp:lastPrinted>
  <dcterms:modified xsi:type="dcterms:W3CDTF">2002-01-22T14:14:00Z</dcterms:modified>
  <cp:revision>6</cp:revision>
  <dc:subject/>
  <dc:title>Work Item:</dc:title>
</cp:coreProperties>
</file>