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EnronCredit.com  -  Bankruptcy Swap Pricing Methodology</w:t>
      </w:r>
    </w:p>
    <w:p>
      <w:pPr>
        <w:pStyle w:val="Heading"/>
        <w:rPr/>
      </w:pPr>
      <w:r>
        <w:rPr/>
        <w:t>Executive Summary</w:t>
      </w:r>
    </w:p>
    <w:p>
      <w:pPr>
        <w:pStyle w:val="Normal"/>
        <w:rPr/>
      </w:pPr>
      <w:r>
        <w:rPr/>
      </w:r>
    </w:p>
    <w:p>
      <w:pPr>
        <w:pStyle w:val="Normal"/>
        <w:rPr/>
      </w:pPr>
      <w:r>
        <w:rPr/>
      </w:r>
    </w:p>
    <w:p>
      <w:pPr>
        <w:pStyle w:val="Normal"/>
        <w:rPr>
          <w:b/>
        </w:rPr>
      </w:pPr>
      <w:r>
        <w:rPr>
          <w:b/>
        </w:rPr>
        <w:t>Systematic Commercial Pricing Approach:</w:t>
      </w:r>
    </w:p>
    <w:p>
      <w:pPr>
        <w:pStyle w:val="BodyTextIndent2"/>
        <w:rPr>
          <w:sz w:val="24"/>
        </w:rPr>
      </w:pPr>
      <w:r>
        <mc:AlternateContent>
          <mc:Choice Requires="wpg">
            <w:drawing>
              <wp:anchor behindDoc="0" distT="0" distB="0" distL="114935" distR="114935" simplePos="0" locked="0" layoutInCell="0" allowOverlap="1" relativeHeight="2">
                <wp:simplePos x="0" y="0"/>
                <wp:positionH relativeFrom="column">
                  <wp:posOffset>895350</wp:posOffset>
                </wp:positionH>
                <wp:positionV relativeFrom="paragraph">
                  <wp:posOffset>457200</wp:posOffset>
                </wp:positionV>
                <wp:extent cx="4114800" cy="731520"/>
                <wp:effectExtent l="5080" t="5080" r="5080" b="5080"/>
                <wp:wrapTopAndBottom/>
                <wp:docPr id="1" name=""/>
                <a:graphic xmlns:a="http://schemas.openxmlformats.org/drawingml/2006/main">
                  <a:graphicData uri="http://schemas.microsoft.com/office/word/2010/wordprocessingGroup">
                    <wpg:wgp>
                      <wpg:cNvGrpSpPr/>
                      <wpg:grpSpPr>
                        <a:xfrm>
                          <a:off x="0" y="0"/>
                          <a:ext cx="4114800" cy="731520"/>
                          <a:chOff x="0" y="0"/>
                          <a:chExt cx="4114800" cy="731520"/>
                        </a:xfrm>
                      </wpg:grpSpPr>
                      <wps:wsp>
                        <wps:cNvSpPr txBox="1"/>
                        <wps:spPr>
                          <a:xfrm>
                            <a:off x="0" y="0"/>
                            <a:ext cx="1005840" cy="73152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u w:val="single"/>
                                  <w:szCs w:val="20"/>
                                  <w:rFonts w:ascii="Times New Roman" w:hAnsi="Times New Roman" w:eastAsia="Times New Roman" w:cs="Times New Roman"/>
                                  <w:color w:val="auto"/>
                                  <w:lang w:val="en-GB"/>
                                </w:rPr>
                                <w:t>Pricing</w:t>
                              </w:r>
                            </w:p>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16"/>
                                  <w:b/>
                                  <w:szCs w:val="20"/>
                                  <w:rFonts w:ascii="Times New Roman" w:hAnsi="Times New Roman" w:eastAsia="Times New Roman" w:cs="Times New Roman"/>
                                  <w:color w:val="auto"/>
                                  <w:lang w:val="en-GB"/>
                                </w:rPr>
                                <w:t>Generic Credit Market Price Curves</w:t>
                              </w:r>
                            </w:p>
                          </w:txbxContent>
                        </wps:txbx>
                        <wps:bodyPr wrap="square" anchor="t">
                          <a:noAutofit/>
                        </wps:bodyPr>
                      </wps:wsp>
                      <wps:wsp>
                        <wps:cNvSpPr txBox="1"/>
                        <wps:spPr>
                          <a:xfrm>
                            <a:off x="1554480" y="0"/>
                            <a:ext cx="1005840" cy="73152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u w:val="single"/>
                                  <w:szCs w:val="20"/>
                                  <w:rFonts w:ascii="Times New Roman" w:hAnsi="Times New Roman" w:eastAsia="Times New Roman" w:cs="Times New Roman"/>
                                  <w:color w:val="auto"/>
                                  <w:lang w:val="en-GB"/>
                                </w:rPr>
                                <w:t>Placement</w:t>
                              </w:r>
                            </w:p>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16"/>
                                  <w:b/>
                                  <w:szCs w:val="20"/>
                                  <w:rFonts w:ascii="Times New Roman" w:hAnsi="Times New Roman" w:eastAsia="Times New Roman" w:cs="Times New Roman"/>
                                  <w:color w:val="auto"/>
                                  <w:lang w:val="en-GB"/>
                                </w:rPr>
                                <w:t>Individual Placement Relative to Curves</w:t>
                              </w:r>
                            </w:p>
                          </w:txbxContent>
                        </wps:txbx>
                        <wps:bodyPr wrap="square" anchor="t">
                          <a:noAutofit/>
                        </wps:bodyPr>
                      </wps:wsp>
                      <wps:wsp>
                        <wps:cNvSpPr txBox="1"/>
                        <wps:spPr>
                          <a:xfrm>
                            <a:off x="3108960" y="0"/>
                            <a:ext cx="1005840" cy="731520"/>
                          </a:xfrm>
                          <a:prstGeom prst="rect">
                            <a:avLst/>
                          </a:prstGeom>
                          <a:solidFill>
                            <a:srgbClr val="ffffff"/>
                          </a:solidFill>
                          <a:ln w="9360">
                            <a:solidFill>
                              <a:srgbClr val="000000"/>
                            </a:solidFill>
                            <a:miter/>
                          </a:ln>
                        </wps:spPr>
                        <wps:txbx>
                          <w:txbxContent>
                            <w:p>
                              <w:pPr>
                                <w:overflowPunct w:val="false"/>
                                <w:bidi w:val="0"/>
                                <w:jc w:val="center"/>
                                <w:rPr/>
                              </w:pPr>
                              <w:r>
                                <w:rPr>
                                  <w:kern w:val="2"/>
                                  <w:sz w:val="20"/>
                                  <w:b/>
                                  <w:u w:val="single"/>
                                  <w:szCs w:val="20"/>
                                  <w:rFonts w:ascii="Times New Roman" w:hAnsi="Times New Roman" w:eastAsia="Times New Roman" w:cs="Times New Roman"/>
                                  <w:color w:val="auto"/>
                                  <w:lang w:val="en-GB"/>
                                </w:rPr>
                                <w:t>Movement</w:t>
                              </w:r>
                            </w:p>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16"/>
                                  <w:b/>
                                  <w:szCs w:val="20"/>
                                  <w:rFonts w:ascii="Times New Roman" w:hAnsi="Times New Roman" w:eastAsia="Times New Roman" w:cs="Times New Roman"/>
                                  <w:color w:val="auto"/>
                                  <w:lang w:val="en-GB"/>
                                </w:rPr>
                                <w:t>Intra-day Price Adjustments (real-time adj.)</w:t>
                              </w:r>
                            </w:p>
                          </w:txbxContent>
                        </wps:txbx>
                        <wps:bodyPr wrap="square" anchor="t">
                          <a:noAutofit/>
                        </wps:bodyPr>
                      </wps:wsp>
                      <wps:wsp>
                        <wps:cNvSpPr/>
                        <wps:spPr>
                          <a:xfrm>
                            <a:off x="1097280" y="365760"/>
                            <a:ext cx="36576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651760" y="365760"/>
                            <a:ext cx="36576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70.5pt;margin-top:36pt;width:324pt;height:57.6pt" coordorigin="1410,720" coordsize="6480,1152">
                <v:shapetype id="_x0000_t202" coordsize="21600,21600" o:spt="202" path="m,l,21600l21600,21600l21600,xe">
                  <v:stroke joinstyle="miter"/>
                  <v:path gradientshapeok="t" o:connecttype="rect"/>
                </v:shapetype>
                <v:shape id="shape_0" fillcolor="white" stroked="t" o:allowincell="f" style="position:absolute;left:1410;top:720;width:1583;height:1151;mso-wrap-style:square;v-text-anchor:top" type="_x0000_t202">
                  <v:textbox>
                    <w:txbxContent>
                      <w:p>
                        <w:pPr>
                          <w:overflowPunct w:val="false"/>
                          <w:bidi w:val="0"/>
                          <w:jc w:val="center"/>
                          <w:rPr/>
                        </w:pPr>
                        <w:r>
                          <w:rPr>
                            <w:kern w:val="2"/>
                            <w:sz w:val="20"/>
                            <w:b/>
                            <w:u w:val="single"/>
                            <w:szCs w:val="20"/>
                            <w:rFonts w:ascii="Times New Roman" w:hAnsi="Times New Roman" w:eastAsia="Times New Roman" w:cs="Times New Roman"/>
                            <w:color w:val="auto"/>
                            <w:lang w:val="en-GB"/>
                          </w:rPr>
                          <w:t>Pricing</w:t>
                        </w:r>
                      </w:p>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16"/>
                            <w:b/>
                            <w:szCs w:val="20"/>
                            <w:rFonts w:ascii="Times New Roman" w:hAnsi="Times New Roman" w:eastAsia="Times New Roman" w:cs="Times New Roman"/>
                            <w:color w:val="auto"/>
                            <w:lang w:val="en-GB"/>
                          </w:rPr>
                          <w:t>Generic Credit Market Price Curves</w:t>
                        </w:r>
                      </w:p>
                    </w:txbxContent>
                  </v:textbox>
                  <v:fill o:detectmouseclick="t" type="solid" color2="black"/>
                  <v:stroke color="black" weight="9360" joinstyle="miter" endcap="flat"/>
                  <w10:wrap type="topAndBottom"/>
                </v:shape>
                <v:shape id="shape_0" fillcolor="white" stroked="t" o:allowincell="f" style="position:absolute;left:3858;top:720;width:1583;height:1151;mso-wrap-style:square;v-text-anchor:top" type="_x0000_t202">
                  <v:textbox>
                    <w:txbxContent>
                      <w:p>
                        <w:pPr>
                          <w:overflowPunct w:val="false"/>
                          <w:bidi w:val="0"/>
                          <w:jc w:val="center"/>
                          <w:rPr/>
                        </w:pPr>
                        <w:r>
                          <w:rPr>
                            <w:kern w:val="2"/>
                            <w:sz w:val="20"/>
                            <w:b/>
                            <w:u w:val="single"/>
                            <w:szCs w:val="20"/>
                            <w:rFonts w:ascii="Times New Roman" w:hAnsi="Times New Roman" w:eastAsia="Times New Roman" w:cs="Times New Roman"/>
                            <w:color w:val="auto"/>
                            <w:lang w:val="en-GB"/>
                          </w:rPr>
                          <w:t>Placement</w:t>
                        </w:r>
                      </w:p>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16"/>
                            <w:b/>
                            <w:szCs w:val="20"/>
                            <w:rFonts w:ascii="Times New Roman" w:hAnsi="Times New Roman" w:eastAsia="Times New Roman" w:cs="Times New Roman"/>
                            <w:color w:val="auto"/>
                            <w:lang w:val="en-GB"/>
                          </w:rPr>
                          <w:t>Individual Placement Relative to Curves</w:t>
                        </w:r>
                      </w:p>
                    </w:txbxContent>
                  </v:textbox>
                  <v:fill o:detectmouseclick="t" type="solid" color2="black"/>
                  <v:stroke color="black" weight="9360" joinstyle="miter" endcap="flat"/>
                  <w10:wrap type="topAndBottom"/>
                </v:shape>
                <v:shape id="shape_0" fillcolor="white" stroked="t" o:allowincell="f" style="position:absolute;left:6306;top:720;width:1583;height:1151;mso-wrap-style:square;v-text-anchor:top" type="_x0000_t202">
                  <v:textbox>
                    <w:txbxContent>
                      <w:p>
                        <w:pPr>
                          <w:overflowPunct w:val="false"/>
                          <w:bidi w:val="0"/>
                          <w:jc w:val="center"/>
                          <w:rPr/>
                        </w:pPr>
                        <w:r>
                          <w:rPr>
                            <w:kern w:val="2"/>
                            <w:sz w:val="20"/>
                            <w:b/>
                            <w:u w:val="single"/>
                            <w:szCs w:val="20"/>
                            <w:rFonts w:ascii="Times New Roman" w:hAnsi="Times New Roman" w:eastAsia="Times New Roman" w:cs="Times New Roman"/>
                            <w:color w:val="auto"/>
                            <w:lang w:val="en-GB"/>
                          </w:rPr>
                          <w:t>Movement</w:t>
                        </w:r>
                      </w:p>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16"/>
                            <w:b/>
                            <w:szCs w:val="20"/>
                            <w:rFonts w:ascii="Times New Roman" w:hAnsi="Times New Roman" w:eastAsia="Times New Roman" w:cs="Times New Roman"/>
                            <w:color w:val="auto"/>
                            <w:lang w:val="en-GB"/>
                          </w:rPr>
                          <w:t>Intra-day Price Adjustments (real-time adj.)</w:t>
                        </w:r>
                      </w:p>
                    </w:txbxContent>
                  </v:textbox>
                  <v:fill o:detectmouseclick="t" type="solid" color2="black"/>
                  <v:stroke color="black" weight="9360" joinstyle="miter" endcap="flat"/>
                  <w10:wrap type="topAndBottom"/>
                </v:shape>
                <v:line id="shape_0" from="3138,1296" to="3713,1296" stroked="t" o:allowincell="f" style="position:absolute">
                  <v:stroke color="black" weight="9360" endarrow="block" endarrowwidth="medium" endarrowlength="medium" joinstyle="miter" endcap="flat"/>
                  <v:fill o:detectmouseclick="t" on="false"/>
                  <w10:wrap type="topAndBottom"/>
                </v:line>
                <v:line id="shape_0" from="5586,1296" to="6161,1296" stroked="t" o:allowincell="f" style="position:absolute">
                  <v:stroke color="black" weight="9360" endarrow="block" endarrowwidth="medium" endarrowlength="medium" joinstyle="miter" endcap="flat"/>
                  <v:fill o:detectmouseclick="t" on="false"/>
                  <w10:wrap type="topAndBottom"/>
                </v:line>
              </v:group>
            </w:pict>
          </mc:Fallback>
        </mc:AlternateContent>
        <mc:AlternateContent>
          <mc:Choice Requires="wpg">
            <w:drawing>
              <wp:anchor behindDoc="0" distT="0" distB="0" distL="114935" distR="114935" simplePos="0" locked="0" layoutInCell="0" allowOverlap="1" relativeHeight="3">
                <wp:simplePos x="0" y="0"/>
                <wp:positionH relativeFrom="column">
                  <wp:posOffset>438150</wp:posOffset>
                </wp:positionH>
                <wp:positionV relativeFrom="paragraph">
                  <wp:posOffset>1280160</wp:posOffset>
                </wp:positionV>
                <wp:extent cx="5027930" cy="2171065"/>
                <wp:effectExtent l="5080" t="5080" r="5080" b="0"/>
                <wp:wrapTopAndBottom/>
                <wp:docPr id="2" name=""/>
                <a:graphic xmlns:a="http://schemas.openxmlformats.org/drawingml/2006/main">
                  <a:graphicData uri="http://schemas.microsoft.com/office/word/2010/wordprocessingGroup">
                    <wpg:wgp>
                      <wpg:cNvGrpSpPr/>
                      <wpg:grpSpPr>
                        <a:xfrm>
                          <a:off x="0" y="0"/>
                          <a:ext cx="5027760" cy="2171160"/>
                          <a:chOff x="0" y="0"/>
                          <a:chExt cx="5027760" cy="2171160"/>
                        </a:xfrm>
                      </wpg:grpSpPr>
                      <wps:wsp>
                        <wps:cNvPr id="3" name=""/>
                        <wps:cNvSpPr/>
                        <wps:spPr>
                          <a:xfrm>
                            <a:off x="0" y="0"/>
                            <a:ext cx="5027760" cy="2132280"/>
                          </a:xfrm>
                          <a:prstGeom prst="rect">
                            <a:avLst/>
                          </a:prstGeom>
                          <a:noFill/>
                          <a:ln w="9360">
                            <a:solidFill>
                              <a:srgbClr val="000000"/>
                            </a:solidFill>
                            <a:miter/>
                          </a:ln>
                        </wps:spPr>
                        <wps:style>
                          <a:lnRef idx="0"/>
                          <a:fillRef idx="0"/>
                          <a:effectRef idx="0"/>
                          <a:fontRef idx="minor"/>
                        </wps:style>
                        <wps:bodyPr/>
                      </wps:wsp>
                      <wps:wsp>
                        <wps:cNvSpPr/>
                        <wps:spPr>
                          <a:xfrm>
                            <a:off x="227880" y="151920"/>
                            <a:ext cx="1440" cy="1675080"/>
                          </a:xfrm>
                          <a:prstGeom prst="line">
                            <a:avLst/>
                          </a:prstGeom>
                          <a:ln w="9360">
                            <a:solidFill>
                              <a:srgbClr val="000000"/>
                            </a:solidFill>
                            <a:miter/>
                          </a:ln>
                        </wps:spPr>
                        <wps:style>
                          <a:lnRef idx="0"/>
                          <a:fillRef idx="0"/>
                          <a:effectRef idx="0"/>
                          <a:fontRef idx="minor"/>
                        </wps:style>
                        <wps:bodyPr/>
                      </wps:wsp>
                      <wps:wsp>
                        <wps:cNvSpPr/>
                        <wps:spPr>
                          <a:xfrm>
                            <a:off x="227880" y="1827360"/>
                            <a:ext cx="2895120" cy="1440"/>
                          </a:xfrm>
                          <a:prstGeom prst="line">
                            <a:avLst/>
                          </a:prstGeom>
                          <a:ln w="9360">
                            <a:solidFill>
                              <a:srgbClr val="000000"/>
                            </a:solidFill>
                            <a:miter/>
                          </a:ln>
                        </wps:spPr>
                        <wps:style>
                          <a:lnRef idx="0"/>
                          <a:fillRef idx="0"/>
                          <a:effectRef idx="0"/>
                          <a:fontRef idx="minor"/>
                        </wps:style>
                        <wps:bodyPr/>
                      </wps:wsp>
                      <wps:wsp>
                        <wps:cNvPr id="4" name=""/>
                        <wps:cNvSpPr/>
                        <wps:spPr>
                          <a:xfrm flipH="1">
                            <a:off x="380520" y="456480"/>
                            <a:ext cx="2758320" cy="1063080"/>
                          </a:xfrm>
                          <a:custGeom>
                            <a:avLst/>
                            <a:gdLst/>
                            <a:ahLst/>
                            <a:rect l="l" t="t" r="r" b="b"/>
                            <a:pathLst>
                              <a:path stroke="0" w="10181" h="10766">
                                <a:moveTo>
                                  <a:pt x="11654" y="34"/>
                                </a:moveTo>
                                <a:arcTo wR="10800" hR="10800" stAng="-5127814" swAng="3959080"/>
                                <a:lnTo>
                                  <a:pt x="10800" y="10800"/>
                                </a:lnTo>
                                <a:close/>
                              </a:path>
                              <a:path fill="none" w="10181" h="10766">
                                <a:moveTo>
                                  <a:pt x="11654" y="34"/>
                                </a:moveTo>
                                <a:arcTo wR="10800" hR="10800" stAng="-5127814" swAng="3959080"/>
                              </a:path>
                            </a:pathLst>
                          </a:custGeom>
                          <a:noFill/>
                          <a:ln w="19080">
                            <a:solidFill>
                              <a:srgbClr val="993366"/>
                            </a:solidFill>
                            <a:miter/>
                          </a:ln>
                        </wps:spPr>
                        <wps:style>
                          <a:lnRef idx="0"/>
                          <a:fillRef idx="0"/>
                          <a:effectRef idx="0"/>
                          <a:fontRef idx="minor"/>
                        </wps:style>
                        <wps:bodyPr/>
                      </wps:wsp>
                      <wps:wsp>
                        <wps:cNvPr id="5" name=""/>
                        <wps:cNvSpPr/>
                        <wps:spPr>
                          <a:xfrm flipH="1">
                            <a:off x="379800" y="1142280"/>
                            <a:ext cx="2742480" cy="910440"/>
                          </a:xfrm>
                          <a:custGeom>
                            <a:avLst/>
                            <a:gdLst/>
                            <a:ahLst/>
                            <a:rect l="l" t="t" r="r" b="b"/>
                            <a:pathLst>
                              <a:path stroke="0" w="10181" h="10772">
                                <a:moveTo>
                                  <a:pt x="11577" y="28"/>
                                </a:moveTo>
                                <a:arcTo wR="10800" hR="10800" stAng="-5152472" swAng="3983738"/>
                                <a:lnTo>
                                  <a:pt x="10800" y="10800"/>
                                </a:lnTo>
                                <a:close/>
                              </a:path>
                              <a:path fill="none" w="10181" h="10772">
                                <a:moveTo>
                                  <a:pt x="11577" y="28"/>
                                </a:moveTo>
                                <a:arcTo wR="10800" hR="10800" stAng="-5152472" swAng="3983738"/>
                              </a:path>
                            </a:pathLst>
                          </a:custGeom>
                          <a:noFill/>
                          <a:ln w="9360">
                            <a:solidFill>
                              <a:srgbClr val="008000"/>
                            </a:solidFill>
                            <a:miter/>
                          </a:ln>
                        </wps:spPr>
                        <wps:style>
                          <a:lnRef idx="0"/>
                          <a:fillRef idx="0"/>
                          <a:effectRef idx="0"/>
                          <a:fontRef idx="minor"/>
                        </wps:style>
                        <wps:bodyPr/>
                      </wps:wsp>
                      <wps:wsp>
                        <wps:cNvPr id="6" name=""/>
                        <wps:cNvSpPr/>
                        <wps:spPr>
                          <a:xfrm>
                            <a:off x="2971080" y="456480"/>
                            <a:ext cx="75600" cy="685080"/>
                          </a:xfrm>
                          <a:custGeom>
                            <a:avLst/>
                            <a:gdLst>
                              <a:gd name="textAreaLeft" fmla="*/ 0 w 42840"/>
                              <a:gd name="textAreaRight" fmla="*/ 15480 w 42840"/>
                              <a:gd name="textAreaTop" fmla="*/ 10080 h 388440"/>
                              <a:gd name="textAreaBottom" fmla="*/ 378360 h 3884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ff"/>
                            </a:solidFill>
                            <a:miter/>
                          </a:ln>
                        </wps:spPr>
                        <wps:style>
                          <a:lnRef idx="0"/>
                          <a:fillRef idx="0"/>
                          <a:effectRef idx="0"/>
                          <a:fontRef idx="minor"/>
                        </wps:style>
                        <wps:bodyPr/>
                      </wps:wsp>
                      <wps:wsp>
                        <wps:cNvSpPr txBox="1"/>
                        <wps:spPr>
                          <a:xfrm>
                            <a:off x="3123000" y="532080"/>
                            <a:ext cx="1294920" cy="21384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0000FF"/>
                                  <w:lang w:val="en-US" w:eastAsia="en-US"/>
                                </w:rPr>
                                <w:t>Bond Basis Point Spread</w:t>
                              </w:r>
                            </w:p>
                          </w:txbxContent>
                        </wps:txbx>
                        <wps:bodyPr wrap="square" anchor="t">
                          <a:noAutofit/>
                        </wps:bodyPr>
                      </wps:wsp>
                      <wps:wsp>
                        <wps:cNvSpPr/>
                        <wps:spPr>
                          <a:xfrm flipH="1" flipV="1">
                            <a:off x="1675080" y="1294200"/>
                            <a:ext cx="304200" cy="151920"/>
                          </a:xfrm>
                          <a:prstGeom prst="line">
                            <a:avLst/>
                          </a:prstGeom>
                          <a:ln w="9360">
                            <a:solidFill>
                              <a:srgbClr val="008000"/>
                            </a:solidFill>
                            <a:miter/>
                            <a:tailEnd len="med" type="triangle" w="med"/>
                          </a:ln>
                        </wps:spPr>
                        <wps:style>
                          <a:lnRef idx="0"/>
                          <a:fillRef idx="0"/>
                          <a:effectRef idx="0"/>
                          <a:fontRef idx="minor"/>
                        </wps:style>
                        <wps:bodyPr/>
                      </wps:wsp>
                      <wps:wsp>
                        <wps:cNvSpPr txBox="1"/>
                        <wps:spPr>
                          <a:xfrm>
                            <a:off x="1980000" y="1370160"/>
                            <a:ext cx="1218600" cy="2138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008000"/>
                                  <w:lang w:val="en-US" w:eastAsia="en-US"/>
                                </w:rPr>
                                <w:t>Risk Free Rate (LIBOR)</w:t>
                              </w:r>
                            </w:p>
                          </w:txbxContent>
                        </wps:txbx>
                        <wps:bodyPr wrap="square" anchor="t">
                          <a:noAutofit/>
                        </wps:bodyPr>
                      </wps:wsp>
                      <wps:wsp>
                        <wps:cNvPr id="7" name=""/>
                        <wps:cNvSpPr/>
                        <wps:spPr>
                          <a:xfrm>
                            <a:off x="1033200" y="304200"/>
                            <a:ext cx="718920" cy="385560"/>
                          </a:xfrm>
                          <a:custGeom>
                            <a:avLst/>
                            <a:gdLst/>
                            <a:ahLst/>
                            <a:rect l="l" t="t" r="r" b="b"/>
                            <a:pathLst>
                              <a:path w="453" h="243">
                                <a:moveTo>
                                  <a:pt x="133" y="243"/>
                                </a:moveTo>
                                <a:cubicBezTo>
                                  <a:pt x="120" y="226"/>
                                  <a:pt x="0" y="181"/>
                                  <a:pt x="53" y="141"/>
                                </a:cubicBezTo>
                                <a:cubicBezTo>
                                  <a:pt x="106" y="101"/>
                                  <a:pt x="370" y="29"/>
                                  <a:pt x="453" y="0"/>
                                </a:cubicBezTo>
                              </a:path>
                            </a:pathLst>
                          </a:custGeom>
                          <a:noFill/>
                          <a:ln w="9360">
                            <a:solidFill>
                              <a:srgbClr val="993366"/>
                            </a:solidFill>
                            <a:round/>
                            <a:headEnd len="med" type="triangle" w="med"/>
                          </a:ln>
                        </wps:spPr>
                        <wps:style>
                          <a:lnRef idx="0"/>
                          <a:fillRef idx="0"/>
                          <a:effectRef idx="0"/>
                          <a:fontRef idx="minor"/>
                        </wps:style>
                        <wps:bodyPr/>
                      </wps:wsp>
                      <wps:wsp>
                        <wps:cNvSpPr txBox="1"/>
                        <wps:spPr>
                          <a:xfrm>
                            <a:off x="1751400" y="151200"/>
                            <a:ext cx="990000" cy="213840"/>
                          </a:xfrm>
                          <a:prstGeom prst="rect">
                            <a:avLst/>
                          </a:prstGeom>
                          <a:noFill/>
                          <a:ln w="0">
                            <a:noFill/>
                          </a:ln>
                        </wps:spPr>
                        <wps:txbx>
                          <w:txbxContent>
                            <w:p>
                              <w:pPr>
                                <w:overflowPunct w:val="false"/>
                                <w:bidi w:val="0"/>
                                <w:rPr/>
                              </w:pPr>
                              <w:r>
                                <w:rPr>
                                  <w:kern w:val="2"/>
                                  <w:sz w:val="16"/>
                                  <w:szCs w:val="20"/>
                                  <w:rFonts w:ascii="Times New Roman" w:hAnsi="Times New Roman" w:eastAsia="Times New Roman" w:cs="Times New Roman"/>
                                  <w:color w:val="800080"/>
                                  <w:lang w:val="en-US" w:eastAsia="en-US"/>
                                </w:rPr>
                                <w:t>Fair Market Curve</w:t>
                              </w:r>
                            </w:p>
                          </w:txbxContent>
                        </wps:txbx>
                        <wps:bodyPr wrap="square" anchor="t">
                          <a:noAutofit/>
                        </wps:bodyPr>
                      </wps:wsp>
                      <wps:wsp>
                        <wps:cNvSpPr/>
                        <wps:spPr>
                          <a:xfrm>
                            <a:off x="2133000" y="609120"/>
                            <a:ext cx="1440" cy="227880"/>
                          </a:xfrm>
                          <a:prstGeom prst="line">
                            <a:avLst/>
                          </a:prstGeom>
                          <a:ln w="9360">
                            <a:solidFill>
                              <a:srgbClr val="ff0000"/>
                            </a:solidFill>
                            <a:miter/>
                            <a:headEnd len="med" type="oval" w="med"/>
                            <a:tailEnd len="med" type="oval" w="med"/>
                          </a:ln>
                        </wps:spPr>
                        <wps:style>
                          <a:lnRef idx="0"/>
                          <a:fillRef idx="0"/>
                          <a:effectRef idx="0"/>
                          <a:fontRef idx="minor"/>
                        </wps:style>
                        <wps:bodyPr/>
                      </wps:wsp>
                      <wps:wsp>
                        <wps:cNvSpPr/>
                        <wps:spPr>
                          <a:xfrm>
                            <a:off x="2209320" y="761400"/>
                            <a:ext cx="990000" cy="304200"/>
                          </a:xfrm>
                          <a:prstGeom prst="line">
                            <a:avLst/>
                          </a:prstGeom>
                          <a:ln w="9360">
                            <a:solidFill>
                              <a:srgbClr val="ff0000"/>
                            </a:solidFill>
                            <a:miter/>
                            <a:headEnd len="med" type="triangle" w="med"/>
                          </a:ln>
                        </wps:spPr>
                        <wps:style>
                          <a:lnRef idx="0"/>
                          <a:fillRef idx="0"/>
                          <a:effectRef idx="0"/>
                          <a:fontRef idx="minor"/>
                        </wps:style>
                        <wps:bodyPr/>
                      </wps:wsp>
                      <wps:wsp>
                        <wps:cNvSpPr txBox="1"/>
                        <wps:spPr>
                          <a:xfrm>
                            <a:off x="3198960" y="912960"/>
                            <a:ext cx="1828080" cy="1194480"/>
                          </a:xfrm>
                          <a:prstGeom prst="rect">
                            <a:avLst/>
                          </a:prstGeom>
                          <a:noFill/>
                          <a:ln w="0">
                            <a:noFill/>
                          </a:ln>
                        </wps:spPr>
                        <wps:txbx>
                          <w:txbxContent>
                            <w:p>
                              <w:pPr>
                                <w:overflowPunct w:val="false"/>
                                <w:bidi w:val="0"/>
                                <w:rPr/>
                              </w:pPr>
                              <w:r>
                                <w:rPr>
                                  <w:kern w:val="2"/>
                                  <w:sz w:val="16"/>
                                  <w:b/>
                                  <w:szCs w:val="20"/>
                                  <w:rFonts w:ascii="Times New Roman" w:hAnsi="Times New Roman" w:eastAsia="Times New Roman" w:cs="Times New Roman"/>
                                  <w:color w:val="FF0000"/>
                                  <w:lang w:val="en-US" w:eastAsia="en-US"/>
                                </w:rPr>
                                <w:t>Company Bankruptcy Bid / Offer Spread:</w:t>
                              </w:r>
                            </w:p>
                            <w:p>
                              <w:pPr>
                                <w:overflowPunct w:val="false"/>
                                <w:bidi w:val="0"/>
                                <w:rPr/>
                              </w:pPr>
                              <w:r>
                                <w:rPr>
                                  <w:kern w:val="2"/>
                                  <w:sz w:val="16"/>
                                  <w:b/>
                                  <w:szCs w:val="20"/>
                                  <w:rFonts w:ascii="Times New Roman" w:hAnsi="Times New Roman" w:eastAsia="Times New Roman" w:cs="Times New Roman"/>
                                  <w:color w:val="FF0000"/>
                                  <w:lang w:val="en-US" w:eastAsia="en-US"/>
                                </w:rPr>
                                <w:t xml:space="preserve">     Mid-point Adj. Relative to Curve</w:t>
                              </w:r>
                            </w:p>
                            <w:p>
                              <w:pPr>
                                <w:overflowPunct w:val="false"/>
                                <w:bidi w:val="0"/>
                                <w:rPr/>
                              </w:pPr>
                              <w:r>
                                <w:rPr>
                                  <w:kern w:val="2"/>
                                  <w:sz w:val="16"/>
                                  <w:b/>
                                  <w:szCs w:val="20"/>
                                  <w:rFonts w:ascii="Times New Roman" w:hAnsi="Times New Roman" w:eastAsia="Times New Roman" w:cs="Times New Roman"/>
                                  <w:color w:val="FF0000"/>
                                  <w:lang w:val="en-US" w:eastAsia="en-US"/>
                                </w:rPr>
                                <w:t xml:space="preserve">     Bid / Offer Spread Based on </w:t>
                              </w:r>
                            </w:p>
                            <w:p>
                              <w:pPr>
                                <w:overflowPunct w:val="false"/>
                                <w:bidi w:val="0"/>
                                <w:rPr/>
                              </w:pPr>
                              <w:r>
                                <w:rPr>
                                  <w:kern w:val="2"/>
                                  <w:sz w:val="16"/>
                                  <w:b/>
                                  <w:szCs w:val="20"/>
                                  <w:rFonts w:ascii="Times New Roman" w:hAnsi="Times New Roman" w:eastAsia="Times New Roman" w:cs="Times New Roman"/>
                                  <w:color w:val="FF0000"/>
                                  <w:lang w:val="en-US" w:eastAsia="en-US"/>
                                </w:rPr>
                                <w:t xml:space="preserve">          Data Quality and Market</w:t>
                              </w:r>
                            </w:p>
                            <w:p>
                              <w:pPr>
                                <w:overflowPunct w:val="false"/>
                                <w:bidi w:val="0"/>
                                <w:rPr/>
                              </w:pPr>
                              <w:r>
                                <w:rPr>
                                  <w:kern w:val="2"/>
                                  <w:sz w:val="16"/>
                                  <w:b/>
                                  <w:szCs w:val="20"/>
                                  <w:rFonts w:ascii="Times New Roman" w:hAnsi="Times New Roman" w:eastAsia="Times New Roman" w:cs="Times New Roman"/>
                                  <w:color w:val="FF0000"/>
                                  <w:lang w:val="en-US" w:eastAsia="en-US"/>
                                </w:rPr>
                                <w:t xml:space="preserve">     Default to Bankruptcy Correlation</w:t>
                              </w:r>
                            </w:p>
                            <w:p>
                              <w:pPr>
                                <w:overflowPunct w:val="false"/>
                                <w:bidi w:val="0"/>
                                <w:rPr/>
                              </w:pPr>
                              <w:r>
                                <w:rPr>
                                  <w:kern w:val="2"/>
                                  <w:sz w:val="16"/>
                                  <w:b/>
                                  <w:szCs w:val="20"/>
                                  <w:rFonts w:ascii="Times New Roman" w:hAnsi="Times New Roman" w:eastAsia="Times New Roman" w:cs="Times New Roman"/>
                                  <w:color w:val="FF0000"/>
                                  <w:lang w:val="en-US" w:eastAsia="en-US"/>
                                </w:rPr>
                                <w:t xml:space="preserve">     Default Recovery Rates</w:t>
                              </w:r>
                            </w:p>
                          </w:txbxContent>
                        </wps:txbx>
                        <wps:bodyPr wrap="square" anchor="t">
                          <a:noAutofit/>
                        </wps:bodyPr>
                      </wps:wsp>
                      <wps:wsp>
                        <wps:cNvSpPr txBox="1"/>
                        <wps:spPr>
                          <a:xfrm>
                            <a:off x="1141560" y="1903680"/>
                            <a:ext cx="1294920" cy="26748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eastAsia="en-US"/>
                                </w:rPr>
                                <w:t>Time</w:t>
                              </w:r>
                            </w:p>
                          </w:txbxContent>
                        </wps:txbx>
                        <wps:bodyPr wrap="square" anchor="t">
                          <a:noAutofit/>
                        </wps:bodyPr>
                      </wps:wsp>
                      <wps:wsp>
                        <wps:cNvSpPr txBox="1"/>
                        <wps:spPr>
                          <a:xfrm rot="10800000">
                            <a:off x="720" y="379800"/>
                            <a:ext cx="244440" cy="1295280"/>
                          </a:xfrm>
                          <a:prstGeom prst="rect">
                            <a:avLst/>
                          </a:prstGeom>
                          <a:noFill/>
                          <a:ln w="0">
                            <a:noFill/>
                          </a:ln>
                        </wps:spPr>
                        <wps:txbx>
                          <w:txbxContent>
                            <w:p>
                              <w:pPr>
                                <w:overflowPunct w:val="false"/>
                                <w:bidi w:val="0"/>
                                <w:jc w:val="center"/>
                                <w:rPr/>
                              </w:pPr>
                              <w:r>
                                <w:rPr>
                                  <w:kern w:val="2"/>
                                  <w:sz w:val="24"/>
                                  <w:b/>
                                  <w:szCs w:val="20"/>
                                  <w:rFonts w:ascii="Times New Roman" w:hAnsi="Times New Roman" w:eastAsia="Times New Roman" w:cs="Times New Roman"/>
                                  <w:color w:val="000000"/>
                                  <w:lang w:val="en-US" w:eastAsia="en-US"/>
                                </w:rPr>
                                <w:t>Rate</w:t>
                              </w:r>
                            </w:p>
                          </w:txbxContent>
                        </wps:txbx>
                        <wps:bodyPr wrap="square" lIns="45720" rIns="45720" tIns="91440" bIns="91440" anchor="t">
                          <a:noAutofit/>
                        </wps:bodyPr>
                      </wps:wsp>
                    </wpg:wgp>
                  </a:graphicData>
                </a:graphic>
              </wp:anchor>
            </w:drawing>
          </mc:Choice>
          <mc:Fallback>
            <w:pict>
              <v:group id="shape_0" style="position:absolute;margin-left:34.5pt;margin-top:100.8pt;width:395.9pt;height:170.95pt" coordorigin="690,2016" coordsize="7918,3419">
                <v:rect id="shape_0" stroked="t" o:allowincell="f" style="position:absolute;left:690;top:2016;width:7917;height:3357;mso-wrap-style:none;v-text-anchor:middle">
                  <v:fill o:detectmouseclick="t" on="false"/>
                  <v:stroke color="black" weight="9360" joinstyle="miter" endcap="flat"/>
                  <w10:wrap type="topAndBottom"/>
                </v:rect>
                <v:line id="shape_0" from="1049,2255" to="1050,4892" stroked="t" o:allowincell="f" style="position:absolute">
                  <v:stroke color="black" weight="9360" joinstyle="miter" endcap="flat"/>
                  <v:fill o:detectmouseclick="t" on="false"/>
                  <w10:wrap type="topAndBottom"/>
                </v:line>
                <v:line id="shape_0" from="1049,4894" to="5607,4895" stroked="t" o:allowincell="f" style="position:absolute">
                  <v:stroke color="black" weight="9360" joinstyle="miter" endcap="flat"/>
                  <v:fill o:detectmouseclick="t" on="false"/>
                  <w10:wrap type="topAndBottom"/>
                </v:line>
                <v:rect id="shape_0" coordorigin="10800,33" coordsize="10181,10766" path="l0,21600xee" stroked="t" o:allowincell="f" style="position:absolute;left:1289;top:2735;width:4343;height:1673;flip:x;mso-wrap-style:none;v-text-anchor:middle">
                  <v:fill o:detectmouseclick="t" on="false"/>
                  <v:stroke color="#993366" weight="19080" joinstyle="miter" endcap="flat"/>
                  <w10:wrap type="topAndBottom"/>
                </v:rect>
                <v:rect id="shape_0" coordorigin="10800,27" coordsize="10181,10772" path="l0,21600xee" stroked="t" o:allowincell="f" style="position:absolute;left:1288;top:3815;width:4318;height:1433;flip:x;mso-wrap-style:none;v-text-anchor:middle">
                  <v:fill o:detectmouseclick="t" on="false"/>
                  <v:stroke color="green" weight="9360" joinstyle="miter" endcap="flat"/>
                  <w10:wrap type="topAndBottom"/>
                </v:re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left:5369;top:2735;width:118;height:1078;mso-wrap-style:none;v-text-anchor:middle" type="_x0000_t88">
                  <v:fill o:detectmouseclick="t" on="false"/>
                  <v:stroke color="blue" weight="9360" joinstyle="miter" endcap="flat"/>
                  <w10:wrap type="topAndBottom"/>
                </v:shape>
                <v:shape id="shape_0" stroked="f" o:allowincell="f" style="position:absolute;left:5608;top:2854;width:2038;height:336;mso-wrap-style:square;v-text-anchor:top" type="_x0000_t202">
                  <v:textbox>
                    <w:txbxContent>
                      <w:p>
                        <w:pPr>
                          <w:overflowPunct w:val="false"/>
                          <w:bidi w:val="0"/>
                          <w:rPr/>
                        </w:pPr>
                        <w:r>
                          <w:rPr>
                            <w:kern w:val="2"/>
                            <w:sz w:val="16"/>
                            <w:b/>
                            <w:szCs w:val="20"/>
                            <w:rFonts w:ascii="Times New Roman" w:hAnsi="Times New Roman" w:eastAsia="Times New Roman" w:cs="Times New Roman"/>
                            <w:color w:val="0000FF"/>
                            <w:lang w:val="en-US" w:eastAsia="en-US"/>
                          </w:rPr>
                          <w:t>Bond Basis Point Spread</w:t>
                        </w:r>
                      </w:p>
                    </w:txbxContent>
                  </v:textbox>
                  <v:fill o:detectmouseclick="t" on="false"/>
                  <v:stroke color="#3465a4" joinstyle="round" endcap="flat"/>
                  <w10:wrap type="topAndBottom"/>
                </v:shape>
                <v:line id="shape_0" from="3328,4054" to="3806,4292" stroked="t" o:allowincell="f" style="position:absolute;flip:xy">
                  <v:stroke color="green" weight="9360" endarrow="block" endarrowwidth="medium" endarrowlength="medium" joinstyle="miter" endcap="flat"/>
                  <v:fill o:detectmouseclick="t" on="false"/>
                  <w10:wrap type="topAndBottom"/>
                </v:line>
                <v:shape id="shape_0" stroked="f" o:allowincell="f" style="position:absolute;left:3808;top:4174;width:1918;height:336;mso-wrap-style:square;v-text-anchor:top" type="_x0000_t202">
                  <v:textbox>
                    <w:txbxContent>
                      <w:p>
                        <w:pPr>
                          <w:overflowPunct w:val="false"/>
                          <w:bidi w:val="0"/>
                          <w:rPr/>
                        </w:pPr>
                        <w:r>
                          <w:rPr>
                            <w:kern w:val="2"/>
                            <w:sz w:val="16"/>
                            <w:szCs w:val="20"/>
                            <w:rFonts w:ascii="Times New Roman" w:hAnsi="Times New Roman" w:eastAsia="Times New Roman" w:cs="Times New Roman"/>
                            <w:color w:val="008000"/>
                            <w:lang w:val="en-US" w:eastAsia="en-US"/>
                          </w:rPr>
                          <w:t>Risk Free Rate (LIBOR)</w:t>
                        </w:r>
                      </w:p>
                    </w:txbxContent>
                  </v:textbox>
                  <v:fill o:detectmouseclick="t" on="false"/>
                  <v:stroke color="#3465a4" joinstyle="round" endcap="flat"/>
                  <w10:wrap type="topAndBottom"/>
                </v:shape>
                <v:shape id="shape_0" coordsize="453,243" path="m133,243c120,226,0,181,53,141c106,101,370,29,453,0e" stroked="t" o:allowincell="f" style="position:absolute;left:2317;top:2495;width:1131;height:606;mso-wrap-style:none;v-text-anchor:middle">
                  <v:fill o:detectmouseclick="t" on="false"/>
                  <v:stroke color="#993366" weight="9360" startarrow="block" startarrowwidth="medium" startarrowlength="medium" joinstyle="round" endcap="flat"/>
                  <w10:wrap type="topAndBottom"/>
                </v:shape>
                <v:shape id="shape_0" stroked="f" o:allowincell="f" style="position:absolute;left:3448;top:2254;width:1558;height:336;mso-wrap-style:square;v-text-anchor:top" type="_x0000_t202">
                  <v:textbox>
                    <w:txbxContent>
                      <w:p>
                        <w:pPr>
                          <w:overflowPunct w:val="false"/>
                          <w:bidi w:val="0"/>
                          <w:rPr/>
                        </w:pPr>
                        <w:r>
                          <w:rPr>
                            <w:kern w:val="2"/>
                            <w:sz w:val="16"/>
                            <w:szCs w:val="20"/>
                            <w:rFonts w:ascii="Times New Roman" w:hAnsi="Times New Roman" w:eastAsia="Times New Roman" w:cs="Times New Roman"/>
                            <w:color w:val="800080"/>
                            <w:lang w:val="en-US" w:eastAsia="en-US"/>
                          </w:rPr>
                          <w:t>Fair Market Curve</w:t>
                        </w:r>
                      </w:p>
                    </w:txbxContent>
                  </v:textbox>
                  <v:fill o:detectmouseclick="t" on="false"/>
                  <v:stroke color="#3465a4" joinstyle="round" endcap="flat"/>
                  <w10:wrap type="topAndBottom"/>
                </v:shape>
                <v:line id="shape_0" from="4049,2975" to="4050,3333" stroked="t" o:allowincell="f" style="position:absolute">
                  <v:stroke color="red" weight="9360" startarrow="oval" endarrow="oval" startarrowwidth="medium" startarrowlength="medium" endarrowwidth="medium" endarrowlength="medium" joinstyle="miter" endcap="flat"/>
                  <v:fill o:detectmouseclick="t" on="false"/>
                  <w10:wrap type="topAndBottom"/>
                </v:line>
                <v:line id="shape_0" from="4169,3215" to="5727,3693" stroked="t" o:allowincell="f" style="position:absolute">
                  <v:stroke color="red" weight="9360" startarrow="block" startarrowwidth="medium" startarrowlength="medium" joinstyle="miter" endcap="flat"/>
                  <v:fill o:detectmouseclick="t" on="false"/>
                  <w10:wrap type="topAndBottom"/>
                </v:line>
                <v:shape id="shape_0" stroked="f" o:allowincell="f" style="position:absolute;left:5728;top:3454;width:2878;height:1880;mso-wrap-style:square;v-text-anchor:top" type="_x0000_t202">
                  <v:textbox>
                    <w:txbxContent>
                      <w:p>
                        <w:pPr>
                          <w:overflowPunct w:val="false"/>
                          <w:bidi w:val="0"/>
                          <w:rPr/>
                        </w:pPr>
                        <w:r>
                          <w:rPr>
                            <w:kern w:val="2"/>
                            <w:sz w:val="16"/>
                            <w:b/>
                            <w:szCs w:val="20"/>
                            <w:rFonts w:ascii="Times New Roman" w:hAnsi="Times New Roman" w:eastAsia="Times New Roman" w:cs="Times New Roman"/>
                            <w:color w:val="FF0000"/>
                            <w:lang w:val="en-US" w:eastAsia="en-US"/>
                          </w:rPr>
                          <w:t>Company Bankruptcy Bid / Offer Spread:</w:t>
                        </w:r>
                      </w:p>
                      <w:p>
                        <w:pPr>
                          <w:overflowPunct w:val="false"/>
                          <w:bidi w:val="0"/>
                          <w:rPr/>
                        </w:pPr>
                        <w:r>
                          <w:rPr>
                            <w:kern w:val="2"/>
                            <w:sz w:val="16"/>
                            <w:b/>
                            <w:szCs w:val="20"/>
                            <w:rFonts w:ascii="Times New Roman" w:hAnsi="Times New Roman" w:eastAsia="Times New Roman" w:cs="Times New Roman"/>
                            <w:color w:val="FF0000"/>
                            <w:lang w:val="en-US" w:eastAsia="en-US"/>
                          </w:rPr>
                          <w:t xml:space="preserve">     Mid-point Adj. Relative to Curve</w:t>
                        </w:r>
                      </w:p>
                      <w:p>
                        <w:pPr>
                          <w:overflowPunct w:val="false"/>
                          <w:bidi w:val="0"/>
                          <w:rPr/>
                        </w:pPr>
                        <w:r>
                          <w:rPr>
                            <w:kern w:val="2"/>
                            <w:sz w:val="16"/>
                            <w:b/>
                            <w:szCs w:val="20"/>
                            <w:rFonts w:ascii="Times New Roman" w:hAnsi="Times New Roman" w:eastAsia="Times New Roman" w:cs="Times New Roman"/>
                            <w:color w:val="FF0000"/>
                            <w:lang w:val="en-US" w:eastAsia="en-US"/>
                          </w:rPr>
                          <w:t xml:space="preserve">     Bid / Offer Spread Based on </w:t>
                        </w:r>
                      </w:p>
                      <w:p>
                        <w:pPr>
                          <w:overflowPunct w:val="false"/>
                          <w:bidi w:val="0"/>
                          <w:rPr/>
                        </w:pPr>
                        <w:r>
                          <w:rPr>
                            <w:kern w:val="2"/>
                            <w:sz w:val="16"/>
                            <w:b/>
                            <w:szCs w:val="20"/>
                            <w:rFonts w:ascii="Times New Roman" w:hAnsi="Times New Roman" w:eastAsia="Times New Roman" w:cs="Times New Roman"/>
                            <w:color w:val="FF0000"/>
                            <w:lang w:val="en-US" w:eastAsia="en-US"/>
                          </w:rPr>
                          <w:t xml:space="preserve">          Data Quality and Market</w:t>
                        </w:r>
                      </w:p>
                      <w:p>
                        <w:pPr>
                          <w:overflowPunct w:val="false"/>
                          <w:bidi w:val="0"/>
                          <w:rPr/>
                        </w:pPr>
                        <w:r>
                          <w:rPr>
                            <w:kern w:val="2"/>
                            <w:sz w:val="16"/>
                            <w:b/>
                            <w:szCs w:val="20"/>
                            <w:rFonts w:ascii="Times New Roman" w:hAnsi="Times New Roman" w:eastAsia="Times New Roman" w:cs="Times New Roman"/>
                            <w:color w:val="FF0000"/>
                            <w:lang w:val="en-US" w:eastAsia="en-US"/>
                          </w:rPr>
                          <w:t xml:space="preserve">     Default to Bankruptcy Correlation</w:t>
                        </w:r>
                      </w:p>
                      <w:p>
                        <w:pPr>
                          <w:overflowPunct w:val="false"/>
                          <w:bidi w:val="0"/>
                          <w:rPr/>
                        </w:pPr>
                        <w:r>
                          <w:rPr>
                            <w:kern w:val="2"/>
                            <w:sz w:val="16"/>
                            <w:b/>
                            <w:szCs w:val="20"/>
                            <w:rFonts w:ascii="Times New Roman" w:hAnsi="Times New Roman" w:eastAsia="Times New Roman" w:cs="Times New Roman"/>
                            <w:color w:val="FF0000"/>
                            <w:lang w:val="en-US" w:eastAsia="en-US"/>
                          </w:rPr>
                          <w:t xml:space="preserve">     Default Recovery Rates</w:t>
                        </w:r>
                      </w:p>
                    </w:txbxContent>
                  </v:textbox>
                  <v:fill o:detectmouseclick="t" on="false"/>
                  <v:stroke color="#3465a4" joinstyle="round" endcap="flat"/>
                  <w10:wrap type="topAndBottom"/>
                </v:shape>
                <v:shape id="shape_0" stroked="f" o:allowincell="f" style="position:absolute;left:2488;top:5014;width:2038;height:420;mso-wrap-style:square;v-text-anchor:top"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eastAsia="en-US"/>
                          </w:rPr>
                          <w:t>Time</w:t>
                        </w:r>
                      </w:p>
                    </w:txbxContent>
                  </v:textbox>
                  <v:fill o:detectmouseclick="t" on="false"/>
                  <v:stroke color="#3465a4" joinstyle="round" endcap="flat"/>
                  <w10:wrap type="topAndBottom"/>
                </v:shape>
                <v:shape id="shape_0" stroked="f" o:allowincell="f" style="position:absolute;left:691;top:2614;width:384;height:2039;mso-wrap-style:square;v-text-anchor:top;rotation:180" type="_x0000_t202">
                  <v:textbox>
                    <w:txbxContent>
                      <w:p>
                        <w:pPr>
                          <w:overflowPunct w:val="false"/>
                          <w:bidi w:val="0"/>
                          <w:jc w:val="center"/>
                          <w:rPr/>
                        </w:pPr>
                        <w:r>
                          <w:rPr>
                            <w:kern w:val="2"/>
                            <w:sz w:val="24"/>
                            <w:b/>
                            <w:szCs w:val="20"/>
                            <w:rFonts w:ascii="Times New Roman" w:hAnsi="Times New Roman" w:eastAsia="Times New Roman" w:cs="Times New Roman"/>
                            <w:color w:val="000000"/>
                            <w:lang w:val="en-US" w:eastAsia="en-US"/>
                          </w:rPr>
                          <w:t>Rate</w:t>
                        </w:r>
                      </w:p>
                    </w:txbxContent>
                  </v:textbox>
                  <v:fill o:detectmouseclick="t" on="false"/>
                  <v:stroke color="#3465a4" joinstyle="round" endcap="flat"/>
                  <w10:wrap type="topAndBottom"/>
                </v:shape>
              </v:group>
            </w:pict>
          </mc:Fallback>
        </mc:AlternateContent>
      </w:r>
      <w:r>
        <w:rPr>
          <w:sz w:val="24"/>
        </w:rPr>
        <w:t>Conceptually, EnronCredit’s pricing methodology can be broken down into three manageable parts:</w:t>
      </w:r>
    </w:p>
    <w:p>
      <w:pPr>
        <w:pStyle w:val="Normal"/>
        <w:ind w:start="720" w:end="0"/>
        <w:rPr>
          <w:sz w:val="24"/>
        </w:rPr>
      </w:pPr>
      <w:r>
        <w:rPr>
          <w:sz w:val="24"/>
        </w:rPr>
      </w:r>
    </w:p>
    <w:p>
      <w:pPr>
        <w:pStyle w:val="Normal"/>
        <w:ind w:start="426" w:end="0"/>
        <w:rPr/>
      </w:pPr>
      <w:r>
        <w:rPr>
          <w:b/>
          <w:u w:val="single"/>
        </w:rPr>
        <w:t>Pricing</w:t>
      </w:r>
      <w:r>
        <w:rPr/>
        <w:t xml:space="preserve">  -  EnronCredit currently uses Fair Market Curves (FMCs) for 12 industry sectors broken down into 12 rating categories.  These curves are currently calculated from static data.  Effective Jan 1, 2001 these curves will be actively priced and updated, the ambition is that each curve will move to reflect specific industry and the credit levels risk premium.  Development is underway to increase the number of available base curves to over 400 (33 market sectors x 16 ratings bands).  Company-specific curves will be created where data permits.</w:t>
      </w:r>
    </w:p>
    <w:p>
      <w:pPr>
        <w:pStyle w:val="Normal"/>
        <w:ind w:start="720" w:end="0"/>
        <w:rPr/>
      </w:pPr>
      <w:r>
        <w:rPr/>
      </w:r>
    </w:p>
    <w:p>
      <w:pPr>
        <w:pStyle w:val="Normal"/>
        <w:ind w:start="426" w:end="0"/>
        <w:rPr>
          <w:u w:val="single"/>
        </w:rPr>
      </w:pPr>
      <w:r>
        <mc:AlternateContent>
          <mc:Choice Requires="wpg">
            <w:drawing>
              <wp:anchor behindDoc="0" distT="0" distB="0" distL="114935" distR="114935" simplePos="0" locked="0" layoutInCell="0" allowOverlap="1" relativeHeight="4">
                <wp:simplePos x="0" y="0"/>
                <wp:positionH relativeFrom="column">
                  <wp:posOffset>438150</wp:posOffset>
                </wp:positionH>
                <wp:positionV relativeFrom="paragraph">
                  <wp:posOffset>1157605</wp:posOffset>
                </wp:positionV>
                <wp:extent cx="4663440" cy="1371600"/>
                <wp:effectExtent l="5080" t="0" r="5080" b="5080"/>
                <wp:wrapTopAndBottom/>
                <wp:docPr id="8" name=""/>
                <a:graphic xmlns:a="http://schemas.openxmlformats.org/drawingml/2006/main">
                  <a:graphicData uri="http://schemas.microsoft.com/office/word/2010/wordprocessingGroup">
                    <wpg:wgp>
                      <wpg:cNvGrpSpPr/>
                      <wpg:grpSpPr>
                        <a:xfrm>
                          <a:off x="0" y="0"/>
                          <a:ext cx="4663440" cy="1371600"/>
                          <a:chOff x="0" y="0"/>
                          <a:chExt cx="4663440" cy="1371600"/>
                        </a:xfrm>
                      </wpg:grpSpPr>
                      <wps:wsp>
                        <wps:cNvPr id="9" name=""/>
                        <wps:cNvSpPr/>
                        <wps:spPr>
                          <a:xfrm>
                            <a:off x="2926080" y="822960"/>
                            <a:ext cx="91440" cy="457200"/>
                          </a:xfrm>
                          <a:custGeom>
                            <a:avLst/>
                            <a:gdLst>
                              <a:gd name="textAreaLeft" fmla="*/ 0 w 51840"/>
                              <a:gd name="textAreaRight" fmla="*/ 18720 w 51840"/>
                              <a:gd name="textAreaTop" fmla="*/ 6480 h 259200"/>
                              <a:gd name="textAreaBottom" fmla="*/ 252720 h 2592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solidFill>
                            <a:srgbClr val="000000"/>
                          </a:solidFill>
                          <a:ln w="9360">
                            <a:solidFill>
                              <a:srgbClr val="000000"/>
                            </a:solidFill>
                            <a:miter/>
                          </a:ln>
                        </wps:spPr>
                        <wps:style>
                          <a:lnRef idx="0"/>
                          <a:fillRef idx="0"/>
                          <a:effectRef idx="0"/>
                          <a:fontRef idx="minor"/>
                        </wps:style>
                        <wps:bodyPr/>
                      </wps:wsp>
                      <wps:wsp>
                        <wps:cNvSpPr txBox="1"/>
                        <wps:spPr>
                          <a:xfrm>
                            <a:off x="0" y="24840"/>
                            <a:ext cx="1097280" cy="54864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Times New Roman" w:hAnsi="Times New Roman" w:eastAsia="Times New Roman" w:cs="Times New Roman"/>
                                  <w:color w:val="auto"/>
                                  <w:lang w:val="en-GB"/>
                                </w:rPr>
                                <w:t>Bankruptcy Swap Price</w:t>
                              </w:r>
                            </w:p>
                            <w:p>
                              <w:pPr>
                                <w:overflowPunct w:val="false"/>
                                <w:bidi w:val="0"/>
                                <w:jc w:val="center"/>
                                <w:rPr/>
                              </w:pPr>
                              <w:r>
                                <w:rPr>
                                  <w:kern w:val="2"/>
                                  <w:sz w:val="20"/>
                                  <w:szCs w:val="20"/>
                                  <w:rFonts w:ascii="Times New Roman" w:hAnsi="Times New Roman" w:eastAsia="Times New Roman" w:cs="Times New Roman"/>
                                  <w:color w:val="auto"/>
                                  <w:lang w:val="en-GB"/>
                                </w:rPr>
                                <w:t>(mid-point)</w:t>
                              </w:r>
                            </w:p>
                          </w:txbxContent>
                        </wps:txbx>
                        <wps:bodyPr wrap="square" anchor="t">
                          <a:noAutofit/>
                        </wps:bodyPr>
                      </wps:wsp>
                      <wps:wsp>
                        <wps:cNvSpPr txBox="1"/>
                        <wps:spPr>
                          <a:xfrm>
                            <a:off x="1148040" y="0"/>
                            <a:ext cx="274320" cy="548640"/>
                          </a:xfrm>
                          <a:prstGeom prst="rect">
                            <a:avLst/>
                          </a:prstGeom>
                          <a:solidFill>
                            <a:srgbClr val="ffffff"/>
                          </a:solidFill>
                          <a:ln w="0">
                            <a:noFill/>
                          </a:ln>
                        </wps:spPr>
                        <wps:txbx>
                          <w:txbxContent>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24"/>
                                  <w:b/>
                                  <w:szCs w:val="20"/>
                                  <w:rFonts w:ascii="Times New Roman" w:hAnsi="Times New Roman" w:eastAsia="Times New Roman" w:cs="Times New Roman"/>
                                  <w:color w:val="auto"/>
                                  <w:lang w:val="en-GB"/>
                                </w:rPr>
                                <w:t>=</w:t>
                              </w:r>
                            </w:p>
                          </w:txbxContent>
                        </wps:txbx>
                        <wps:bodyPr wrap="square" anchor="t">
                          <a:noAutofit/>
                        </wps:bodyPr>
                      </wps:wsp>
                      <wps:wsp>
                        <wps:cNvSpPr txBox="1"/>
                        <wps:spPr>
                          <a:xfrm>
                            <a:off x="1463040" y="24840"/>
                            <a:ext cx="1463040" cy="54864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Times New Roman" w:hAnsi="Times New Roman" w:eastAsia="Times New Roman" w:cs="Times New Roman"/>
                                  <w:color w:val="auto"/>
                                  <w:lang w:val="en-GB"/>
                                </w:rPr>
                                <w:t>(FMC – Risk Free Rate)</w:t>
                              </w:r>
                            </w:p>
                            <w:p>
                              <w:pPr>
                                <w:overflowPunct w:val="false"/>
                                <w:bidi w:val="0"/>
                                <w:jc w:val="center"/>
                                <w:rPr/>
                              </w:pPr>
                              <w:r>
                                <w:rPr>
                                  <w:kern w:val="2"/>
                                  <w:sz w:val="20"/>
                                  <w:szCs w:val="20"/>
                                  <w:rFonts w:ascii="Times New Roman" w:hAnsi="Times New Roman" w:eastAsia="Times New Roman" w:cs="Times New Roman"/>
                                  <w:color w:val="auto"/>
                                  <w:lang w:val="en-GB"/>
                                </w:rPr>
                                <w:t>------------------------</w:t>
                              </w:r>
                            </w:p>
                            <w:p>
                              <w:pPr>
                                <w:overflowPunct w:val="false"/>
                                <w:bidi w:val="0"/>
                                <w:jc w:val="center"/>
                                <w:rPr/>
                              </w:pPr>
                              <w:r>
                                <w:rPr>
                                  <w:kern w:val="2"/>
                                  <w:sz w:val="20"/>
                                  <w:szCs w:val="20"/>
                                  <w:rFonts w:ascii="Times New Roman" w:hAnsi="Times New Roman" w:eastAsia="Times New Roman" w:cs="Times New Roman"/>
                                  <w:color w:val="auto"/>
                                  <w:lang w:val="en-GB"/>
                                </w:rPr>
                                <w:t>( 1 – Recovery Rate)</w:t>
                              </w:r>
                            </w:p>
                          </w:txbxContent>
                        </wps:txbx>
                        <wps:bodyPr wrap="square" anchor="t">
                          <a:noAutofit/>
                        </wps:bodyPr>
                      </wps:wsp>
                      <wps:wsp>
                        <wps:cNvSpPr txBox="1"/>
                        <wps:spPr>
                          <a:xfrm>
                            <a:off x="2981880" y="8280"/>
                            <a:ext cx="365760" cy="548640"/>
                          </a:xfrm>
                          <a:prstGeom prst="rect">
                            <a:avLst/>
                          </a:prstGeom>
                          <a:noFill/>
                          <a:ln w="0">
                            <a:noFill/>
                          </a:ln>
                        </wps:spPr>
                        <wps:txbx>
                          <w:txbxContent>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24"/>
                                  <w:b/>
                                  <w:szCs w:val="20"/>
                                  <w:rFonts w:ascii="Times New Roman" w:hAnsi="Times New Roman" w:eastAsia="Times New Roman" w:cs="Times New Roman"/>
                                  <w:color w:val="auto"/>
                                  <w:lang w:val="en-GB"/>
                                </w:rPr>
                                <w:t>X</w:t>
                              </w:r>
                            </w:p>
                          </w:txbxContent>
                        </wps:txbx>
                        <wps:bodyPr wrap="square" anchor="t">
                          <a:noAutofit/>
                        </wps:bodyPr>
                      </wps:wsp>
                      <wps:wsp>
                        <wps:cNvSpPr txBox="1"/>
                        <wps:spPr>
                          <a:xfrm>
                            <a:off x="3383280" y="24840"/>
                            <a:ext cx="1280160" cy="548640"/>
                          </a:xfrm>
                          <a:prstGeom prst="rect">
                            <a:avLst/>
                          </a:prstGeom>
                          <a:solidFill>
                            <a:srgbClr val="ffffff"/>
                          </a:solidFill>
                          <a:ln w="9360">
                            <a:solidFill>
                              <a:srgbClr val="000000"/>
                            </a:solidFill>
                            <a:miter/>
                          </a:ln>
                        </wps:spPr>
                        <wps:txbx>
                          <w:txbxContent>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auto"/>
                                  <w:lang w:val="en-GB"/>
                                </w:rPr>
                                <w:t>( 1 – Event Discout)</w:t>
                              </w:r>
                            </w:p>
                          </w:txbxContent>
                        </wps:txbx>
                        <wps:bodyPr wrap="square" anchor="t">
                          <a:noAutofit/>
                        </wps:bodyPr>
                      </wps:wsp>
                      <wps:wsp>
                        <wps:cNvSpPr txBox="1"/>
                        <wps:spPr>
                          <a:xfrm>
                            <a:off x="1280160" y="914400"/>
                            <a:ext cx="457200" cy="365760"/>
                          </a:xfrm>
                          <a:prstGeom prst="rect">
                            <a:avLst/>
                          </a:prstGeom>
                          <a:solidFill>
                            <a:srgbClr val="ffffff"/>
                          </a:solidFill>
                          <a:ln w="0">
                            <a:noFill/>
                          </a:ln>
                        </wps:spPr>
                        <wps:txbx>
                          <w:txbxContent>
                            <w:p>
                              <w:pPr>
                                <w:overflowPunct w:val="false"/>
                                <w:bidi w:val="0"/>
                                <w:rPr/>
                              </w:pPr>
                              <w:r>
                                <w:rPr>
                                  <w:kern w:val="2"/>
                                  <w:sz w:val="24"/>
                                  <w:b/>
                                  <w:szCs w:val="20"/>
                                  <w:rFonts w:ascii="Times New Roman" w:hAnsi="Times New Roman" w:eastAsia="Times New Roman" w:cs="Times New Roman"/>
                                  <w:color w:val="auto"/>
                                  <w:lang w:val="en-GB"/>
                                </w:rPr>
                                <w:t>+ / -</w:t>
                              </w:r>
                            </w:p>
                          </w:txbxContent>
                        </wps:txbx>
                        <wps:bodyPr wrap="square" anchor="t">
                          <a:noAutofit/>
                        </wps:bodyPr>
                      </wps:wsp>
                      <wps:wsp>
                        <wps:cNvSpPr txBox="1"/>
                        <wps:spPr>
                          <a:xfrm>
                            <a:off x="1737360" y="822960"/>
                            <a:ext cx="1188720" cy="457200"/>
                          </a:xfrm>
                          <a:prstGeom prst="rect">
                            <a:avLst/>
                          </a:prstGeom>
                          <a:solidFill>
                            <a:srgbClr val="ffffff"/>
                          </a:solidFill>
                          <a:ln w="9360">
                            <a:solidFill>
                              <a:srgbClr val="000000"/>
                            </a:solidFill>
                            <a:miter/>
                          </a:ln>
                        </wps:spPr>
                        <wps:txbx>
                          <w:txbxContent>
                            <w:p>
                              <w:pPr>
                                <w:overflowPunct w:val="false"/>
                                <w:bidi w:val="0"/>
                                <w:jc w:val="center"/>
                                <w:rPr/>
                              </w:pPr>
                              <w:r>
                                <w:rPr>
                                  <w:kern w:val="2"/>
                                  <w:sz w:val="20"/>
                                  <w:szCs w:val="20"/>
                                  <w:rFonts w:ascii="Times New Roman" w:hAnsi="Times New Roman" w:eastAsia="Times New Roman" w:cs="Times New Roman"/>
                                  <w:color w:val="auto"/>
                                  <w:lang w:val="en-GB"/>
                                </w:rPr>
                                <w:t>Peer Group Adjustments</w:t>
                              </w:r>
                            </w:p>
                          </w:txbxContent>
                        </wps:txbx>
                        <wps:bodyPr wrap="square" anchor="t">
                          <a:noAutofit/>
                        </wps:bodyPr>
                      </wps:wsp>
                      <wps:wsp>
                        <wps:cNvSpPr txBox="1"/>
                        <wps:spPr>
                          <a:xfrm>
                            <a:off x="3108960" y="731520"/>
                            <a:ext cx="1554480" cy="640080"/>
                          </a:xfrm>
                          <a:prstGeom prst="rect">
                            <a:avLst/>
                          </a:prstGeom>
                          <a:solidFill>
                            <a:srgbClr val="ffffff"/>
                          </a:solidFill>
                          <a:ln w="9360">
                            <a:solidFill>
                              <a:srgbClr val="000000"/>
                            </a:solidFill>
                            <a:miter/>
                          </a:ln>
                        </wps:spPr>
                        <wps:txbx>
                          <w:txbxContent>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Rating</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Market Cap</w:t>
                              </w:r>
                            </w:p>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EDF</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LTD/Capital</w:t>
                              </w:r>
                            </w:p>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Eq.Volatility</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ROA</w:t>
                              </w:r>
                            </w:p>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Total Assets</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Country</w:t>
                              </w:r>
                            </w:p>
                          </w:txbxContent>
                        </wps:txbx>
                        <wps:bodyPr wrap="square" anchor="t">
                          <a:noAutofit/>
                        </wps:bodyPr>
                      </wps:wsp>
                    </wpg:wgp>
                  </a:graphicData>
                </a:graphic>
              </wp:anchor>
            </w:drawing>
          </mc:Choice>
          <mc:Fallback>
            <w:pict>
              <v:group id="shape_0" style="position:absolute;margin-left:34.5pt;margin-top:91.15pt;width:367.2pt;height:108pt" coordorigin="690,1823" coordsize="7344,2160">
                <v:shape id="shape_0" fillcolor="black" stroked="t" o:allowincell="f" style="position:absolute;left:5298;top:3119;width:143;height:719;mso-wrap-style:none;v-text-anchor:middle" type="_x0000_t88">
                  <v:fill o:detectmouseclick="t" type="solid" color2="white"/>
                  <v:stroke color="black" weight="9360" joinstyle="miter" endcap="flat"/>
                  <w10:wrap type="topAndBottom"/>
                </v:shape>
                <v:shape id="shape_0" fillcolor="white" stroked="t" o:allowincell="f" style="position:absolute;left:690;top:1862;width:1727;height:863;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GB"/>
                          </w:rPr>
                          <w:t>Bankruptcy Swap Price</w:t>
                        </w:r>
                      </w:p>
                      <w:p>
                        <w:pPr>
                          <w:overflowPunct w:val="false"/>
                          <w:bidi w:val="0"/>
                          <w:jc w:val="center"/>
                          <w:rPr/>
                        </w:pPr>
                        <w:r>
                          <w:rPr>
                            <w:kern w:val="2"/>
                            <w:sz w:val="20"/>
                            <w:szCs w:val="20"/>
                            <w:rFonts w:ascii="Times New Roman" w:hAnsi="Times New Roman" w:eastAsia="Times New Roman" w:cs="Times New Roman"/>
                            <w:color w:val="auto"/>
                            <w:lang w:val="en-GB"/>
                          </w:rPr>
                          <w:t>(mid-point)</w:t>
                        </w:r>
                      </w:p>
                    </w:txbxContent>
                  </v:textbox>
                  <v:fill o:detectmouseclick="t" type="solid" color2="black"/>
                  <v:stroke color="black" weight="9360" joinstyle="miter" endcap="flat"/>
                  <w10:wrap type="topAndBottom"/>
                </v:shape>
                <v:shape id="shape_0" fillcolor="white" stroked="f" o:allowincell="f" style="position:absolute;left:2498;top:1823;width:431;height:863;mso-wrap-style:square;v-text-anchor:top" type="_x0000_t202">
                  <v:textbox>
                    <w:txbxContent>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24"/>
                            <w:b/>
                            <w:szCs w:val="20"/>
                            <w:rFonts w:ascii="Times New Roman" w:hAnsi="Times New Roman" w:eastAsia="Times New Roman" w:cs="Times New Roman"/>
                            <w:color w:val="auto"/>
                            <w:lang w:val="en-GB"/>
                          </w:rPr>
                          <w:t>=</w:t>
                        </w:r>
                      </w:p>
                    </w:txbxContent>
                  </v:textbox>
                  <v:fill o:detectmouseclick="t" type="solid" color2="black"/>
                  <v:stroke color="#3465a4" joinstyle="round" endcap="flat"/>
                  <w10:wrap type="topAndBottom"/>
                </v:shape>
                <v:shape id="shape_0" fillcolor="white" stroked="t" o:allowincell="f" style="position:absolute;left:2994;top:1862;width:2303;height:863;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GB"/>
                          </w:rPr>
                          <w:t>(FMC – Risk Free Rate)</w:t>
                        </w:r>
                      </w:p>
                      <w:p>
                        <w:pPr>
                          <w:overflowPunct w:val="false"/>
                          <w:bidi w:val="0"/>
                          <w:jc w:val="center"/>
                          <w:rPr/>
                        </w:pPr>
                        <w:r>
                          <w:rPr>
                            <w:kern w:val="2"/>
                            <w:sz w:val="20"/>
                            <w:szCs w:val="20"/>
                            <w:rFonts w:ascii="Times New Roman" w:hAnsi="Times New Roman" w:eastAsia="Times New Roman" w:cs="Times New Roman"/>
                            <w:color w:val="auto"/>
                            <w:lang w:val="en-GB"/>
                          </w:rPr>
                          <w:t>------------------------</w:t>
                        </w:r>
                      </w:p>
                      <w:p>
                        <w:pPr>
                          <w:overflowPunct w:val="false"/>
                          <w:bidi w:val="0"/>
                          <w:jc w:val="center"/>
                          <w:rPr/>
                        </w:pPr>
                        <w:r>
                          <w:rPr>
                            <w:kern w:val="2"/>
                            <w:sz w:val="20"/>
                            <w:szCs w:val="20"/>
                            <w:rFonts w:ascii="Times New Roman" w:hAnsi="Times New Roman" w:eastAsia="Times New Roman" w:cs="Times New Roman"/>
                            <w:color w:val="auto"/>
                            <w:lang w:val="en-GB"/>
                          </w:rPr>
                          <w:t>( 1 – Recovery Rate)</w:t>
                        </w:r>
                      </w:p>
                    </w:txbxContent>
                  </v:textbox>
                  <v:fill o:detectmouseclick="t" type="solid" color2="black"/>
                  <v:stroke color="black" weight="9360" joinstyle="miter" endcap="flat"/>
                  <w10:wrap type="topAndBottom"/>
                </v:shape>
                <v:shape id="shape_0" stroked="f" o:allowincell="f" style="position:absolute;left:5386;top:1836;width:575;height:863;mso-wrap-style:square;v-text-anchor:top" type="_x0000_t202">
                  <v:textbox>
                    <w:txbxContent>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24"/>
                            <w:b/>
                            <w:szCs w:val="20"/>
                            <w:rFonts w:ascii="Times New Roman" w:hAnsi="Times New Roman" w:eastAsia="Times New Roman" w:cs="Times New Roman"/>
                            <w:color w:val="auto"/>
                            <w:lang w:val="en-GB"/>
                          </w:rPr>
                          <w:t>X</w:t>
                        </w:r>
                      </w:p>
                    </w:txbxContent>
                  </v:textbox>
                  <v:fill o:detectmouseclick="t" on="false"/>
                  <v:stroke color="#3465a4" joinstyle="round" endcap="flat"/>
                  <w10:wrap type="topAndBottom"/>
                </v:shape>
                <v:shape id="shape_0" fillcolor="white" stroked="t" o:allowincell="f" style="position:absolute;left:6018;top:1862;width:2015;height:863;mso-wrap-style:square;v-text-anchor:top" type="_x0000_t202">
                  <v:textbox>
                    <w:txbxContent>
                      <w:p>
                        <w:pPr>
                          <w:overflowPunct w:val="false"/>
                          <w:bidi w:val="0"/>
                          <w:jc w:val="center"/>
                          <w:rPr/>
                        </w:pPr>
                        <w:r>
                          <w:rPr>
                            <w:szCs w:val="24"/>
                            <w:kern w:val="2"/>
                            <w:rFonts w:cs="NotoSans NF" w:eastAsia="Liberation Sans" w:ascii="Liberation Serif" w:hAnsi="Liberation Serif"/>
                            <w:lang w:val="en-CA"/>
                          </w:rPr>
                        </w:r>
                      </w:p>
                      <w:p>
                        <w:pPr>
                          <w:overflowPunct w:val="false"/>
                          <w:bidi w:val="0"/>
                          <w:jc w:val="center"/>
                          <w:rPr/>
                        </w:pPr>
                        <w:r>
                          <w:rPr>
                            <w:kern w:val="2"/>
                            <w:sz w:val="20"/>
                            <w:szCs w:val="20"/>
                            <w:rFonts w:ascii="Times New Roman" w:hAnsi="Times New Roman" w:eastAsia="Times New Roman" w:cs="Times New Roman"/>
                            <w:color w:val="auto"/>
                            <w:lang w:val="en-GB"/>
                          </w:rPr>
                          <w:t>( 1 – Event Discout)</w:t>
                        </w:r>
                      </w:p>
                    </w:txbxContent>
                  </v:textbox>
                  <v:fill o:detectmouseclick="t" type="solid" color2="black"/>
                  <v:stroke color="black" weight="9360" joinstyle="miter" endcap="flat"/>
                  <w10:wrap type="topAndBottom"/>
                </v:shape>
                <v:shape id="shape_0" fillcolor="white" stroked="f" o:allowincell="f" style="position:absolute;left:2706;top:3263;width:719;height:575;mso-wrap-style:square;v-text-anchor:top" type="_x0000_t202">
                  <v:textbox>
                    <w:txbxContent>
                      <w:p>
                        <w:pPr>
                          <w:overflowPunct w:val="false"/>
                          <w:bidi w:val="0"/>
                          <w:rPr/>
                        </w:pPr>
                        <w:r>
                          <w:rPr>
                            <w:kern w:val="2"/>
                            <w:sz w:val="24"/>
                            <w:b/>
                            <w:szCs w:val="20"/>
                            <w:rFonts w:ascii="Times New Roman" w:hAnsi="Times New Roman" w:eastAsia="Times New Roman" w:cs="Times New Roman"/>
                            <w:color w:val="auto"/>
                            <w:lang w:val="en-GB"/>
                          </w:rPr>
                          <w:t>+ / -</w:t>
                        </w:r>
                      </w:p>
                    </w:txbxContent>
                  </v:textbox>
                  <v:fill o:detectmouseclick="t" type="solid" color2="black"/>
                  <v:stroke color="#3465a4" joinstyle="round" endcap="flat"/>
                  <w10:wrap type="topAndBottom"/>
                </v:shape>
                <v:shape id="shape_0" fillcolor="white" stroked="t" o:allowincell="f" style="position:absolute;left:3426;top:3119;width:1871;height:719;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GB"/>
                          </w:rPr>
                          <w:t>Peer Group Adjustments</w:t>
                        </w:r>
                      </w:p>
                    </w:txbxContent>
                  </v:textbox>
                  <v:fill o:detectmouseclick="t" type="solid" color2="black"/>
                  <v:stroke color="black" weight="9360" joinstyle="miter" endcap="flat"/>
                  <w10:wrap type="topAndBottom"/>
                </v:shape>
                <v:shape id="shape_0" fillcolor="white" stroked="t" o:allowincell="f" style="position:absolute;left:5586;top:2975;width:2447;height:1007;mso-wrap-style:square;v-text-anchor:top" type="_x0000_t202">
                  <v:textbox>
                    <w:txbxContent>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Rating</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Market Cap</w:t>
                        </w:r>
                      </w:p>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EDF</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LTD/Capital</w:t>
                        </w:r>
                      </w:p>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Eq.Volatility</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ROA</w:t>
                        </w:r>
                      </w:p>
                      <w:p>
                        <w:pPr>
                          <w:tabs>
                            <w:tab w:val="left" w:pos="1276" w:leader="none"/>
                          </w:tabs>
                          <w:overflowPunct w:val="false"/>
                          <w:bidi w:val="0"/>
                          <w:rPr/>
                        </w:pPr>
                        <w:r>
                          <w:rPr>
                            <w:kern w:val="2"/>
                            <w:sz w:val="16"/>
                            <w:szCs w:val="20"/>
                            <w:rFonts w:ascii="Times New Roman" w:hAnsi="Times New Roman" w:eastAsia="Times New Roman" w:cs="Times New Roman"/>
                            <w:color w:val="auto"/>
                            <w:lang w:val="en-GB"/>
                          </w:rPr>
                          <w:t>Total Assets</w:t>
                        </w:r>
                        <w:r>
                          <w:rPr>
                            <w:kern w:val="2"/>
                            <w:sz w:val="16"/>
                            <w:szCs w:val="20"/>
                            <w:rFonts w:ascii="Times New Roman" w:hAnsi="Times New Roman" w:eastAsia="Times New Roman" w:cs="Times New Roman"/>
                            <w:color w:val="auto"/>
                            <w:lang w:val="en-GB"/>
                          </w:rPr>
                        </w:r>
                        <w:r>
                          <w:rPr>
                            <w:kern w:val="2"/>
                            <w:sz w:val="16"/>
                            <w:szCs w:val="20"/>
                            <w:rFonts w:ascii="Times New Roman" w:hAnsi="Times New Roman" w:eastAsia="Times New Roman" w:cs="Times New Roman"/>
                            <w:color w:val="auto"/>
                            <w:lang w:val="en-GB"/>
                          </w:rPr>
                          <w:t>Country</w:t>
                        </w:r>
                      </w:p>
                    </w:txbxContent>
                  </v:textbox>
                  <v:fill o:detectmouseclick="t" type="solid" color2="black"/>
                  <v:stroke color="black" weight="9360" joinstyle="miter" endcap="flat"/>
                  <w10:wrap type="topAndBottom"/>
                </v:shape>
              </v:group>
            </w:pict>
          </mc:Fallback>
        </mc:AlternateContent>
      </w:r>
      <w:r>
        <w:rPr>
          <w:b/>
          <w:u w:val="single"/>
        </w:rPr>
        <w:t>Placement</w:t>
      </w:r>
      <w:r>
        <w:rPr/>
        <w:t xml:space="preserve">  -  Placement is affected by two primary parameters:  company position relative to curve peer group, and bankruptcy event correlation to curve event (bond default) trigger.  Additionally, since the bankruptcy swap price quoted is for 100 percent payout, final swap prices are adjusted by recovery rates assumptions implicit in base pricing curves.  The placement process is run weekly at a minimum in order to verify and recalibrate price movement functions.</w:t>
      </w:r>
    </w:p>
    <w:p>
      <w:pPr>
        <w:pStyle w:val="Normal"/>
        <w:ind w:start="1440" w:end="0"/>
        <w:rPr/>
      </w:pPr>
      <w:r>
        <w:rPr/>
        <w:t xml:space="preserve"> </w:t>
      </w:r>
    </w:p>
    <w:p>
      <w:pPr>
        <w:pStyle w:val="Normal"/>
        <w:rPr/>
      </w:pPr>
      <w:r>
        <w:rPr/>
      </w:r>
    </w:p>
    <w:p>
      <w:pPr>
        <w:pStyle w:val="Normal"/>
        <w:ind w:start="720" w:end="0"/>
        <w:rPr/>
      </w:pPr>
      <w:r>
        <w:rPr/>
      </w:r>
    </w:p>
    <w:p>
      <w:pPr>
        <w:pStyle w:val="Normal"/>
        <w:keepNext w:val="true"/>
        <w:keepLines/>
        <w:ind w:start="426" w:end="0"/>
        <w:rPr/>
      </w:pPr>
      <w:r>
        <w:rPr>
          <w:b/>
          <w:u w:val="single"/>
        </w:rPr>
        <w:t>Movement</w:t>
      </w:r>
      <w:r>
        <w:rPr/>
        <w:t xml:space="preserve">  -  Movement functions address several objectives:  </w:t>
      </w:r>
    </w:p>
    <w:p>
      <w:pPr>
        <w:pStyle w:val="Normal"/>
        <w:keepNext w:val="true"/>
        <w:keepLines/>
        <w:ind w:start="720" w:end="0"/>
        <w:rPr>
          <w:u w:val="single"/>
        </w:rPr>
      </w:pPr>
      <w:r>
        <w:rPr>
          <w:u w:val="single"/>
        </w:rPr>
      </w:r>
    </w:p>
    <w:p>
      <w:pPr>
        <w:pStyle w:val="Normal"/>
        <w:keepLines/>
        <w:ind w:hanging="357" w:start="992" w:end="0"/>
        <w:rPr/>
      </w:pPr>
      <w:r>
        <w:rPr>
          <w:i/>
        </w:rPr>
        <w:t>Trader Alerts / Real-Time Price Adjustments:</w:t>
      </w:r>
      <w:r>
        <w:rPr/>
        <w:t xml:space="preserve"> Each priced name has a series of real-time triggers (e.g., equity price moves beyond a 45-day running average; Rating downgrades/ improvements, Debt issuance effecting key ratios, profit warnings, news, etc.) which will cause an alert within the trader information system with recommended price adjustments.  Triggers will also be generated across an entire sector (e.g., changes in a sector index or critical commodity price).  Initially, all triggers will require manual trader responses and verification of new prices.  Future plans are to have the system automatically adjust prices.</w:t>
      </w:r>
    </w:p>
    <w:p>
      <w:pPr>
        <w:pStyle w:val="Normal"/>
        <w:ind w:hanging="360" w:start="993" w:end="0"/>
        <w:rPr/>
      </w:pPr>
      <w:r>
        <w:rPr>
          <w:i/>
        </w:rPr>
        <w:t>Knowledge Capture:</w:t>
      </w:r>
      <w:r>
        <w:rPr/>
        <w:t xml:space="preserve"> Each alert and response is captured along with trader comments and categorisation of price-change drivers (what was the leading cause of price change).  This event history is used to calibrate existing models, provides a training database for future neural net models, and allows identification of process flow improvements.</w:t>
      </w:r>
    </w:p>
    <w:p>
      <w:pPr>
        <w:pStyle w:val="Normal"/>
        <w:ind w:hanging="360" w:start="993" w:end="0"/>
        <w:rPr/>
      </w:pPr>
      <w:r>
        <w:rPr>
          <w:i/>
        </w:rPr>
        <w:t>Management Control and Review:</w:t>
      </w:r>
      <w:r>
        <w:rPr/>
        <w:t xml:space="preserve"> Event capture also allows for overall system monitoring of price movements and process efficiencies.  Examples of management review include consistency of trader decisions (individually, or within the group), timeliness of price adjustments, and correlation of trading or web-site interest in active equity market names.</w:t>
      </w:r>
    </w:p>
    <w:p>
      <w:pPr>
        <w:pStyle w:val="Normal"/>
        <w:ind w:start="720" w:end="0"/>
        <w:rPr/>
      </w:pPr>
      <w:r>
        <w:rPr/>
      </w:r>
    </w:p>
    <w:p>
      <w:pPr>
        <w:pStyle w:val="Normal"/>
        <w:rPr>
          <w:b/>
        </w:rPr>
      </w:pPr>
      <w:r>
        <w:rPr>
          <w:b/>
        </w:rPr>
        <w:t>Individual Pricing Models:</w:t>
      </w:r>
    </w:p>
    <w:p>
      <w:pPr>
        <w:pStyle w:val="Normal"/>
        <w:rPr/>
      </w:pPr>
      <w:r>
        <w:rPr/>
        <w:t>From an academic perspective, pricing is triangulated from five different theoretical approaches (see attached model schematic):</w:t>
      </w:r>
    </w:p>
    <w:p>
      <w:pPr>
        <w:pStyle w:val="Normal"/>
        <w:ind w:start="720" w:end="0"/>
        <w:rPr/>
      </w:pPr>
      <w:r>
        <w:rPr/>
      </w:r>
    </w:p>
    <w:p>
      <w:pPr>
        <w:pStyle w:val="Normal"/>
        <w:ind w:hanging="284" w:start="567" w:end="0"/>
        <w:rPr/>
      </w:pPr>
      <w:r>
        <w:rPr>
          <w:b/>
        </w:rPr>
        <w:t>Reverse-engineering</w:t>
      </w:r>
      <w:r>
        <w:rPr/>
        <w:t xml:space="preserve"> existing liquid credit information (e.g., CDOs, bond prices, etc.) to get bankruptcy prices, adjusting as necessary for liquidity premiums, trigger events or covenants, recovery rates, and company position within peer groups.  See attached EnronCredit white paper on this subject;</w:t>
      </w:r>
    </w:p>
    <w:p>
      <w:pPr>
        <w:pStyle w:val="Normal"/>
        <w:ind w:hanging="284" w:start="567" w:end="0"/>
        <w:rPr/>
      </w:pPr>
      <w:r>
        <w:rPr>
          <w:b/>
        </w:rPr>
        <w:t>Balance sheet</w:t>
      </w:r>
      <w:r>
        <w:rPr/>
        <w:t xml:space="preserve"> and other traditional (sometimes manual) analysis of individual companies to directly estimate equivalent corporate rating or estimate company health;</w:t>
      </w:r>
    </w:p>
    <w:p>
      <w:pPr>
        <w:pStyle w:val="Normal"/>
        <w:ind w:hanging="284" w:start="567" w:end="0"/>
        <w:rPr/>
      </w:pPr>
      <w:r>
        <w:rPr>
          <w:b/>
        </w:rPr>
        <w:t>Required return on portfolio credit investments</w:t>
      </w:r>
      <w:r>
        <w:rPr/>
        <w:t xml:space="preserve"> to estimate floor prices required in order to meet market investment expections;</w:t>
      </w:r>
    </w:p>
    <w:p>
      <w:pPr>
        <w:pStyle w:val="Normal"/>
        <w:ind w:hanging="284" w:start="567" w:end="0"/>
        <w:rPr/>
      </w:pPr>
      <w:r>
        <w:rPr>
          <w:b/>
        </w:rPr>
        <w:t>Peer group associations</w:t>
      </w:r>
      <w:r>
        <w:rPr/>
        <w:t xml:space="preserve"> (using either regression or neural net techniques) which include 3</w:t>
      </w:r>
      <w:r>
        <w:rPr>
          <w:vertAlign w:val="superscript"/>
        </w:rPr>
        <w:t>rd</w:t>
      </w:r>
      <w:r>
        <w:rPr/>
        <w:t xml:space="preserve"> party tools (e.g., expected default frequencies “EDF”; financial stress scores, etc.); and</w:t>
      </w:r>
    </w:p>
    <w:p>
      <w:pPr>
        <w:pStyle w:val="Normal"/>
        <w:ind w:hanging="284" w:start="567" w:end="0"/>
        <w:rPr/>
      </w:pPr>
      <w:r>
        <w:rPr>
          <w:b/>
        </w:rPr>
        <w:t>Continuous learning</w:t>
      </w:r>
      <w:r>
        <w:rPr/>
        <w:t xml:space="preserve"> via knowledge capture, application of neural net methodologies, and recalibration of models.</w:t>
      </w:r>
    </w:p>
    <w:p>
      <w:pPr>
        <w:pStyle w:val="Normal"/>
        <w:ind w:start="720" w:end="0"/>
        <w:rPr/>
      </w:pPr>
      <w:r>
        <w:rPr/>
      </w:r>
    </w:p>
    <w:p>
      <w:pPr>
        <w:pStyle w:val="Normal"/>
        <w:rPr>
          <w:b/>
        </w:rPr>
      </w:pPr>
      <w:r>
        <w:rPr>
          <w:b/>
        </w:rPr>
        <w:t>Risk Management:</w:t>
      </w:r>
    </w:p>
    <w:p>
      <w:pPr>
        <w:pStyle w:val="Normal"/>
        <w:rPr/>
      </w:pPr>
      <w:r>
        <w:rPr/>
        <w:t>Integrated with, but autonomously modelled and managed, the risk management system…. [David Wall to complete section]</w:t>
      </w:r>
    </w:p>
    <w:p>
      <w:pPr>
        <w:pStyle w:val="Normal"/>
        <w:rPr/>
      </w:pPr>
      <w:r>
        <w:rPr/>
      </w:r>
    </w:p>
    <w:p>
      <w:pPr>
        <w:pStyle w:val="Normal"/>
        <w:rPr/>
      </w:pPr>
      <w:r>
        <w:rPr/>
      </w:r>
    </w:p>
    <w:p>
      <w:pPr>
        <w:pStyle w:val="Normal"/>
        <w:rPr/>
      </w:pPr>
      <w:r>
        <w:rPr/>
      </w:r>
    </w:p>
    <w:p>
      <w:pPr>
        <w:pStyle w:val="Normal"/>
        <w:rPr/>
      </w:pPr>
      <w:r>
        <w:rPr/>
      </w:r>
    </w:p>
    <w:p>
      <w:pPr>
        <w:pStyle w:val="Normal"/>
        <w:keepNext w:val="true"/>
        <w:keepLines/>
        <w:rPr>
          <w:b/>
        </w:rPr>
      </w:pPr>
      <w:r>
        <w:rPr>
          <w:b/>
        </w:rPr>
        <w:t>System Integration and Architecture:</w:t>
      </w:r>
    </w:p>
    <w:p>
      <w:pPr>
        <w:pStyle w:val="Normal"/>
        <w:rPr/>
      </w:pPr>
      <w:r>
        <w:rPr/>
        <w:t xml:space="preserve">All system components are reviewed for integration and scalability.  See attached system architecture diagram for relationships.  </w:t>
      </w:r>
    </w:p>
    <w:p>
      <w:pPr>
        <w:pStyle w:val="Normal"/>
        <w:rPr/>
      </w:pPr>
      <w:r>
        <w:rPr/>
      </w:r>
    </w:p>
    <w:p>
      <w:pPr>
        <w:pStyle w:val="Normal"/>
        <w:keepNext w:val="true"/>
        <w:keepLines/>
        <w:rPr>
          <w:b/>
        </w:rPr>
      </w:pPr>
      <w:r>
        <w:rPr>
          <w:b/>
        </w:rPr>
        <w:t>Resources:</w:t>
      </w:r>
    </w:p>
    <w:p>
      <w:pPr>
        <w:pStyle w:val="Normal"/>
        <w:rPr/>
      </w:pPr>
      <w:r>
        <w:rPr/>
        <w:t xml:space="preserve">There are over 30 individuals working full time on pricing system development and implementation.  In addition, there are approximately 10 individuals allocating a significant portion of their time to pricing system support. See attached resource schematic.  </w:t>
      </w:r>
    </w:p>
    <w:p>
      <w:pPr>
        <w:pStyle w:val="Normal"/>
        <w:rPr/>
      </w:pPr>
      <w:r>
        <w:rPr/>
      </w:r>
    </w:p>
    <w:p>
      <w:pPr>
        <w:pStyle w:val="Normal"/>
        <w:rPr/>
      </w:pPr>
      <w:r>
        <w:rPr/>
      </w:r>
    </w:p>
    <w:sectPr>
      <w:footerReference w:type="default" r:id="rId2"/>
      <w:type w:val="nextPage"/>
      <w:pgSz w:w="11906" w:h="16838"/>
      <w:pgMar w:left="1758" w:right="175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13 Oct. 2000</w:t>
      <w:tab/>
      <w:tab/>
      <w:t xml:space="preserve">Page </w:t>
    </w:r>
    <w:r>
      <w:rPr>
        <w:sz w:val="16"/>
      </w:rPr>
      <w:fldChar w:fldCharType="begin"/>
    </w:r>
    <w:r>
      <w:rPr>
        <w:sz w:val="16"/>
      </w:rPr>
      <w:instrText xml:space="preserve"> PAGE </w:instrText>
    </w:r>
    <w:r>
      <w:rPr>
        <w:sz w:val="16"/>
      </w:rPr>
      <w:fldChar w:fldCharType="separate"/>
    </w:r>
    <w:r>
      <w:rPr>
        <w:sz w:val="16"/>
      </w:rPr>
      <w:t>3</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center"/>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jc w:val="center"/>
    </w:pPr>
    <w:rPr/>
  </w:style>
  <w:style w:type="paragraph" w:styleId="BodyTextIndent2">
    <w:name w:val="Body Text Indent 2"/>
    <w:basedOn w:val="Normal"/>
    <w:qFormat/>
    <w:pPr>
      <w:ind w:hanging="0" w:start="426"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2000-10-16T16:39:00Z</dcterms:created>
  <dc:creator>mmumford</dc:creator>
  <dc:description/>
  <dc:language>en-CA</dc:language>
  <cp:lastModifiedBy>mmumford</cp:lastModifiedBy>
  <cp:lastPrinted>2000-10-16T19:13:00Z</cp:lastPrinted>
  <dcterms:modified xsi:type="dcterms:W3CDTF">2000-10-16T16:39:00Z</dcterms:modified>
  <cp:revision>2</cp:revision>
  <dc:subject/>
  <dc:title>EnronCredit</dc:title>
</cp:coreProperties>
</file>