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12.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Corp.,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b/>
          <w:bCs w:val="false"/>
        </w:rPr>
        <w:t>[_______]</w:t>
      </w:r>
      <w:r>
        <w:rPr/>
        <w:t xml:space="preserve"> 2001</w:t>
      </w:r>
    </w:p>
    <w:p>
      <w:pPr>
        <w:pStyle w:val="BodyText2"/>
        <w:rPr/>
      </w:pPr>
      <w:r>
        <w:rPr/>
        <w:t>GE Packaged Power, Inc.</w:t>
      </w:r>
    </w:p>
    <w:p>
      <w:pPr>
        <w:pStyle w:val="BodyText2"/>
        <w:spacing w:before="0" w:after="240"/>
        <w:jc w:val="start"/>
        <w:rPr/>
      </w:pPr>
      <w:r>
        <w:rPr/>
        <w:t>2707 North Loop West</w:t>
        <w:br/>
        <w:t>Houston, Texas  77008</w:t>
      </w:r>
    </w:p>
    <w:p>
      <w:pPr>
        <w:pStyle w:val="BodyText2"/>
        <w:spacing w:before="0" w:after="240"/>
        <w:rPr/>
      </w:pPr>
      <w:r>
        <w:rPr/>
        <w:t>Attn:  Mr. Lee Johnson</w:t>
      </w:r>
    </w:p>
    <w:p>
      <w:pPr>
        <w:pStyle w:val="BodyText"/>
        <w:rPr/>
      </w:pPr>
      <w:r>
        <w:rPr/>
        <w:t>Dear Mr. Johnson:</w:t>
      </w:r>
    </w:p>
    <w:p>
      <w:pPr>
        <w:pStyle w:val="BodyTextFirstIndent"/>
        <w:rPr/>
      </w:pPr>
      <w:r>
        <w:rPr/>
        <w:t xml:space="preserve">Reference is made to the Agreement, dated </w:t>
      </w:r>
      <w:r>
        <w:rPr>
          <w:b/>
          <w:bCs/>
        </w:rPr>
        <w:t>[_____]</w:t>
      </w:r>
      <w:r>
        <w:rPr/>
        <w:t xml:space="preserve"> 2001, between E-Next Generation LLC (“the Purchaser”), acting through its agent, Enron North America Corp. and GE Packaged Power, Inc. (“</w:t>
      </w:r>
      <w:r>
        <w:rPr>
          <w:rStyle w:val="underline"/>
          <w:u w:val="none"/>
        </w:rPr>
        <w:t>GE</w:t>
      </w:r>
      <w:r>
        <w:rPr/>
        <w:t xml:space="preserve">”), a copy of which is attached hereto as </w:t>
      </w:r>
      <w:r>
        <w:rPr>
          <w:rStyle w:val="underline"/>
          <w:u w:val="none"/>
        </w:rPr>
        <w:t>Exhibit A</w:t>
      </w:r>
      <w:r>
        <w:rPr/>
        <w:t xml:space="preserve"> (as modified, supplemented and in effect from time to time, the “</w:t>
      </w:r>
      <w:r>
        <w:rPr>
          <w:rStyle w:val="underline"/>
          <w:u w:val="none"/>
        </w:rPr>
        <w:t>Turbine Contract”)</w:t>
      </w:r>
      <w:r>
        <w:rPr/>
        <w:t xml:space="preserve">.  Unless otherwise specified herein, terms defined in the Turbine Contract are used herein as defined therein after giving effect to this letter agreement.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BodyText"/>
        <w:rPr/>
      </w:pPr>
      <w:r>
        <w:rPr>
          <w:rStyle w:val="underline"/>
          <w:u w:val="none"/>
        </w:rPr>
        <w:t>1.</w:t>
        <w:tab/>
      </w:r>
      <w:r>
        <w:rPr>
          <w:rStyle w:val="underline"/>
        </w:rPr>
        <w:t>Article I</w:t>
      </w:r>
      <w:r>
        <w:rPr/>
        <w:t xml:space="preserve"> of the Turbine Contract shall be deemed amended by inserting the following defined terms in the appropriate alphabetical location:</w:t>
      </w:r>
    </w:p>
    <w:p>
      <w:pPr>
        <w:pStyle w:val="BlockText"/>
        <w:rPr/>
      </w:pPr>
      <w:r>
        <w:rPr/>
        <w:t>“</w:t>
      </w:r>
      <w:r>
        <w:rPr>
          <w:rStyle w:val="underline"/>
        </w:rPr>
        <w:t>Agent</w:t>
      </w:r>
      <w:r>
        <w:rPr/>
        <w:t>. Shall mean Enron North America Corp., a Delaware corporation.”</w:t>
      </w:r>
    </w:p>
    <w:p>
      <w:pPr>
        <w:pStyle w:val="BlockText"/>
        <w:rPr/>
      </w:pPr>
      <w:r>
        <w:rPr/>
        <w:t>“</w:t>
      </w:r>
      <w:r>
        <w:rPr>
          <w:u w:val="single"/>
        </w:rPr>
        <w:t>Transferee</w:t>
      </w:r>
      <w:r>
        <w:rPr/>
        <w:t>.  Shall have the meaning as set forth in Section 22.2.”</w:t>
      </w:r>
    </w:p>
    <w:p>
      <w:pPr>
        <w:pStyle w:val="BlockText"/>
        <w:ind w:hanging="0" w:start="1440" w:end="720"/>
        <w:rPr/>
      </w:pPr>
      <w:r>
        <w:rPr/>
        <w:t>“</w:t>
      </w:r>
      <w:r>
        <w:rPr>
          <w:u w:val="single"/>
        </w:rPr>
        <w:t>Transferred Facility</w:t>
      </w:r>
      <w:r>
        <w:rPr/>
        <w:t>.  Shall have the meaning as set forth in Section 22.2.”</w:t>
      </w:r>
    </w:p>
    <w:p>
      <w:pPr>
        <w:pStyle w:val="BodyText"/>
        <w:rPr/>
      </w:pPr>
      <w:r>
        <w:rPr/>
        <w:t>2.</w:t>
        <w:tab/>
        <w:t xml:space="preserve">The definition of “Lender” set forth in </w:t>
      </w:r>
      <w:r>
        <w:rPr>
          <w:rStyle w:val="underline"/>
        </w:rPr>
        <w:t>Section 1.51</w:t>
      </w:r>
      <w:r>
        <w:rPr/>
        <w:t xml:space="preserve"> of the Turbine Contract shall be deemed amended by inserting the word and punctuation “, Agent” after the word “Purchaser” and deleting the words “or its Affiliate” and inserting the words “or an Affiliate of either” in lieu thereof.</w:t>
      </w:r>
    </w:p>
    <w:p>
      <w:pPr>
        <w:pStyle w:val="BodyText"/>
        <w:rPr/>
      </w:pPr>
      <w:r>
        <w:rPr/>
        <w:t>3.</w:t>
        <w:tab/>
        <w:t xml:space="preserve">The definition of “Power Purchaser” set forth in </w:t>
      </w:r>
      <w:r>
        <w:rPr>
          <w:rStyle w:val="underline"/>
        </w:rPr>
        <w:t>Section 1.71</w:t>
      </w:r>
      <w:r>
        <w:rPr/>
        <w:t xml:space="preserve"> of the Turbine Contract shall be deemed amended by inserting the word and punctuation “, Agent” after the word “Purchaser” set forth in the body of such definition (but not in the term “Power Purchaser”) and deleting the words “or its Affiliate” and inserting the words “or an Affiliate of either” in lieu thereof.</w:t>
      </w:r>
    </w:p>
    <w:p>
      <w:pPr>
        <w:pStyle w:val="BodyText"/>
        <w:rPr/>
      </w:pPr>
      <w:r>
        <w:rPr/>
        <w:t>4.</w:t>
        <w:tab/>
      </w: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BodyText"/>
        <w:rPr/>
      </w:pPr>
      <w:r>
        <w:rPr/>
        <w:t>5.</w:t>
        <w:tab/>
      </w:r>
      <w:r>
        <w:rPr>
          <w:rStyle w:val="underline"/>
        </w:rPr>
        <w:t>Section 5.1</w:t>
      </w:r>
      <w:r>
        <w:rPr/>
        <w:t xml:space="preserve"> of the Turbine Contract shall be deemed amended by deleting the last reference to “Purchaser” in such Section and inserting the word “Agent” in lieu thereof.</w:t>
      </w:r>
    </w:p>
    <w:p>
      <w:pPr>
        <w:pStyle w:val="BodyText"/>
        <w:rPr/>
      </w:pPr>
      <w:r>
        <w:rPr/>
        <w:t>6.</w:t>
        <w:tab/>
      </w:r>
      <w:r>
        <w:rPr>
          <w:rStyle w:val="underline"/>
        </w:rPr>
        <w:t>Section 15.2.2</w:t>
      </w:r>
      <w:r>
        <w:rPr/>
        <w:t xml:space="preserve"> of the Turbine Contract shall be deemed amended by inserting the word and punctuation “, Agent” after the word “Purchaser” set forth in the first sentence of such Section.</w:t>
      </w:r>
    </w:p>
    <w:p>
      <w:pPr>
        <w:pStyle w:val="BodyText"/>
        <w:rPr/>
      </w:pPr>
      <w:r>
        <w:rPr/>
        <w:t>7.</w:t>
        <w:tab/>
      </w:r>
      <w:r>
        <w:rPr>
          <w:rStyle w:val="underline"/>
        </w:rPr>
        <w:t>Section 19.1.11</w:t>
      </w:r>
      <w:r>
        <w:rPr/>
        <w:t xml:space="preserve"> of the Turbine Contract shall be deemed amended by inserting the word and punctuation “, Agent” after the word “Purchaser” set forth in the first sentence of such Section.</w:t>
      </w:r>
    </w:p>
    <w:p>
      <w:pPr>
        <w:pStyle w:val="BodyText"/>
        <w:rPr/>
      </w:pPr>
      <w:r>
        <w:rPr/>
        <w:t>8.</w:t>
        <w:tab/>
      </w: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BodyText"/>
        <w:rPr/>
      </w:pPr>
      <w:r>
        <w:rPr/>
        <w:t>9.</w:t>
        <w:tab/>
      </w:r>
      <w:r>
        <w:rPr>
          <w:rStyle w:val="underline"/>
        </w:rPr>
        <w:t>Article XXI</w:t>
      </w:r>
      <w:r>
        <w:rPr>
          <w:rStyle w:val="underline"/>
          <w:u w:val="none"/>
        </w:rPr>
        <w:t xml:space="preserve"> </w:t>
      </w:r>
      <w:r>
        <w:rPr/>
        <w:t>of the Turbine Contract</w:t>
      </w:r>
      <w:r>
        <w:rPr>
          <w:rStyle w:val="underline"/>
          <w:u w:val="none"/>
        </w:rPr>
        <w:t xml:space="preserve"> shall be deemed amended in its entirety to read as set forth in </w:t>
      </w:r>
      <w:r>
        <w:rPr>
          <w:rStyle w:val="underline"/>
        </w:rPr>
        <w:t>Annex III</w:t>
      </w:r>
      <w:r>
        <w:rPr>
          <w:rStyle w:val="underline"/>
          <w:u w:val="none"/>
        </w:rPr>
        <w:t xml:space="preserve"> hereto and for purposes of interpretation and application of Article XXI (as modified by the letter agreement), the terms “party” and “parties”, except references to “third party”, shall be deemed to include a reference to Agent.</w:t>
      </w:r>
    </w:p>
    <w:p>
      <w:pPr>
        <w:pStyle w:val="BodyText"/>
        <w:rPr/>
      </w:pPr>
      <w:r>
        <w:rPr>
          <w:rStyle w:val="underline"/>
          <w:u w:val="none"/>
        </w:rPr>
        <w:t>10.</w:t>
        <w:tab/>
      </w:r>
      <w:r>
        <w:rPr>
          <w:rStyle w:val="underline"/>
        </w:rPr>
        <w:t>Section 22.2</w:t>
      </w:r>
      <w:r>
        <w:rPr/>
        <w:t xml:space="preserve"> of the Turbine Contract shall be deemed amended in its entirety to read as set forth on </w:t>
      </w:r>
      <w:r>
        <w:rPr>
          <w:rStyle w:val="underline"/>
        </w:rPr>
        <w:t>Annex IV</w:t>
      </w:r>
      <w:r>
        <w:rPr/>
        <w:t xml:space="preserve"> hereto.</w:t>
      </w:r>
    </w:p>
    <w:p>
      <w:pPr>
        <w:pStyle w:val="BodyText"/>
        <w:rPr/>
      </w:pPr>
      <w:r>
        <w:rPr/>
        <w:t>11.</w:t>
        <w:tab/>
      </w:r>
      <w:r>
        <w:rPr>
          <w:u w:val="single"/>
        </w:rPr>
        <w:t>Sections 26.4</w:t>
      </w:r>
      <w:r>
        <w:rPr/>
        <w:t xml:space="preserve"> and </w:t>
      </w:r>
      <w:r>
        <w:rPr>
          <w:u w:val="single"/>
        </w:rPr>
        <w:t>26.5</w:t>
      </w:r>
      <w:r>
        <w:rPr/>
        <w:t xml:space="preserve"> of the Turbine Contract shall be deemed amended in their entirety to read as set forth on </w:t>
      </w:r>
      <w:r>
        <w:rPr>
          <w:u w:val="single"/>
        </w:rPr>
        <w:t>Annex V</w:t>
      </w:r>
      <w:r>
        <w:rPr/>
        <w:t xml:space="preserve"> hereto.</w:t>
      </w:r>
    </w:p>
    <w:p>
      <w:pPr>
        <w:pStyle w:val="BodyText"/>
        <w:rPr/>
      </w:pPr>
      <w:r>
        <w:rPr/>
        <w:t>12.</w:t>
        <w:tab/>
      </w:r>
      <w:r>
        <w:rPr>
          <w:rStyle w:val="underline"/>
        </w:rPr>
        <w:t>Article 28</w:t>
      </w:r>
      <w:r>
        <w:rPr>
          <w:rStyle w:val="underline"/>
          <w:u w:val="none"/>
        </w:rPr>
        <w:t xml:space="preserve"> of the Turbine Contract shall be deemed amended by deleting the first reference to “Purchaser” in the third sentence and inserting the word “Agent” in lieu thereof.</w:t>
      </w:r>
    </w:p>
    <w:p>
      <w:pPr>
        <w:pStyle w:val="BodyText"/>
        <w:rPr/>
      </w:pPr>
      <w:r>
        <w:rPr>
          <w:rStyle w:val="underline"/>
          <w:u w:val="none"/>
        </w:rPr>
        <w:t>13.</w:t>
        <w:tab/>
      </w:r>
      <w:r>
        <w:rPr>
          <w:rStyle w:val="underline"/>
        </w:rPr>
        <w:t>Section 30.7</w:t>
      </w:r>
      <w:r>
        <w:rPr/>
        <w:t xml:space="preserve"> of the Turbine Contract shall be deemed amended by inserting the word and punctuation “, Agent” after the word “Purchaser” set forth in such Section.</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unaffiliated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 xml:space="preserve">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w:t>
      </w:r>
      <w:r>
        <w:rPr>
          <w:u w:val="single"/>
        </w:rPr>
        <w:t>Article XXV</w:t>
      </w:r>
      <w:r>
        <w:rPr/>
        <w:t>I of the Turbine Contract.</w:t>
      </w:r>
    </w:p>
    <w:p>
      <w:pPr>
        <w:pStyle w:val="BodyTextFirstIndent"/>
        <w:rPr/>
      </w:pPr>
      <w:r>
        <w:rPr/>
        <w:t xml:space="preserve">All notices to the Agent shall be delivered to the address set forth above in accordance with </w:t>
      </w:r>
      <w:r>
        <w:rPr>
          <w:u w:val="single"/>
        </w:rPr>
        <w:t>Article XXV</w:t>
      </w:r>
      <w:r>
        <w:rPr/>
        <w:t xml:space="preserve"> of the Turbine Contract.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bCs w:val="false"/>
        </w:rPr>
      </w:pPr>
      <w:r>
        <w:rPr/>
        <w:t>ARTICLE II.  RESPONSIBILITIES OF PURCHASER AND AGENT</w:t>
        <w:br/>
      </w:r>
    </w:p>
    <w:p>
      <w:pPr>
        <w:pStyle w:val="BodyText"/>
        <w:rPr/>
      </w:pPr>
      <w:r>
        <w:rPr>
          <w:rStyle w:val="underline"/>
          <w:u w:val="none"/>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5"/>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5"/>
        <w:ind w:hanging="0" w:start="0"/>
        <w:rPr/>
      </w:pPr>
      <w:r>
        <w:rPr/>
        <w:t xml:space="preserve">Agent shall deliver a Notice within thirty (30) Days of the latest date of signature of this Agreement to Seller identifying such persons within Agent’s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rStyle w:val="underline"/>
          <w:u w:val="none"/>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numPr>
          <w:ilvl w:val="4"/>
          <w:numId w:val="7"/>
        </w:numPr>
        <w:ind w:hanging="0" w:start="0"/>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5"/>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Seller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5"/>
        <w:ind w:hanging="0" w:start="0"/>
        <w:rPr/>
      </w:pPr>
      <w:r>
        <w:rPr/>
        <w:t>The indemnitor’s contractual obligation of indemnification under this Agreement is subject to the conditions precedent that:</w:t>
      </w:r>
    </w:p>
    <w:p>
      <w:pPr>
        <w:pStyle w:val="BodyText"/>
        <w:ind w:hanging="720" w:start="2160" w:end="0"/>
        <w:rPr/>
      </w:pPr>
      <w:r>
        <w:rPr/>
        <w:t>(i)</w:t>
        <w:tab/>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BodyText"/>
        <w:ind w:hanging="720" w:start="2160" w:end="0"/>
        <w:rPr/>
      </w:pPr>
      <w:r>
        <w:rPr/>
        <w:t>(ii)</w:t>
        <w:tab/>
        <w:t>the party with the duty to indemnify shall thereafter have the right to participate in the investigation, defense and resolution of such third party claim; and</w:t>
      </w:r>
    </w:p>
    <w:p>
      <w:pPr>
        <w:pStyle w:val="BodyText"/>
        <w:ind w:hanging="720" w:start="2160" w:end="0"/>
        <w:rPr/>
      </w:pPr>
      <w:r>
        <w:rPr/>
        <w:t>(iii)</w:t>
        <w:tab/>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5"/>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Caption"/>
        <w:spacing w:before="0" w:after="240"/>
        <w:rPr/>
      </w:pPr>
      <w:r>
        <w:rPr/>
        <w:t>ARTICLE XXI.  NON-DISCLOSURE OF INFORMATION</w:t>
      </w:r>
    </w:p>
    <w:p>
      <w:pPr>
        <w:pStyle w:val="BodyText"/>
        <w:rPr>
          <w:vanish/>
        </w:rPr>
      </w:pPr>
      <w:r>
        <w:rPr/>
        <w:t>21.1.</w:t>
        <w:tab/>
      </w:r>
      <w:r>
        <w:rPr>
          <w:u w:val="single"/>
        </w:rPr>
        <w:t>Proprietary Information</w:t>
      </w:r>
      <w:commentRangeStart w:id="0"/>
      <w:r>
        <w:rPr>
          <w:vanish/>
          <w:color w:val="FF0000"/>
        </w:rPr>
        <w:t>»</w:t>
      </w:r>
      <w:commentRangeEnd w:id="0"/>
      <w:r>
        <w:commentReference w:id="0"/>
      </w:r>
      <w:r>
        <w:rPr>
          <w:vanish w:val="false"/>
        </w:rPr>
      </w:r>
    </w:p>
    <w:p>
      <w:pPr>
        <w:pStyle w:val="BodyText"/>
        <w:rPr/>
      </w:pPr>
      <w:r>
        <w:rPr/>
        <w:t xml:space="preserve">.  Without prejudice to Sections 21.1, 21.3 and 21.4, any information concerning the parties which is designated in writing as proprietary and/or confidential and disclosed to any other party incident to the performance of the Scope of Work pursuant to this Agreement in confidence shall not be published or otherwise disclosed to others without the written approval of the disclosing party, provided, however, that nothing herein shall limit a party’s rights to disclose data which: </w:t>
      </w:r>
    </w:p>
    <w:p>
      <w:pPr>
        <w:pStyle w:val="Heading5"/>
        <w:numPr>
          <w:ilvl w:val="4"/>
          <w:numId w:val="8"/>
        </w:numPr>
        <w:ind w:hanging="0" w:start="0"/>
        <w:rPr/>
      </w:pPr>
      <w:r>
        <w:rPr/>
        <w:t>was developed on its own or furnished to it prior to this Agreement without restriction;</w:t>
      </w:r>
    </w:p>
    <w:p>
      <w:pPr>
        <w:pStyle w:val="Heading5"/>
        <w:tabs>
          <w:tab w:val="left" w:pos="1440" w:leader="none"/>
        </w:tabs>
        <w:ind w:hanging="0" w:start="0"/>
        <w:rPr/>
      </w:pPr>
      <w:r>
        <w:rPr/>
        <w:t>becomes generally available to the public through no fault of any party; or</w:t>
      </w:r>
    </w:p>
    <w:p>
      <w:pPr>
        <w:pStyle w:val="Heading5"/>
        <w:tabs>
          <w:tab w:val="left" w:pos="1440" w:leader="none"/>
        </w:tabs>
        <w:ind w:hanging="0" w:start="0"/>
        <w:rPr/>
      </w:pPr>
      <w:r>
        <w:rPr/>
        <w:t>is received by a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any other party as are consistent with its practices to protect its own proprietary and/or confidential information.</w:t>
      </w:r>
    </w:p>
    <w:p>
      <w:pPr>
        <w:pStyle w:val="BodyText"/>
        <w:rPr/>
      </w:pPr>
      <w:r>
        <w:rPr/>
        <w:t xml:space="preserve">Furthermore any party may upon written Notice in advance to the affected party provide any such information to any governmental authority having jurisdiction and asserting a right to obtain such information, but only to the extent required to do so by law. This clause shall survive the termination of this Agreement. </w:t>
      </w:r>
    </w:p>
    <w:p>
      <w:pPr>
        <w:pStyle w:val="BodyText"/>
        <w:rPr>
          <w:vanish/>
        </w:rPr>
      </w:pPr>
      <w:r>
        <w:rPr/>
        <w:t>21.2</w:t>
        <w:tab/>
      </w:r>
      <w:r>
        <w:rPr>
          <w:u w:val="single"/>
        </w:rPr>
        <w:t>Press Releases</w:t>
      </w:r>
      <w:commentRangeStart w:id="1"/>
      <w:r>
        <w:rPr>
          <w:vanish/>
          <w:color w:val="FF0000"/>
        </w:rPr>
        <w:t>»</w:t>
      </w:r>
      <w:commentRangeEnd w:id="1"/>
      <w:r>
        <w:commentReference w:id="1"/>
      </w:r>
      <w:r>
        <w:rPr>
          <w:vanish w:val="false"/>
        </w:rPr>
      </w:r>
    </w:p>
    <w:p>
      <w:pPr>
        <w:pStyle w:val="BodyText"/>
        <w:rPr/>
      </w:pPr>
      <w:r>
        <w:rPr/>
        <w:t>.  The parties agree that it is in their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parties’ written release to do so.</w:t>
      </w:r>
    </w:p>
    <w:p>
      <w:pPr>
        <w:pStyle w:val="BodyText"/>
        <w:rPr>
          <w:vanish/>
        </w:rPr>
      </w:pPr>
      <w:r>
        <w:rPr/>
        <w:t>21.3</w:t>
        <w:tab/>
      </w:r>
      <w:r>
        <w:rPr>
          <w:u w:val="single"/>
        </w:rPr>
        <w:t>Confidentiality of Seller</w:t>
      </w:r>
      <w:commentRangeStart w:id="2"/>
      <w:r>
        <w:rPr>
          <w:vanish/>
          <w:color w:val="FF0000"/>
        </w:rPr>
        <w:t>»</w:t>
      </w:r>
      <w:commentRangeEnd w:id="2"/>
      <w:r>
        <w:commentReference w:id="2"/>
      </w:r>
      <w:r>
        <w:rPr>
          <w:vanish w:val="false"/>
        </w:rPr>
      </w:r>
    </w:p>
    <w:p>
      <w:pPr>
        <w:pStyle w:val="BodyText"/>
        <w:rPr/>
      </w:pPr>
      <w:r>
        <w:rPr/>
        <w:t>.  Seller acknowledges that the businesses of Purchaser and Agent are highly competitive and that Purchaser’s and Agent’s books, records, documents and technical information concerning their respective products, equipment, services, processes, procurement procedures, pricing techniques, the names of and other information (such as credit and financial data) concerning Purchaser’s and Agent’s customers and business affiliates, all comprise confidential business information and trade secrets of Purchaser and Agent, as applicable, which are valuable, special and unique proprietary assets.  Seller further acknowledges that protection of both Purchaser’s and Agent’s confidential business information and trade secrets against unauthorized disclosure and use is of critical importance to both Purchaser and Agent in maintaining their respective competitive position.  Accordingly, Seller hereby agrees that it will not, at any time during or after the term of this Agreement, make any unauthorized disclosure of any confidential business information or trade secrets of Purchaser or Agent or make any use thereof, except for the benefit of, and on behalf of Purchaser or Agent.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and/or Agent, as applicable,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and/or Agent, as applicable, including recovery of damages from Seller.  For the purposes of this paragraph, the terms “Purchaser” and “Agent” shall also include Affiliates of both Purchaser and Agent.</w:t>
      </w:r>
    </w:p>
    <w:p>
      <w:pPr>
        <w:pStyle w:val="BodyText"/>
        <w:rPr/>
      </w:pPr>
      <w:r>
        <w:rPr/>
        <w:t>Seller shall deliver to Purchaser all Purchaser confidential information, and to Agent all Agent confidential information, provided or disclosed to or used or acquired by Seller, including all information developed, derived, or created therefrom, or portions thereof, upon the earlier of:</w:t>
      </w:r>
    </w:p>
    <w:p>
      <w:pPr>
        <w:pStyle w:val="BodyText"/>
        <w:ind w:hanging="720" w:start="2160" w:end="0"/>
        <w:rPr/>
      </w:pPr>
      <w:r>
        <w:rPr/>
        <w:t>(i)</w:t>
        <w:tab/>
        <w:t xml:space="preserve">the ending of the need for the information for performance of the Scope of Work; </w:t>
      </w:r>
    </w:p>
    <w:p>
      <w:pPr>
        <w:pStyle w:val="BodyText"/>
        <w:ind w:hanging="720" w:start="2160" w:end="0"/>
        <w:rPr/>
      </w:pPr>
      <w:r>
        <w:rPr/>
        <w:t>(ii)</w:t>
        <w:tab/>
        <w:t xml:space="preserve">Purchaser’s or Agent’s request, as applicable; </w:t>
      </w:r>
    </w:p>
    <w:p>
      <w:pPr>
        <w:pStyle w:val="BodyText"/>
        <w:ind w:hanging="720" w:start="2160" w:end="0"/>
        <w:rPr/>
      </w:pPr>
      <w:r>
        <w:rPr/>
        <w:t>(iii)</w:t>
        <w:tab/>
        <w:t>the completion of the Scope of Work for which it was provided, disclosed used or acquired; or</w:t>
      </w:r>
    </w:p>
    <w:p>
      <w:pPr>
        <w:pStyle w:val="BodyText"/>
        <w:ind w:hanging="720" w:start="2160" w:end="0"/>
        <w:rPr/>
      </w:pPr>
      <w:r>
        <w:rPr/>
        <w:t>(iv)</w:t>
        <w:tab/>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or Agent’s consent, as applicable, releases Purchaser’s or Agent’s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 or Agent, as applicable.</w:t>
      </w:r>
    </w:p>
    <w:p>
      <w:pPr>
        <w:pStyle w:val="BodyText"/>
        <w:rPr/>
      </w:pPr>
      <w:r>
        <w:rPr/>
        <w:t>Each party shall be entitled to disclose the terms and conditions of this Agreement and any data or information acquired by it under or pursuant to this Agreement without the prior consent of any other party:</w:t>
      </w:r>
    </w:p>
    <w:p>
      <w:pPr>
        <w:pStyle w:val="Heading5"/>
        <w:numPr>
          <w:ilvl w:val="4"/>
          <w:numId w:val="9"/>
        </w:numPr>
        <w:ind w:hanging="0" w:start="0"/>
        <w:rPr/>
      </w:pPr>
      <w:r>
        <w:rPr/>
        <w:t>to any Affiliate of such party;</w:t>
      </w:r>
    </w:p>
    <w:p>
      <w:pPr>
        <w:pStyle w:val="Heading5"/>
        <w:tabs>
          <w:tab w:val="left" w:pos="1440" w:leader="none"/>
        </w:tabs>
        <w:ind w:hanging="0" w:start="0"/>
        <w:rPr/>
      </w:pPr>
      <w:r>
        <w:rPr/>
        <w:t>to any outside consultants or advisers engaged by or on behalf of such party in connection with the Scope of Work or the financing or operation of the Facility and acting in that capacity;</w:t>
      </w:r>
    </w:p>
    <w:p>
      <w:pPr>
        <w:pStyle w:val="Heading5"/>
        <w:tabs>
          <w:tab w:val="left" w:pos="1440" w:leader="none"/>
        </w:tabs>
        <w:ind w:hanging="0" w:start="0"/>
        <w:rPr/>
      </w:pPr>
      <w:r>
        <w:rPr/>
        <w:t>to any operator of the Facility, permitted assignees and Lenders;</w:t>
      </w:r>
    </w:p>
    <w:p>
      <w:pPr>
        <w:pStyle w:val="Heading5"/>
        <w:tabs>
          <w:tab w:val="left" w:pos="1440" w:leader="none"/>
        </w:tabs>
        <w:ind w:hanging="0" w:start="0"/>
        <w:rPr/>
      </w:pPr>
      <w:r>
        <w:rPr/>
        <w:t>to the extent required by the rules of a relevant and recognized stock exchange;</w:t>
      </w:r>
    </w:p>
    <w:p>
      <w:pPr>
        <w:pStyle w:val="Heading5"/>
        <w:tabs>
          <w:tab w:val="left" w:pos="1440" w:leader="none"/>
        </w:tabs>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tabs>
          <w:tab w:val="left" w:pos="1440" w:leader="none"/>
        </w:tabs>
        <w:ind w:hanging="0" w:start="0"/>
        <w:rPr/>
      </w:pPr>
      <w:r>
        <w:rPr/>
        <w:t>to any insurer under a policy of insurance required to be taken out by any party under the Agreement; or</w:t>
      </w:r>
    </w:p>
    <w:p>
      <w:pPr>
        <w:pStyle w:val="Heading5"/>
        <w:tabs>
          <w:tab w:val="left" w:pos="1440" w:leader="none"/>
        </w:tabs>
        <w:ind w:hanging="0" w:start="0"/>
        <w:rPr/>
      </w:pPr>
      <w:r>
        <w:rPr/>
        <w:t>to directors, employees and officers of such party;</w:t>
      </w:r>
    </w:p>
    <w:p>
      <w:pPr>
        <w:pStyle w:val="Heading5"/>
        <w:tabs>
          <w:tab w:val="left" w:pos="1440" w:leader="none"/>
        </w:tabs>
        <w:ind w:hanging="0" w:start="0"/>
        <w:rPr/>
      </w:pPr>
      <w:r>
        <w:rPr/>
        <w:t>provided that:</w:t>
      </w:r>
    </w:p>
    <w:p>
      <w:pPr>
        <w:pStyle w:val="Heading5"/>
        <w:tabs>
          <w:tab w:val="left" w:pos="1440" w:leader="none"/>
        </w:tabs>
        <w:ind w:hanging="0" w:start="0"/>
        <w:rPr/>
      </w:pPr>
      <w:r>
        <w:rPr/>
        <w:t>the disclosing party determines in good faith that the recipient has a legitimate need to see such data or information; and</w:t>
      </w:r>
    </w:p>
    <w:p>
      <w:pPr>
        <w:pStyle w:val="Heading5"/>
        <w:tabs>
          <w:tab w:val="left" w:pos="1440" w:leader="none"/>
        </w:tabs>
        <w:ind w:hanging="0" w:start="0"/>
        <w:rPr/>
      </w:pPr>
      <w:r>
        <w:rPr/>
        <w:t>the recipient has been made aware of and has agreed to be bound by the requirements of this ARTICLE XXI.</w:t>
      </w:r>
    </w:p>
    <w:p>
      <w:pPr>
        <w:pStyle w:val="BodyText"/>
        <w:rPr>
          <w:vanish/>
        </w:rPr>
      </w:pPr>
      <w:r>
        <w:rPr/>
        <w:t>21.4</w:t>
        <w:tab/>
      </w:r>
      <w:r>
        <w:rPr>
          <w:u w:val="single"/>
        </w:rPr>
        <w:t>Confidentiality of Purchaser and Agent</w:t>
      </w:r>
      <w:commentRangeStart w:id="3"/>
      <w:r>
        <w:rPr>
          <w:vanish/>
          <w:color w:val="FF0000"/>
        </w:rPr>
        <w:t>»</w:t>
      </w:r>
      <w:commentRangeEnd w:id="3"/>
      <w:r>
        <w:commentReference w:id="3"/>
      </w:r>
      <w:r>
        <w:rPr>
          <w:vanish w:val="false"/>
        </w:rPr>
      </w:r>
    </w:p>
    <w:p>
      <w:pPr>
        <w:pStyle w:val="BodyText"/>
        <w:rPr/>
      </w:pPr>
      <w:r>
        <w:rPr/>
        <w:t>.  Purchaser and Agent acknowledge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and Agent further acknowledge that protection of Seller’s confidential business information and trade secrets against unauthorized disclosure and use is of critical importance to Seller in maintaining its competitive position.  Accordingly, Purchaser and Agent hereby agree that they will not, at any time during or after the term of this Agreement, make any unauthorized disclosure of any confidential business information or trade secrets of Seller or make any use thereof, except for the benefit of, and on behalf of Seller.  However, the obligations of Purchaser and Agent under this Section 21.4 shall not extend to information which is or becomes part of the public domain or is available to the public by publication or otherwise through no wrongful act or omission or noncompliance with this Section by Purchaser, Agent or their agents.  The provisions of this Section 21.4 shall survive the termination of this Agreement.  Purchaser and Agent agree and acknowledge that money damages would not be sufficient to remedy for any breach of this Section 21.4 by Purchaser or Agent, and Seller shall be entitled to specific performance and injunctive relief as remedies for such breach or any threatened breach.  Such remedies shall not be deemed the exclusive remedies for a breach of this Section 21.4 by Purchaser or Agent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or Agent, as applicable, shall deliver to Seller all Seller confidential information provided or disclosed to or used or acquired by Purchaser or Agent, including all information developed, derived, or created therefrom, or portions thereof, upon the earlier of:</w:t>
      </w:r>
    </w:p>
    <w:p>
      <w:pPr>
        <w:pStyle w:val="BodyText"/>
        <w:ind w:hanging="720" w:start="2160" w:end="0"/>
        <w:rPr/>
      </w:pPr>
      <w:r>
        <w:rPr/>
        <w:t>(i)</w:t>
        <w:tab/>
        <w:t xml:space="preserve">the ending of the need for the information relating to the Scope of Work; </w:t>
      </w:r>
    </w:p>
    <w:p>
      <w:pPr>
        <w:pStyle w:val="BodyText"/>
        <w:rPr/>
      </w:pPr>
      <w:r>
        <w:rPr/>
        <w:tab/>
        <w:tab/>
        <w:t>(ii)</w:t>
        <w:tab/>
        <w:t>Seller’s request;</w:t>
      </w:r>
    </w:p>
    <w:p>
      <w:pPr>
        <w:pStyle w:val="BodyText"/>
        <w:ind w:hanging="720" w:start="2160" w:end="0"/>
        <w:rPr/>
      </w:pPr>
      <w:r>
        <w:rPr/>
        <w:t>(iii)</w:t>
        <w:tab/>
        <w:t>the completion of the Scope of Work for which it was provided, disclosed used or acquired; or</w:t>
      </w:r>
    </w:p>
    <w:p>
      <w:pPr>
        <w:pStyle w:val="BodyText"/>
        <w:ind w:hanging="720" w:start="2160" w:end="0"/>
        <w:rPr/>
      </w:pPr>
      <w:r>
        <w:rPr/>
        <w:t>(iv)</w:t>
        <w:tab/>
        <w:t>cancellation, termination or suspension of this Agreement.</w:t>
      </w:r>
    </w:p>
    <w:p>
      <w:pPr>
        <w:pStyle w:val="BodyText"/>
        <w:rPr/>
      </w:pPr>
      <w:r>
        <w:rPr/>
        <w:t xml:space="preserve">Purchaser and Agent may retain a single copy of all information upon which its Scope of Work is based for record purposes only.  In the event Purchaser or Agent, with Seller’s consent, releases Seller’s confidential information to a third party, Purchaser or Agent, as applicable, shall require such third party to enter into a confidentiality agreement similar to this Section 21.4 with Purchaser or Agent, as applicable, and Purchaser or Agent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No documents, data, materials or information available to Purchaser or Agent as set forth in this Section 21.4 or produced in whole or in part under this Agreement shall be the subject of an application for copyright by or on behalf of Purchaser or Agent without the prior written consent of Seller.</w:t>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rightjust"/>
        <w:jc w:val="both"/>
        <w:rPr/>
      </w:pPr>
      <w:r>
        <w:rPr/>
        <w:t>For purposes of interpretation and application of this Article XXI, the terms “party” and “parties”, except references to “third party”, shall be deemed to include a reference to Agent.</w:t>
      </w:r>
    </w:p>
    <w:p>
      <w:pPr>
        <w:pStyle w:val="rightjust"/>
        <w:jc w:val="center"/>
        <w:rPr/>
      </w:pPr>
      <w:r>
        <w:rPr/>
        <w:t>ANNEX IV</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Agreement without prior written consent from the other Party; such consent not to be unreasonably withheld.  If the Purchaser wishes to obtain the Seller’s consent to the assignment of Purchaser’s duties or rights under this Agreement, it shall request such consent in a writing which includes or incorporates:</w:t>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 or</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rPr>
      </w:pPr>
      <w:r>
        <w:rPr>
          <w:color w:val="000000"/>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rPr>
      </w:pPr>
      <w:r>
        <w:rPr>
          <w:color w:val="000000"/>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rightjust"/>
        <w:jc w:val="center"/>
        <w:rPr/>
      </w:pPr>
      <w:r>
        <w:rPr/>
        <w:t>ANNEX 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5"/>
        <w:numPr>
          <w:ilvl w:val="4"/>
          <w:numId w:val="10"/>
        </w:numPr>
        <w:ind w:hanging="0" w:start="0"/>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5"/>
        <w:ind w:hanging="0" w:start="0"/>
        <w:rPr/>
      </w:pPr>
      <w:r>
        <w:rPr/>
        <w:t>any arbitration proceeding referred to in Section 26.4 (a) shall be deemed a Related Dispute hereunder.</w:t>
      </w:r>
    </w:p>
    <w:p>
      <w:pPr>
        <w:pStyle w:val="BodyText"/>
        <w:spacing w:before="0" w:after="240"/>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sectPr>
      <w:headerReference w:type="default" r:id="rId24"/>
      <w:headerReference w:type="first" r:id="rId25"/>
      <w:footerReference w:type="default" r:id="rId26"/>
      <w:footerReference w:type="first" r:id="rId27"/>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5">
              <wp:simplePos x="0" y="0"/>
              <wp:positionH relativeFrom="page">
                <wp:posOffset>915035</wp:posOffset>
              </wp:positionH>
              <wp:positionV relativeFrom="page">
                <wp:posOffset>9693275</wp:posOffset>
              </wp:positionV>
              <wp:extent cx="622935"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6">
              <wp:simplePos x="0" y="0"/>
              <wp:positionH relativeFrom="page">
                <wp:posOffset>915035</wp:posOffset>
              </wp:positionH>
              <wp:positionV relativeFrom="page">
                <wp:posOffset>9693275</wp:posOffset>
              </wp:positionV>
              <wp:extent cx="622935"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4008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22935"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WAS:86630.2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720" w:hanging="0"/>
      </w:pPr>
      <w:rPr>
        <w:sz w:val="24"/>
        <w:i w:val="false"/>
        <w:u w:val="none"/>
        <w:b/>
        <w:rFonts w:ascii="Times New Roman" w:hAnsi="Times New Roman" w:cs="Times New Roman"/>
      </w:rPr>
    </w:lvl>
    <w:lvl w:ilvl="1">
      <w:start w:val="1"/>
      <w:pStyle w:val="Heading2"/>
      <w:isLgl/>
      <w:numFmt w:val="none"/>
      <w:suff w:val="nothing"/>
      <w:lvlText w:val=""/>
      <w:lvlJc w:val="start"/>
      <w:pPr>
        <w:tabs>
          <w:tab w:val="num" w:pos="1080"/>
        </w:tabs>
        <w:ind w:start="72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1440"/>
        </w:tabs>
        <w:ind w:start="720" w:hanging="0"/>
      </w:pPr>
      <w:rPr>
        <w:sz w:val="22"/>
        <w:i w:val="false"/>
        <w:u w:val="none"/>
        <w:b/>
        <w:rFonts w:ascii="Times New Roman Bold" w:hAnsi="Times New Roman Bold" w:cs="Times New Roman Bold"/>
      </w:rPr>
    </w:lvl>
    <w:lvl w:ilvl="3">
      <w:start w:val="1"/>
      <w:pStyle w:val="Heading4"/>
      <w:isLgl/>
      <w:numFmt w:val="decimal"/>
      <w:lvlText w:val="%1.%2%3.%4"/>
      <w:lvlJc w:val="start"/>
      <w:pPr>
        <w:tabs>
          <w:tab w:val="num" w:pos="1440"/>
        </w:tabs>
        <w:ind w:start="720" w:hanging="0"/>
      </w:pPr>
      <w:rPr>
        <w:sz w:val="22"/>
        <w:i w:val="false"/>
        <w:u w:val="none"/>
        <w:b/>
        <w:rFonts w:ascii="Times New Roman Bold" w:hAnsi="Times New Roman Bold" w:cs="Times New Roman Bold"/>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Letter"/>
      <w:lvlText w:val="(%6)"/>
      <w:lvlJc w:val="start"/>
      <w:pPr>
        <w:tabs>
          <w:tab w:val="num" w:pos="2520"/>
        </w:tabs>
        <w:ind w:start="720" w:firstLine="1440"/>
      </w:pPr>
      <w:rPr>
        <w:i w:val="false"/>
        <w:b w:val="false"/>
      </w:rPr>
    </w:lvl>
    <w:lvl w:ilvl="6">
      <w:start w:val="1"/>
      <w:pStyle w:val="Heading7"/>
      <w:numFmt w:val="decimal"/>
      <w:lvlText w:val="(%7)"/>
      <w:lvlJc w:val="start"/>
      <w:pPr>
        <w:tabs>
          <w:tab w:val="num" w:pos="2880"/>
        </w:tabs>
        <w:ind w:start="288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1080"/>
        </w:tabs>
        <w:ind w:start="72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3600"/>
        </w:tabs>
        <w:ind w:start="360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rFonts w:ascii="Times New Roman" w:hAnsi="Times New Roman" w:cs="Times New Roman"/>
      <w:b/>
      <w:i w:val="false"/>
      <w:sz w:val="24"/>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rFonts w:ascii="Times New Roman Bold" w:hAnsi="Times New Roman Bold" w:cs="Times New Roman Bold"/>
      <w:b/>
      <w:i w:val="false"/>
      <w:sz w:val="22"/>
      <w:u w:val="none"/>
    </w:rPr>
  </w:style>
  <w:style w:type="character" w:styleId="WW8Num14z5">
    <w:name w:val="WW8Num14z5"/>
    <w:qFormat/>
    <w:rPr>
      <w:b w:val="false"/>
      <w:i w:val="false"/>
    </w:rPr>
  </w:style>
  <w:style w:type="character" w:styleId="WW8Num14z8">
    <w:name w:val="WW8Num14z8"/>
    <w:qFormat/>
    <w:rPr>
      <w:rFonts w:ascii="Times New Roman" w:hAnsi="Times New Roman" w:cs="Times New Roman"/>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comments" Target="comment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2001-05-03T11:14:00Z</dcterms:created>
  <dc:creator>A&amp;K</dc:creator>
  <dc:description/>
  <dc:language>en-CA</dc:language>
  <cp:lastModifiedBy>A&amp;K</cp:lastModifiedBy>
  <cp:lastPrinted>2001-05-03T09:44:00Z</cp:lastPrinted>
  <dcterms:modified xsi:type="dcterms:W3CDTF">2001-05-03T11:14:00Z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WAS:86630.2 </vt:lpwstr>
  </property>
</Properties>
</file>