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Corp.][Enron South America Turbine L.L.C.]</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[Brazilian Power Development Trust]</w:t>
      </w:r>
    </w:p>
    <w:p>
      <w:pPr>
        <w:pStyle w:val="Caption"/>
        <w:rPr/>
      </w:pPr>
      <w:r>
        <w:rPr/>
        <w:t>[Address]</w:t>
      </w:r>
    </w:p>
    <w:p>
      <w:pPr>
        <w:pStyle w:val="Caption"/>
        <w:spacing w:before="0" w:after="480"/>
        <w:rPr/>
      </w:pPr>
      <w:r>
        <w:rPr/>
      </w:r>
    </w:p>
    <w:p>
      <w:pPr>
        <w:pStyle w:val="Caption"/>
        <w:spacing w:before="0" w:after="480"/>
        <w:rPr/>
      </w:pPr>
      <w:r>
        <w:rPr/>
        <w:t>December [__], 2000</w:t>
      </w:r>
    </w:p>
    <w:p>
      <w:pPr>
        <w:pStyle w:val="BodyTextIndent"/>
        <w:spacing w:before="0" w:after="0"/>
        <w:ind w:start="0" w:end="0"/>
        <w:jc w:val="both"/>
        <w:rPr/>
      </w:pPr>
      <w:r>
        <w:rPr/>
        <w:t>[GE Packaged Power, Inc.]</w:t>
      </w:r>
    </w:p>
    <w:p>
      <w:pPr>
        <w:pStyle w:val="BodyTextIndent"/>
        <w:spacing w:before="0" w:after="0"/>
        <w:ind w:start="0" w:end="0"/>
        <w:jc w:val="both"/>
        <w:rPr/>
      </w:pPr>
      <w:r>
        <w:rPr/>
        <w:t>[General Electric Company]</w:t>
      </w:r>
    </w:p>
    <w:p>
      <w:pPr>
        <w:pStyle w:val="BodyTextIndent"/>
        <w:spacing w:before="0" w:after="240"/>
        <w:ind w:start="0" w:end="0"/>
        <w:jc w:val="both"/>
        <w:rPr/>
      </w:pPr>
      <w:r>
        <w:rPr/>
        <w:t>[Address]</w:t>
      </w:r>
    </w:p>
    <w:p>
      <w:pPr>
        <w:pStyle w:val="BodyText"/>
        <w:rPr/>
      </w:pPr>
      <w:r>
        <w:rPr/>
        <w:t>Ladies and Gentlemen:</w:t>
      </w:r>
    </w:p>
    <w:p>
      <w:pPr>
        <w:pStyle w:val="BodyTextFirstIndent"/>
        <w:rPr/>
      </w:pPr>
      <w:r>
        <w:rPr/>
        <w:t>Reference is made to the [Agreement], dated [____________ __, ____], between [E-Next Generation LLC] [Brazilian Power Development Trust] (the “</w:t>
      </w:r>
      <w:r>
        <w:rPr>
          <w:rStyle w:val="underline"/>
        </w:rPr>
        <w:t>Purchaser</w:t>
      </w:r>
      <w:r>
        <w:rPr/>
        <w:t>”) and [GE Packaged Power, Inc.][General Electric Company]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 xml:space="preserve">Notwithstanding anything to the contrary set forth in the Turbine Contract, Purchaser represents and warrants that until the Transfer Date (as defined below) it has appointed Agent </w:t>
      </w:r>
      <w:r>
        <w:rPr>
          <w:u w:val="double"/>
        </w:rPr>
        <w:t>(as defined below)</w:t>
      </w:r>
      <w:r>
        <w:rPr/>
        <w:t xml:space="preserve"> as its sole and exclusive agent with respect to the Turbine Contract, has assigned to Agent certain rights of </w:t>
      </w:r>
      <w:r>
        <w:rPr>
          <w:strike/>
        </w:rPr>
        <w:t>purchaser</w:t>
      </w:r>
      <w:r>
        <w:rPr/>
        <w:t xml:space="preserve"> </w:t>
      </w:r>
      <w:r>
        <w:rPr>
          <w:u w:val="double"/>
        </w:rPr>
        <w:t>Purchaser</w:t>
      </w:r>
      <w:r>
        <w:rPr/>
        <w:t xml:space="preserve"> under the Turbine Contract, and has delegated to Agent certain responsibilities and obligations of </w:t>
      </w:r>
      <w:r>
        <w:rPr>
          <w:strike/>
        </w:rPr>
        <w:t>purchaser</w:t>
      </w:r>
      <w:r>
        <w:rPr/>
        <w:t xml:space="preserve"> </w:t>
      </w:r>
      <w:r>
        <w:rPr>
          <w:u w:val="double"/>
        </w:rPr>
        <w:t>Purchaser</w:t>
      </w:r>
      <w:r>
        <w:rPr/>
        <w:t xml:space="preserve">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numPr>
          <w:ilvl w:val="0"/>
          <w:numId w:val="0"/>
        </w:numPr>
        <w:ind w:firstLine="720" w:start="0" w:end="0"/>
        <w:rPr/>
      </w:pPr>
      <w:r>
        <w:rPr/>
        <w:t>1.</w:t>
        <w:tab/>
      </w: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Corp.][Enron South America Turbine L.L.C.], a Delaware [corporation][limited liability company].”</w:t>
      </w:r>
    </w:p>
    <w:p>
      <w:pPr>
        <w:pStyle w:val="Heading1"/>
        <w:numPr>
          <w:ilvl w:val="0"/>
          <w:numId w:val="0"/>
        </w:numPr>
        <w:ind w:firstLine="720" w:start="0" w:end="0"/>
        <w:rPr/>
      </w:pPr>
      <w:r>
        <w:rPr/>
        <w:t>2.</w:t>
        <w:tab/>
        <w:t xml:space="preserve">The definition of “Lender” set forth in </w:t>
      </w:r>
      <w:r>
        <w:rPr>
          <w:rStyle w:val="underline"/>
        </w:rPr>
        <w:t>Section 1.51</w:t>
      </w:r>
      <w:r>
        <w:rPr/>
        <w:t xml:space="preserve"> of the Turbine Contract shall be deemed amended by </w:t>
      </w:r>
      <w:r>
        <w:rPr>
          <w:strike/>
        </w:rPr>
        <w:t>deleting the word “Purchaser” and</w:t>
      </w:r>
      <w:r>
        <w:rPr/>
        <w:t xml:space="preserve"> inserting the word “Agent” </w:t>
      </w:r>
      <w:r>
        <w:rPr>
          <w:strike/>
        </w:rPr>
        <w:t>in lieu thereof.</w:t>
      </w:r>
      <w:r>
        <w:rPr/>
        <w:t xml:space="preserve"> </w:t>
      </w:r>
      <w:r>
        <w:rPr>
          <w:u w:val="double"/>
        </w:rPr>
        <w:t>after the word “Purchaser.”</w:t>
      </w:r>
    </w:p>
    <w:p>
      <w:pPr>
        <w:pStyle w:val="Heading1"/>
        <w:numPr>
          <w:ilvl w:val="0"/>
          <w:numId w:val="0"/>
        </w:numPr>
        <w:ind w:firstLine="720" w:start="0" w:end="0"/>
        <w:rPr/>
      </w:pPr>
      <w:r>
        <w:rPr/>
        <w:t>3.</w:t>
        <w:tab/>
        <w:t xml:space="preserve">The definition of “Power Purchaser” set forth in </w:t>
      </w:r>
      <w:r>
        <w:rPr>
          <w:rStyle w:val="underline"/>
        </w:rPr>
        <w:t>Section 1.75</w:t>
      </w:r>
      <w:r>
        <w:rPr/>
        <w:t xml:space="preserve"> of the Turbine Contract shall be deemed amended by </w:t>
      </w:r>
      <w:r>
        <w:rPr>
          <w:strike/>
        </w:rPr>
        <w:t>deleting</w:t>
      </w:r>
      <w:r>
        <w:rPr/>
        <w:t xml:space="preserve"> </w:t>
      </w:r>
      <w:r>
        <w:rPr>
          <w:u w:val="double"/>
        </w:rPr>
        <w:t>inserting the word Agent after</w:t>
      </w:r>
      <w:r>
        <w:rPr/>
        <w:t xml:space="preserve"> the word “Purchaser” set forth in the body of such definition (but not in the term “Power Purchaser”) and </w:t>
      </w:r>
      <w:r>
        <w:rPr>
          <w:strike/>
        </w:rPr>
        <w:t>inserting the word “Agent”</w:t>
      </w:r>
      <w:r>
        <w:rPr>
          <w:u w:val="double"/>
        </w:rPr>
        <w:t>deleting the words “or its Affiliate” and inserting the words “or an Affiliate of either”</w:t>
      </w:r>
      <w:r>
        <w:rPr/>
        <w:t xml:space="preserve">  in lieu thereof.</w:t>
      </w:r>
    </w:p>
    <w:p>
      <w:pPr>
        <w:pStyle w:val="Heading1"/>
        <w:numPr>
          <w:ilvl w:val="0"/>
          <w:numId w:val="0"/>
        </w:numPr>
        <w:ind w:firstLine="720" w:start="0" w:end="0"/>
        <w:rPr/>
      </w:pPr>
      <w:r>
        <w:rPr/>
        <w:t>4.</w:t>
        <w:tab/>
      </w: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numPr>
          <w:ilvl w:val="0"/>
          <w:numId w:val="0"/>
        </w:numPr>
        <w:ind w:firstLine="720" w:start="0" w:end="0"/>
        <w:rPr/>
      </w:pPr>
      <w:r>
        <w:rPr/>
        <w:t>5.</w:t>
        <w:tab/>
      </w:r>
      <w:r>
        <w:rPr>
          <w:rStyle w:val="underline"/>
        </w:rPr>
        <w:t>Section 5.1</w:t>
      </w:r>
      <w:r>
        <w:rPr/>
        <w:t xml:space="preserve"> of the Turbine Contract shall be deemed amended by deleting the last reference to “Purchaser” in such Section and inserting the word “Agent” in lieu thereof.</w:t>
      </w:r>
    </w:p>
    <w:p>
      <w:pPr>
        <w:pStyle w:val="Heading1"/>
        <w:numPr>
          <w:ilvl w:val="0"/>
          <w:numId w:val="0"/>
        </w:numPr>
        <w:ind w:firstLine="720" w:start="0" w:end="0"/>
        <w:rPr/>
      </w:pPr>
      <w:r>
        <w:rPr/>
        <w:t>6.</w:t>
        <w:tab/>
      </w:r>
      <w:r>
        <w:rPr>
          <w:rStyle w:val="underline"/>
        </w:rPr>
        <w:t>Section 15.2.2</w:t>
      </w:r>
      <w:r>
        <w:rPr/>
        <w:t xml:space="preserve"> of the Turbine Contract shall be deemed amended by inserting the word “Agent” after the word “Purchaser” set forth in the first sentence of such Section.</w:t>
      </w:r>
    </w:p>
    <w:p>
      <w:pPr>
        <w:pStyle w:val="Heading1"/>
        <w:numPr>
          <w:ilvl w:val="0"/>
          <w:numId w:val="0"/>
        </w:numPr>
        <w:ind w:firstLine="720" w:start="0" w:end="0"/>
        <w:rPr/>
      </w:pPr>
      <w:r>
        <w:rPr/>
        <w:t>7.</w:t>
        <w:tab/>
      </w:r>
      <w:r>
        <w:rPr>
          <w:rStyle w:val="underline"/>
        </w:rPr>
        <w:t>Section 19.1.11</w:t>
      </w:r>
      <w:r>
        <w:rPr/>
        <w:t xml:space="preserve"> of the Turbine Contract shall be deemed amended by inserting the word </w:t>
      </w:r>
      <w:r>
        <w:rPr>
          <w:strike/>
        </w:rPr>
        <w:t>“Purchaser”</w:t>
      </w:r>
      <w:r>
        <w:rPr>
          <w:u w:val="double"/>
        </w:rPr>
        <w:t>“Agent”</w:t>
      </w:r>
      <w:r>
        <w:rPr/>
        <w:t xml:space="preserve"> after the word “Purchaser” set forth in the first sentence of such Section.</w:t>
      </w:r>
    </w:p>
    <w:p>
      <w:pPr>
        <w:pStyle w:val="Heading1"/>
        <w:numPr>
          <w:ilvl w:val="0"/>
          <w:numId w:val="0"/>
        </w:numPr>
        <w:ind w:firstLine="720" w:start="0" w:end="0"/>
        <w:rPr/>
      </w:pPr>
      <w:r>
        <w:rPr/>
        <w:t>8.</w:t>
        <w:tab/>
      </w: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numPr>
          <w:ilvl w:val="0"/>
          <w:numId w:val="0"/>
        </w:numPr>
        <w:ind w:firstLine="720" w:start="0" w:end="0"/>
        <w:rPr/>
      </w:pPr>
      <w:r>
        <w:rPr/>
        <w:t>9.</w:t>
        <w:tab/>
      </w: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numPr>
          <w:ilvl w:val="0"/>
          <w:numId w:val="0"/>
        </w:numPr>
        <w:ind w:firstLine="720" w:start="0" w:end="0"/>
        <w:rPr/>
      </w:pPr>
      <w:r>
        <w:rPr/>
        <w:t>10.</w:t>
        <w:tab/>
      </w:r>
      <w:r>
        <w:rPr>
          <w:rStyle w:val="underline"/>
        </w:rPr>
        <w:t>Section 30.7</w:t>
      </w:r>
      <w:r>
        <w:rPr/>
        <w:t xml:space="preserve"> of the Turbine Contract shall be deemed amended by inserting the word and punctuation “, Agent” after the word “Purchaser” set forth in such Section.</w:t>
      </w:r>
    </w:p>
    <w:p>
      <w:pPr>
        <w:pStyle w:val="Heading1"/>
        <w:numPr>
          <w:ilvl w:val="0"/>
          <w:numId w:val="0"/>
        </w:numPr>
        <w:ind w:firstLine="720" w:start="0" w:end="0"/>
        <w:rPr/>
      </w:pPr>
      <w:r>
        <w:rPr>
          <w:u w:val="double"/>
        </w:rPr>
        <w:t>11.</w:t>
      </w:r>
      <w:r>
        <w:rPr/>
        <w:tab/>
      </w:r>
      <w:r>
        <w:rPr>
          <w:u w:val="double"/>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u w:val="double"/>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FirstIndent"/>
        <w:rPr/>
      </w:pPr>
      <w:r>
        <w:rPr/>
        <w:t>All notices to the Agent shall be delivered to the address set forth above in accordance with Article XXV of the Turbine Contract.</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LLC][BRAZILIAN POWER DEVELOPMENT TRUST]</w:t>
      </w:r>
    </w:p>
    <w:p>
      <w:pPr>
        <w:pStyle w:val="Signature"/>
        <w:spacing w:before="0" w:after="240"/>
        <w:rPr/>
      </w:pPr>
      <w:r>
        <w:rPr/>
        <w:t>By: Wilmington Trust Company, not in its individual capacity, but solely as [Manager][Trustee]</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szCs w:val="18"/>
        </w:rPr>
      </w:pPr>
      <w:r>
        <w:rPr>
          <w:sz w:val="18"/>
          <w:szCs w:val="18"/>
        </w:rPr>
        <w:t>[Signature Page to Override Letter]</w:t>
      </w:r>
    </w:p>
    <w:p>
      <w:pPr>
        <w:pStyle w:val="rightjust"/>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numPr>
          <w:ilvl w:val="0"/>
          <w:numId w:val="0"/>
        </w:numPr>
        <w:ind w:hanging="720" w:start="1440" w:end="0"/>
        <w:rPr/>
      </w:pPr>
      <w:r>
        <w:rPr/>
        <w:t>(a)</w:t>
        <w:tab/>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numPr>
          <w:ilvl w:val="0"/>
          <w:numId w:val="0"/>
        </w:numPr>
        <w:ind w:hanging="720" w:start="1440" w:end="0"/>
        <w:rPr/>
      </w:pPr>
      <w:r>
        <w:rPr/>
        <w:t>(b)</w:t>
        <w:tab/>
        <w:t>Agent shall deliver a Notice within thirty (30) Days of the latest date of signature of this Agreement to Seller identifying such persons within Agent’s organization that have authority to approve Change Orders; and</w:t>
      </w:r>
    </w:p>
    <w:p>
      <w:pPr>
        <w:pStyle w:val="Heading2"/>
        <w:numPr>
          <w:ilvl w:val="0"/>
          <w:numId w:val="0"/>
        </w:numPr>
        <w:ind w:hanging="720" w:start="1440" w:end="0"/>
        <w:rPr/>
      </w:pPr>
      <w:r>
        <w:rPr/>
        <w:t>(c)</w:t>
        <w:tab/>
        <w:t>Purchaser shall pay to Seller the sums required to be paid by Purchaser pursuant to the terms of this Agreement.</w:t>
      </w:r>
    </w:p>
    <w:p>
      <w:pPr>
        <w:pStyle w:val="Heading2"/>
        <w:numPr>
          <w:ilvl w:val="0"/>
          <w:numId w:val="0"/>
        </w:numPr>
        <w:ind w:hanging="720" w:start="1440" w:end="0"/>
        <w:rPr/>
      </w:pPr>
      <w:r>
        <w:rPr/>
        <w:t>(d)</w:t>
        <w:tab/>
        <w:t>the Units shall be installed, operated and maintained by either Purchaser or Agent (as the case may be) as identified in Exhibit B-1, Section 3 and as otherwise stated in the Agreement.</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0"/>
          <w:numId w:val="0"/>
        </w:numPr>
        <w:tabs>
          <w:tab w:val="left" w:pos="1440" w:leader="none"/>
        </w:tabs>
        <w:ind w:hanging="720" w:start="1440" w:end="0"/>
        <w:rPr/>
      </w:pPr>
      <w:r>
        <w:rPr/>
        <w:t>(a)</w:t>
        <w:tab/>
        <w:t>Seller agrees to indemnify, protect, defend, and hold harmless Purchaser</w:t>
      </w:r>
      <w:r>
        <w:rPr>
          <w:u w:val="double"/>
        </w:rPr>
        <w:t>,</w:t>
      </w:r>
      <w:r>
        <w:rPr/>
        <w:t xml:space="preserve"> its directors, Lenders, officers, employees, agents (specifically including </w:t>
      </w:r>
      <w:r>
        <w:rPr>
          <w:strike/>
        </w:rPr>
        <w:t>Purchaser)</w:t>
      </w:r>
      <w:r>
        <w:rPr/>
        <w:t xml:space="preserve"> </w:t>
      </w:r>
      <w:r>
        <w:rPr>
          <w:u w:val="double"/>
        </w:rPr>
        <w:t>Agent)</w:t>
      </w:r>
      <w:r>
        <w:rPr/>
        <w:t xml:space="preserve">,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w:t>
      </w:r>
      <w:r>
        <w:rPr>
          <w:strike/>
        </w:rPr>
        <w:t>Purchaser’s</w:t>
      </w:r>
      <w:r>
        <w:rPr/>
        <w:t xml:space="preserve"> </w:t>
      </w:r>
      <w:r>
        <w:rPr>
          <w:u w:val="double"/>
        </w:rPr>
        <w:t>Agent’s</w:t>
      </w:r>
      <w:r>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numPr>
          <w:ilvl w:val="0"/>
          <w:numId w:val="0"/>
        </w:numPr>
        <w:ind w:hanging="720" w:start="1440" w:end="0"/>
        <w:rPr/>
      </w:pPr>
      <w:r>
        <w:rPr/>
        <w:t>(b)</w:t>
        <w:tab/>
        <w:t xml:space="preserve">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w:t>
      </w:r>
      <w:r>
        <w:rPr>
          <w:strike/>
        </w:rPr>
        <w:t>Purchaser’s</w:t>
      </w:r>
      <w:r>
        <w:rPr/>
        <w:t xml:space="preserve"> </w:t>
      </w:r>
      <w:r>
        <w:rPr>
          <w:u w:val="double"/>
        </w:rPr>
        <w:t>Agent’s</w:t>
      </w:r>
      <w:r>
        <w:rPr/>
        <w:t xml:space="preserve"> negligent actions or failure to act while in possession or control of the Equipment, or (B) the fraud, misapplication of funds, illegal acts or willful misconduct of Purchaser or </w:t>
      </w:r>
      <w:r>
        <w:rPr>
          <w:strike/>
        </w:rPr>
        <w:t>Purchaser</w:t>
      </w:r>
      <w:r>
        <w:rPr/>
        <w:t xml:space="preserve"> </w:t>
      </w:r>
      <w:r>
        <w:rPr>
          <w:u w:val="double"/>
        </w:rPr>
        <w:t>Agent</w:t>
      </w:r>
      <w:r>
        <w:rPr/>
        <w: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numPr>
          <w:ilvl w:val="0"/>
          <w:numId w:val="0"/>
        </w:numPr>
        <w:ind w:hanging="720" w:start="1440" w:end="0"/>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numPr>
          <w:ilvl w:val="0"/>
          <w:numId w:val="0"/>
        </w:numPr>
        <w:ind w:hanging="720" w:start="1440" w:end="0"/>
        <w:rPr/>
      </w:pPr>
      <w:r>
        <w:rPr/>
        <w:t>(d)</w:t>
        <w:tab/>
        <w:t>The indemnitor’s contractual obligation of indemnification under this Agreement is subject to the conditions precedent that:</w:t>
      </w:r>
    </w:p>
    <w:p>
      <w:pPr>
        <w:pStyle w:val="Heading3"/>
        <w:numPr>
          <w:ilvl w:val="0"/>
          <w:numId w:val="0"/>
        </w:numPr>
        <w:ind w:hanging="720" w:start="2160" w:end="0"/>
        <w:rPr/>
      </w:pPr>
      <w:r>
        <w:rPr/>
        <w:t>(i)</w:t>
        <w:tab/>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numPr>
          <w:ilvl w:val="0"/>
          <w:numId w:val="0"/>
        </w:numPr>
        <w:ind w:hanging="720" w:start="2160" w:end="0"/>
        <w:rPr/>
      </w:pPr>
      <w:r>
        <w:rPr/>
        <w:t>(ii)</w:t>
        <w:tab/>
        <w:t>the party with the duty to indemnify shall thereafter have the right to participate in the investigation, defense and resolution of such third party claim; and</w:t>
      </w:r>
    </w:p>
    <w:p>
      <w:pPr>
        <w:pStyle w:val="Heading3"/>
        <w:numPr>
          <w:ilvl w:val="0"/>
          <w:numId w:val="0"/>
        </w:numPr>
        <w:ind w:hanging="720" w:start="2160" w:end="0"/>
        <w:rPr/>
      </w:pPr>
      <w:r>
        <w:rPr/>
        <w:t>(iii)</w:t>
        <w:tab/>
        <w:t xml:space="preserve">if the indemnitor is the Purchaser and (A) at the time that any claim is made by Seller against Purchaser for any amounts pursuant to this Article XX there is an </w:t>
      </w:r>
      <w:r>
        <w:rPr>
          <w:strike/>
        </w:rPr>
        <w:t>Purchaser</w:t>
      </w:r>
      <w:r>
        <w:rPr/>
        <w:t xml:space="preserve"> </w:t>
      </w:r>
      <w:r>
        <w:rPr>
          <w:u w:val="double"/>
        </w:rPr>
        <w:t>Agent</w:t>
      </w:r>
      <w:r>
        <w:rPr/>
        <w:t xml:space="preserve"> party hereto, and (B) such claim is for indemnification pursuant to clause (ii) of Section 20.1(b) hereof, then the Purchaser shall have first received payment in full from the </w:t>
      </w:r>
      <w:r>
        <w:rPr>
          <w:strike/>
        </w:rPr>
        <w:t>Purchaser</w:t>
      </w:r>
      <w:r>
        <w:rPr/>
        <w:t xml:space="preserve"> </w:t>
      </w:r>
      <w:r>
        <w:rPr>
          <w:u w:val="double"/>
        </w:rPr>
        <w:t>Agent</w:t>
      </w:r>
      <w:r>
        <w:rPr/>
        <w:t xml:space="preserve"> of such amounts (it being understood and agreed that until such time as Purchaser receives such amounts from </w:t>
      </w:r>
      <w:r>
        <w:rPr>
          <w:strike/>
        </w:rPr>
        <w:t>Purchaser</w:t>
      </w:r>
      <w:r>
        <w:rPr/>
        <w:t xml:space="preserve"> </w:t>
      </w:r>
      <w:r>
        <w:rPr>
          <w:u w:val="double"/>
        </w:rPr>
        <w:t>Agent</w:t>
      </w:r>
      <w:r>
        <w:rPr/>
        <w:t>, no amounts shall be due and payable by Purchaser to Seller pursuant to this Article XX).</w:t>
      </w:r>
    </w:p>
    <w:p>
      <w:pPr>
        <w:pStyle w:val="Heading2"/>
        <w:numPr>
          <w:ilvl w:val="0"/>
          <w:numId w:val="0"/>
        </w:numPr>
        <w:ind w:hanging="720" w:start="1440" w:end="0"/>
        <w:rPr/>
      </w:pPr>
      <w:r>
        <w:rPr/>
        <w:t>(e)</w:t>
        <w:tab/>
        <w:t xml:space="preserve">The Purchaser agrees that upon receipt of any written Notice from the Seller asserting an indemnity claim described in Section 20.1(d)(iii) hereof, the Purchaser shall (i) promptly deliver a copy of such Notice to the </w:t>
      </w:r>
      <w:r>
        <w:rPr>
          <w:strike/>
        </w:rPr>
        <w:t>Purchaser</w:t>
      </w:r>
      <w:r>
        <w:rPr/>
        <w:t xml:space="preserve"> </w:t>
      </w:r>
      <w:r>
        <w:rPr>
          <w:u w:val="double"/>
        </w:rPr>
        <w:t>Agent</w:t>
      </w:r>
      <w:r>
        <w:rPr/>
        <w:t xml:space="preserve"> and (ii) enforce any and all indemnification rights it may have against the </w:t>
      </w:r>
      <w:r>
        <w:rPr>
          <w:strike/>
        </w:rPr>
        <w:t>Purchaser</w:t>
      </w:r>
      <w:r>
        <w:rPr/>
        <w:t xml:space="preserve"> </w:t>
      </w:r>
      <w:r>
        <w:rPr>
          <w:u w:val="double"/>
        </w:rPr>
        <w:t>Agent</w:t>
      </w:r>
      <w:r>
        <w:rPr/>
        <w:t xml:space="preserve"> to obtain payment in a commercially reasonable manner from such </w:t>
      </w:r>
      <w:r>
        <w:rPr>
          <w:strike/>
        </w:rPr>
        <w:t>Purchaser</w:t>
      </w:r>
      <w:r>
        <w:rPr/>
        <w:t xml:space="preserve"> </w:t>
      </w:r>
      <w:r>
        <w:rPr>
          <w:u w:val="double"/>
        </w:rPr>
        <w:t>Agent</w:t>
      </w:r>
      <w:r>
        <w:rPr/>
        <w:t xml:space="preserve"> of any amounts claimed in such Notice.  Upon receipt of any such payments from the </w:t>
      </w:r>
      <w:r>
        <w:rPr>
          <w:strike/>
        </w:rPr>
        <w:t>Purchaser</w:t>
      </w:r>
      <w:r>
        <w:rPr/>
        <w:t xml:space="preserve"> </w:t>
      </w:r>
      <w:r>
        <w:rPr>
          <w:u w:val="double"/>
        </w:rPr>
        <w:t>Agent</w:t>
      </w:r>
      <w:r>
        <w:rPr/>
        <w:t>, the Purchaser shall deliver such amounts to Seller in accordance with this Article XX.</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rPr/>
      </w:pPr>
      <w:r>
        <w:rPr/>
        <w:t>ANNEX III</w:t>
      </w:r>
    </w:p>
    <w:p>
      <w:pPr>
        <w:pStyle w:val="BodyText"/>
        <w:rPr/>
      </w:pPr>
      <w:r>
        <w:rPr/>
        <w:t>22.2</w:t>
        <w:tab/>
      </w:r>
      <w:r>
        <w:rPr>
          <w:u w:val="single"/>
        </w:rPr>
        <w:t>Assignment by Purchaser or Agent</w:t>
      </w:r>
      <w:r>
        <w:rPr/>
        <w:t xml:space="preserve">.  </w:t>
      </w:r>
      <w:r>
        <w:rPr>
          <w:strike/>
        </w:rPr>
        <w:t>This Agreement or any right or obligation contained herein may be assigned, from time to time, by Purchaser or Agent without Seller’s consent to the following:</w:t>
      </w:r>
    </w:p>
    <w:p>
      <w:pPr>
        <w:pStyle w:val="BodyText"/>
        <w:rPr>
          <w:strike/>
        </w:rPr>
      </w:pPr>
      <w:r>
        <w:rPr>
          <w:strike/>
        </w:rPr>
        <w:t xml:space="preserve">(i) Agent (in the case of an assignment by Purchaser) or an Affiliate of either Purchaser or Agent; </w:t>
      </w:r>
    </w:p>
    <w:p>
      <w:pPr>
        <w:pStyle w:val="BodyText"/>
        <w:rPr>
          <w:strike/>
        </w:rPr>
      </w:pPr>
      <w:r>
        <w:rPr>
          <w:strike/>
        </w:rPr>
        <w:t>(ii) a joint venture, partnership, limited liability company, or other similar entity in which Agent or any of its Affiliates is a venturer, partner or participant with no less than a nineteen and one-half percent (19.5%) equity interest;</w:t>
      </w:r>
    </w:p>
    <w:p>
      <w:pPr>
        <w:pStyle w:val="BodyText"/>
        <w:rPr>
          <w:strike/>
        </w:rPr>
      </w:pPr>
      <w:r>
        <w:rPr>
          <w:strike/>
        </w:rPr>
        <w:t>(iii) any Lender or financial institution providing financing to Purchaser or Agent, either of their respective Affiliates or any permitted assignee in connection with the Equipment or the Facility;</w:t>
      </w:r>
    </w:p>
    <w:p>
      <w:pPr>
        <w:pStyle w:val="BodyText"/>
        <w:rPr>
          <w:strike/>
        </w:rPr>
      </w:pPr>
      <w:r>
        <w:rPr>
          <w:strike/>
        </w:rPr>
        <w:t>(iv) any party which is obligated or may be obligated to indemnify Seller from any claims or liabilities arising in connection with this Agreement;</w:t>
      </w:r>
    </w:p>
    <w:p>
      <w:pPr>
        <w:pStyle w:val="BodyText"/>
        <w:rPr>
          <w:strike/>
        </w:rPr>
      </w:pPr>
      <w:r>
        <w:rPr>
          <w:strike/>
        </w:rPr>
        <w:t>(v) any party (1) for which Agent or any of its Affiliates has agreed to construct or develop a Facility using the Equipment or (2) to which Agent or any of its Affiliates has agreed to convey a power plant project which it has under development; or</w:t>
      </w:r>
    </w:p>
    <w:p>
      <w:pPr>
        <w:pStyle w:val="BodyText"/>
        <w:rPr>
          <w:strike/>
        </w:rPr>
      </w:pPr>
      <w:r>
        <w:rPr>
          <w:strike/>
        </w:rPr>
        <w:t>(vi) any contractor or developer which is retained by Agent or any of its Affiliates to construct or develop a Facility using the Equipment.</w:t>
      </w:r>
    </w:p>
    <w:p>
      <w:pPr>
        <w:pStyle w:val="BodyText"/>
        <w:rPr>
          <w:strike/>
        </w:rPr>
      </w:pPr>
      <w:r>
        <w:rPr>
          <w:strike/>
        </w:rPr>
        <w:t xml:space="preserve">Except for (i) through (vi)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strike/>
        </w:rPr>
        <w:t>In determining whether Purchaser or Agent shall be permitted to assign this Agreement, Seller shall only be deemed to be reasonable in withholding its consent if the proposed assignee: (i) does not have substantially the same or better credit quality than Purchaser (in the case of an assignment by Purchaser) or Agent (in the case of an assignment by Agent) unless (a) the proposed assignee provides appropriate guaranties, letters of credit or other assurances of payment issued by an entity or person with substantially the same or better credit quality than Purchaser or Agent (as applicable)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Agent or any of its Affiliates is providing related goods and/or services to such assignee, and (y) Purchaser or Agent is not merely acting as a broker or market maker</w:t>
      </w:r>
      <w:r>
        <w:rPr>
          <w:u w:val="double"/>
        </w:rPr>
        <w:t>[To come.]</w:t>
      </w:r>
    </w:p>
    <w:p>
      <w:pPr>
        <w:pStyle w:val="rightjust"/>
        <w:rPr>
          <w:u w:val="double"/>
        </w:rPr>
      </w:pPr>
      <w:r>
        <w:rPr>
          <w:u w:val="double"/>
        </w:rPr>
        <w:t>ANNEX IV</w:t>
      </w:r>
    </w:p>
    <w:p>
      <w:pPr>
        <w:pStyle w:val="BodyText"/>
        <w:rPr/>
      </w:pPr>
      <w:r>
        <w:rPr>
          <w:u w:val="double"/>
        </w:rPr>
        <w:t>26.4</w:t>
      </w:r>
      <w:r>
        <w:rPr/>
        <w:tab/>
      </w:r>
      <w:r>
        <w:rPr>
          <w:rStyle w:val="underline"/>
          <w:u w:val="double"/>
        </w:rPr>
        <w:t>Resolution of Certain Purchaser-Agent Disputes</w:t>
      </w:r>
      <w:r>
        <w:rPr>
          <w:u w:val="double"/>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0"/>
          <w:numId w:val="0"/>
        </w:numPr>
        <w:ind w:hanging="720" w:start="1440" w:end="0"/>
        <w:rPr/>
      </w:pPr>
      <w:r>
        <w:rPr>
          <w:u w:val="double"/>
        </w:rPr>
        <w:t>(a)</w:t>
      </w:r>
      <w:r>
        <w:rPr/>
        <w:tab/>
      </w:r>
      <w:r>
        <w:rPr>
          <w:u w:val="double"/>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numPr>
          <w:ilvl w:val="0"/>
          <w:numId w:val="0"/>
        </w:numPr>
        <w:ind w:hanging="720" w:start="1440" w:end="0"/>
        <w:rPr/>
      </w:pPr>
      <w:r>
        <w:rPr>
          <w:u w:val="double"/>
        </w:rPr>
        <w:t>(b)</w:t>
      </w:r>
      <w:r>
        <w:rPr/>
        <w:tab/>
      </w:r>
      <w:r>
        <w:rPr>
          <w:u w:val="double"/>
        </w:rPr>
        <w:t>any arbitration proceeding referred to in Section 26.4 (a) shall be deemed a Related Dispute hereunder.</w:t>
      </w:r>
    </w:p>
    <w:p>
      <w:pPr>
        <w:pStyle w:val="BodyText"/>
        <w:rPr/>
      </w:pPr>
      <w:r>
        <w:rPr>
          <w:u w:val="double"/>
        </w:rPr>
        <w:t>26.5</w:t>
      </w:r>
      <w:r>
        <w:rPr/>
        <w:tab/>
      </w:r>
      <w:r>
        <w:rPr>
          <w:rStyle w:val="underline"/>
          <w:u w:val="double"/>
        </w:rPr>
        <w:t>Limitation on Power of Arbitrators</w:t>
      </w:r>
      <w:r>
        <w:rPr>
          <w:u w:val="double"/>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w:t>
      </w:r>
      <w:r>
        <w:rPr/>
        <w:t xml:space="preserve"> with respect to such </w:t>
      </w:r>
      <w:r>
        <w:rPr>
          <w:u w:val="double"/>
        </w:rPr>
        <w:t>Seller and Purchaser dispute or disagreement) have the power or authority to render a decision, make any award or grant any relief of any nature whatsoever in favor of Seller against Agent, and any attempt shall be void ab initio.</w:t>
      </w:r>
      <w:r>
        <w:rPr/>
        <w:t xml:space="preserve"> </w:t>
      </w:r>
      <w:r>
        <w:rPr>
          <w:strike/>
        </w:rPr>
        <w:t>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BodyText"/>
        <w:rPr>
          <w:strike/>
        </w:rPr>
      </w:pPr>
      <w:r>
        <w:rPr>
          <w:strike/>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BodyText"/>
        <w:rPr>
          <w:strike/>
        </w:rPr>
      </w:pPr>
      <w:r>
        <w:rPr>
          <w:strike/>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pStyle w:val="BodyText"/>
        <w:rPr/>
      </w:pPr>
      <w:r>
        <w:rPr/>
      </w:r>
      <w:r>
        <w:br w:type="page"/>
      </w:r>
    </w:p>
    <w:p>
      <w:pPr>
        <w:pStyle w:val="BodyText"/>
        <w:rPr/>
      </w:pPr>
      <w:r>
        <w:rPr/>
        <w:t xml:space="preserve">This redlined draft, generated by CompareRite (TM) - The Instant Redliner, shows the differences between - </w:t>
      </w:r>
    </w:p>
    <w:p>
      <w:pPr>
        <w:pStyle w:val="BodyText"/>
        <w:rPr/>
      </w:pPr>
      <w:r>
        <w:rPr/>
        <w:t>original document   : C:\DOCUME~1\TAYLR\LOCALS~1\TEMP\HOU_595910_2</w:t>
      </w:r>
    </w:p>
    <w:p>
      <w:pPr>
        <w:pStyle w:val="BodyText"/>
        <w:rPr/>
      </w:pPr>
      <w:r>
        <w:rPr/>
        <w:t>and revised document: C:\DOCUME~1\TAYLR\LOCALS~1\TEMP\HOU_596247_1</w:t>
      </w:r>
    </w:p>
    <w:p>
      <w:pPr>
        <w:pStyle w:val="BodyText"/>
        <w:rPr/>
      </w:pPr>
      <w:r>
        <w:rPr/>
      </w:r>
    </w:p>
    <w:p>
      <w:pPr>
        <w:pStyle w:val="BodyText"/>
        <w:rPr/>
      </w:pPr>
      <w:r>
        <w:rPr/>
        <w:t>CompareRite found   24 change(s) in the text</w:t>
      </w:r>
    </w:p>
    <w:p>
      <w:pPr>
        <w:pStyle w:val="BodyText"/>
        <w:rPr/>
      </w:pPr>
      <w:r>
        <w:rPr/>
      </w:r>
    </w:p>
    <w:p>
      <w:pPr>
        <w:pStyle w:val="BodyText"/>
        <w:rPr/>
      </w:pPr>
      <w:r>
        <w:rPr/>
        <w:t xml:space="preserve">Deletions appear as Overstrike text </w:t>
      </w:r>
    </w:p>
    <w:p>
      <w:pPr>
        <w:pStyle w:val="BodyText"/>
        <w:spacing w:before="0" w:after="240"/>
        <w:rPr/>
      </w:pPr>
      <w:r>
        <w:rPr/>
        <w:t xml:space="preserve">Additions appear as Double Underline text </w:t>
      </w:r>
    </w:p>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align>bottom</wp:align>
              </wp:positionV>
              <wp:extent cx="668020" cy="365760"/>
              <wp:effectExtent l="0" t="0" r="0" b="0"/>
              <wp:wrapSquare wrapText="bothSides"/>
              <wp:docPr id="8" name="Frame1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HOU:596247.1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HOU:596247.1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5"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8020" cy="365760"/>
              <wp:effectExtent l="0" t="0" r="0" b="0"/>
              <wp:wrapSquare wrapText="bothSides"/>
              <wp:docPr id="6"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HOU:596346.1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t>A&amp;K DRAFT OF 12/6/00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ind w:hanging="720" w:start="1440" w:end="0"/>
      <w:outlineLvl w:val="1"/>
    </w:pPr>
    <w:rPr/>
  </w:style>
  <w:style w:type="paragraph" w:styleId="Heading3">
    <w:name w:val="heading 3"/>
    <w:basedOn w:val="Heading"/>
    <w:next w:val="BodyText"/>
    <w:qFormat/>
    <w:pPr>
      <w:numPr>
        <w:ilvl w:val="2"/>
        <w:numId w:val="1"/>
      </w:numPr>
      <w:tabs>
        <w:tab w:val="clear" w:pos="720"/>
      </w:tabs>
      <w:ind w:hanging="720" w:start="2160" w:end="0"/>
      <w:outlineLvl w:val="2"/>
    </w:pPr>
    <w:rPr/>
  </w:style>
  <w:style w:type="paragraph" w:styleId="Heading4">
    <w:name w:val="heading 4"/>
    <w:basedOn w:val="Heading"/>
    <w:next w:val="BodyText"/>
    <w:qFormat/>
    <w:pPr>
      <w:numPr>
        <w:ilvl w:val="3"/>
        <w:numId w:val="1"/>
      </w:numPr>
      <w:tabs>
        <w:tab w:val="clear" w:pos="720"/>
      </w:tabs>
      <w:ind w:firstLine="720" w:start="1440" w:end="0"/>
      <w:outlineLvl w:val="3"/>
    </w:pPr>
    <w:rPr/>
  </w:style>
  <w:style w:type="paragraph" w:styleId="Heading5">
    <w:name w:val="heading 5"/>
    <w:basedOn w:val="Heading"/>
    <w:next w:val="BodyText"/>
    <w:qFormat/>
    <w:pPr>
      <w:numPr>
        <w:ilvl w:val="4"/>
        <w:numId w:val="1"/>
      </w:numPr>
      <w:tabs>
        <w:tab w:val="clear" w:pos="720"/>
      </w:tabs>
      <w:ind w:firstLine="720" w:start="2160" w:end="0"/>
      <w:outlineLvl w:val="4"/>
    </w:pPr>
    <w:rPr/>
  </w:style>
  <w:style w:type="paragraph" w:styleId="Heading6">
    <w:name w:val="heading 6"/>
    <w:basedOn w:val="Heading"/>
    <w:next w:val="BodyText"/>
    <w:qFormat/>
    <w:pPr>
      <w:numPr>
        <w:ilvl w:val="5"/>
        <w:numId w:val="1"/>
      </w:numPr>
      <w:tabs>
        <w:tab w:val="clear" w:pos="720"/>
      </w:tabs>
      <w:ind w:firstLine="720" w:start="2880" w:end="0"/>
      <w:outlineLvl w:val="5"/>
    </w:pPr>
    <w:rPr/>
  </w:style>
  <w:style w:type="paragraph" w:styleId="Heading7">
    <w:name w:val="heading 7"/>
    <w:basedOn w:val="Heading"/>
    <w:next w:val="BodyText"/>
    <w:qFormat/>
    <w:pPr>
      <w:numPr>
        <w:ilvl w:val="6"/>
        <w:numId w:val="1"/>
      </w:numPr>
      <w:tabs>
        <w:tab w:val="clear" w:pos="720"/>
      </w:tabs>
      <w:ind w:firstLine="720" w:start="3600" w:end="0"/>
      <w:outlineLvl w:val="6"/>
    </w:pPr>
    <w:rPr/>
  </w:style>
  <w:style w:type="paragraph" w:styleId="Heading8">
    <w:name w:val="heading 8"/>
    <w:basedOn w:val="Heading"/>
    <w:next w:val="BodyText"/>
    <w:qFormat/>
    <w:pPr>
      <w:numPr>
        <w:ilvl w:val="7"/>
        <w:numId w:val="1"/>
      </w:numPr>
      <w:tabs>
        <w:tab w:val="clear" w:pos="720"/>
      </w:tabs>
      <w:ind w:firstLine="720" w:start="4320" w:end="0"/>
      <w:outlineLvl w:val="7"/>
    </w:pPr>
    <w:rPr/>
  </w:style>
  <w:style w:type="paragraph" w:styleId="Heading9">
    <w:name w:val="heading 9"/>
    <w:basedOn w:val="Heading"/>
    <w:next w:val="BodyText"/>
    <w:qFormat/>
    <w:pPr>
      <w:numPr>
        <w:ilvl w:val="8"/>
        <w:numId w:val="1"/>
      </w:numPr>
      <w:tabs>
        <w:tab w:val="clear" w:pos="720"/>
      </w:tabs>
      <w:ind w:hanging="720" w:start="144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2z0">
    <w:name w:val="WW8Num12z0"/>
    <w:qFormat/>
    <w:rPr/>
  </w:style>
  <w:style w:type="character" w:styleId="WW8Num12z8">
    <w:name w:val="WW8Num12z8"/>
    <w:qFormat/>
    <w:rPr>
      <w:rFonts w:ascii="Symbol" w:hAnsi="Symbol" w:cs="Times New Roman"/>
      <w:color w:val="000000"/>
      <w:sz w:val="28"/>
      <w:szCs w:val="28"/>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szCs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tabs>
        <w:tab w:val="clear" w:pos="720"/>
        <w:tab w:val="left" w:pos="1800" w:leader="none"/>
      </w:tabs>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2000-12-06T21:40:00Z</dcterms:created>
  <dc:creator>A&amp;K</dc:creator>
  <dc:description/>
  <dc:language>en-CA</dc:language>
  <cp:lastModifiedBy>A&amp;K</cp:lastModifiedBy>
  <cp:lastPrinted>2000-12-06T17:05:00Z</cp:lastPrinted>
  <dcterms:modified xsi:type="dcterms:W3CDTF">2000-12-06T21:41:00Z</dcterms:modified>
  <cp:revision>4</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HOU:596346.1 </vt:lpwstr>
  </property>
</Properties>
</file>