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17" w:type="dxa"/>
        <w:jc w:val="start"/>
        <w:tblInd w:w="0" w:type="dxa"/>
        <w:tblLayout w:type="fixed"/>
        <w:tblCellMar>
          <w:top w:w="0" w:type="dxa"/>
          <w:start w:w="108" w:type="dxa"/>
          <w:bottom w:w="0" w:type="dxa"/>
          <w:end w:w="108" w:type="dxa"/>
        </w:tblCellMar>
      </w:tblPr>
      <w:tblGrid>
        <w:gridCol w:w="6210"/>
        <w:gridCol w:w="3107"/>
      </w:tblGrid>
      <w:tr>
        <w:trPr>
          <w:trHeight w:val="1512" w:hRule="exact"/>
        </w:trPr>
        <w:tc>
          <w:tcPr>
            <w:tcW w:w="6210" w:type="dxa"/>
            <w:tcBorders/>
          </w:tcPr>
          <w:p>
            <w:pPr>
              <w:pStyle w:val="Normal"/>
              <w:rPr>
                <w:sz w:val="32"/>
              </w:rPr>
            </w:pPr>
            <w:r>
              <w:rPr>
                <w:sz w:val="32"/>
              </w:rPr>
              <w:t>11/29 Draft</w:t>
            </w:r>
          </w:p>
          <w:p>
            <w:pPr>
              <w:pStyle w:val="Normal"/>
              <w:rPr>
                <w:sz w:val="32"/>
                <w:u w:val="single"/>
              </w:rPr>
            </w:pPr>
            <w:r>
              <w:rPr>
                <w:sz w:val="32"/>
                <w:u w:val="single"/>
              </w:rPr>
              <w:t>For distribution to market participants</w:t>
            </w:r>
          </w:p>
          <w:p>
            <w:pPr>
              <w:pStyle w:val="Normal"/>
              <w:rPr>
                <w:sz w:val="32"/>
                <w:u w:val="single"/>
              </w:rPr>
            </w:pPr>
            <w:r>
              <w:rPr>
                <w:sz w:val="32"/>
                <w:u w:val="single"/>
              </w:rPr>
            </w:r>
          </w:p>
        </w:tc>
        <w:tc>
          <w:tcPr>
            <w:tcW w:w="3107" w:type="dxa"/>
            <w:tcBorders/>
          </w:tcPr>
          <w:p>
            <w:pPr>
              <w:pStyle w:val="PersonalInfo"/>
              <w:snapToGrid w:val="false"/>
              <w:rPr/>
            </w:pPr>
            <w:r>
              <w:rPr/>
            </w:r>
          </w:p>
        </w:tc>
      </w:tr>
      <w:tr>
        <w:trPr>
          <w:trHeight w:val="200" w:hRule="exact"/>
        </w:trPr>
        <w:tc>
          <w:tcPr>
            <w:tcW w:w="6210" w:type="dxa"/>
            <w:tcBorders/>
          </w:tcPr>
          <w:p>
            <w:pPr>
              <w:pStyle w:val="Normal"/>
              <w:snapToGrid w:val="false"/>
              <w:rPr/>
            </w:pPr>
            <w:r>
              <w:rPr/>
            </w:r>
          </w:p>
        </w:tc>
        <w:tc>
          <w:tcPr>
            <w:tcW w:w="3107" w:type="dxa"/>
            <w:tcBorders/>
          </w:tcPr>
          <w:p>
            <w:pPr>
              <w:pStyle w:val="PersonalInfo"/>
              <w:rPr/>
            </w:pPr>
            <w:r>
              <w:rPr/>
              <w:t>ROBERT E. FERNANDEZ</w:t>
            </w:r>
          </w:p>
        </w:tc>
      </w:tr>
      <w:tr>
        <w:trPr>
          <w:trHeight w:val="200" w:hRule="exact"/>
        </w:trPr>
        <w:tc>
          <w:tcPr>
            <w:tcW w:w="6210" w:type="dxa"/>
            <w:tcBorders/>
          </w:tcPr>
          <w:p>
            <w:pPr>
              <w:pStyle w:val="Normal"/>
              <w:snapToGrid w:val="false"/>
              <w:rPr/>
            </w:pPr>
            <w:r>
              <w:rPr/>
            </w:r>
          </w:p>
        </w:tc>
        <w:tc>
          <w:tcPr>
            <w:tcW w:w="3107" w:type="dxa"/>
            <w:tcBorders/>
          </w:tcPr>
          <w:p>
            <w:pPr>
              <w:pStyle w:val="PersonalInfo"/>
              <w:rPr/>
            </w:pPr>
            <w:r>
              <w:rPr/>
              <w:t>DIRECT DIAL: 518-356-6081</w:t>
            </w:r>
          </w:p>
        </w:tc>
      </w:tr>
      <w:tr>
        <w:trPr>
          <w:trHeight w:val="200" w:hRule="exact"/>
        </w:trPr>
        <w:tc>
          <w:tcPr>
            <w:tcW w:w="6210" w:type="dxa"/>
            <w:tcBorders/>
          </w:tcPr>
          <w:p>
            <w:pPr>
              <w:pStyle w:val="Normal"/>
              <w:snapToGrid w:val="false"/>
              <w:rPr/>
            </w:pPr>
            <w:r>
              <w:rPr/>
            </w:r>
          </w:p>
        </w:tc>
        <w:tc>
          <w:tcPr>
            <w:tcW w:w="3107" w:type="dxa"/>
            <w:tcBorders/>
          </w:tcPr>
          <w:p>
            <w:pPr>
              <w:pStyle w:val="PersonalInfo"/>
              <w:rPr/>
            </w:pPr>
            <w:r>
              <w:rPr/>
              <w:t>EMAIL: rfernandez@NYISO.com</w:t>
            </w:r>
          </w:p>
        </w:tc>
      </w:tr>
      <w:tr>
        <w:trPr>
          <w:trHeight w:val="300" w:hRule="exact"/>
        </w:trPr>
        <w:tc>
          <w:tcPr>
            <w:tcW w:w="6210" w:type="dxa"/>
            <w:tcBorders/>
          </w:tcPr>
          <w:p>
            <w:pPr>
              <w:pStyle w:val="Normal"/>
              <w:rPr/>
            </w:pPr>
            <w:r>
              <w:rPr/>
              <w:t>December 1, 2000</w:t>
            </w:r>
          </w:p>
        </w:tc>
        <w:tc>
          <w:tcPr>
            <w:tcW w:w="3107" w:type="dxa"/>
            <w:tcBorders/>
          </w:tcPr>
          <w:p>
            <w:pPr>
              <w:pStyle w:val="PersonalInfo"/>
              <w:snapToGrid w:val="false"/>
              <w:rPr/>
            </w:pPr>
            <w:r>
              <w:rPr/>
            </w:r>
          </w:p>
        </w:tc>
      </w:tr>
      <w:tr>
        <w:trPr>
          <w:trHeight w:val="200" w:hRule="exact"/>
        </w:trPr>
        <w:tc>
          <w:tcPr>
            <w:tcW w:w="6210" w:type="dxa"/>
            <w:tcBorders/>
          </w:tcPr>
          <w:p>
            <w:pPr>
              <w:pStyle w:val="Normal"/>
              <w:snapToGrid w:val="false"/>
              <w:rPr/>
            </w:pPr>
            <w:r>
              <w:rPr/>
            </w:r>
          </w:p>
        </w:tc>
        <w:tc>
          <w:tcPr>
            <w:tcW w:w="3107" w:type="dxa"/>
            <w:tcBorders/>
          </w:tcPr>
          <w:p>
            <w:pPr>
              <w:pStyle w:val="PersonalInfo"/>
              <w:rPr/>
            </w:pPr>
            <w:r>
              <w:rPr/>
              <w:t xml:space="preserve">FILE NO: </w:t>
            </w:r>
          </w:p>
        </w:tc>
      </w:tr>
    </w:tbl>
    <w:p>
      <w:pPr>
        <w:pStyle w:val="Normal"/>
        <w:rPr>
          <w:b/>
          <w:spacing w:val="-20"/>
          <w:sz w:val="20"/>
        </w:rPr>
      </w:pPr>
      <w:r>
        <w:rPr>
          <w:b/>
          <w:spacing w:val="-20"/>
          <w:sz w:val="20"/>
        </w:rPr>
      </w:r>
    </w:p>
    <w:p>
      <w:pPr>
        <w:pStyle w:val="Normal"/>
        <w:rPr>
          <w:b/>
          <w:spacing w:val="-20"/>
          <w:sz w:val="20"/>
        </w:rPr>
      </w:pPr>
      <w:r>
        <w:rPr>
          <w:b/>
          <w:spacing w:val="-20"/>
          <w:sz w:val="20"/>
        </w:rPr>
        <w:t>BY HAND</w:t>
      </w:r>
    </w:p>
    <w:p>
      <w:pPr>
        <w:pStyle w:val="Normal"/>
        <w:rPr>
          <w:b/>
          <w:spacing w:val="-20"/>
          <w:sz w:val="20"/>
        </w:rPr>
      </w:pPr>
      <w:r>
        <w:rPr>
          <w:b/>
          <w:spacing w:val="-20"/>
          <w:sz w:val="20"/>
        </w:rPr>
      </w:r>
    </w:p>
    <w:p>
      <w:pPr>
        <w:pStyle w:val="Recipient"/>
        <w:rPr/>
      </w:pPr>
      <w:r>
        <w:rPr/>
        <w:t>The Honorable David P. Boergers</w:t>
      </w:r>
    </w:p>
    <w:p>
      <w:pPr>
        <w:pStyle w:val="Recipient"/>
        <w:rPr/>
      </w:pPr>
      <w:r>
        <w:rPr/>
        <w:t>Secretary</w:t>
      </w:r>
    </w:p>
    <w:p>
      <w:pPr>
        <w:pStyle w:val="Recipient"/>
        <w:rPr/>
      </w:pPr>
      <w:r>
        <w:rPr/>
        <w:t>Federal Energy Regulatory Commission</w:t>
      </w:r>
    </w:p>
    <w:p>
      <w:pPr>
        <w:pStyle w:val="Recipient"/>
        <w:rPr/>
      </w:pPr>
      <w:r>
        <w:rPr/>
        <w:t>888 First Street, N.E.</w:t>
      </w:r>
    </w:p>
    <w:p>
      <w:pPr>
        <w:pStyle w:val="Recipient"/>
        <w:rPr/>
      </w:pPr>
      <w:r>
        <w:rPr/>
        <w:t>Washington, D.C. 20426</w:t>
      </w:r>
    </w:p>
    <w:p>
      <w:pPr>
        <w:pStyle w:val="Normal"/>
        <w:jc w:val="center"/>
        <w:rPr/>
      </w:pPr>
      <w:r>
        <w:rPr/>
      </w:r>
    </w:p>
    <w:p>
      <w:pPr>
        <w:pStyle w:val="Normal"/>
        <w:jc w:val="center"/>
        <w:rPr/>
      </w:pPr>
      <w:r>
        <w:rPr/>
        <w:t>New York Independent System Operator, Inc.’s</w:t>
      </w:r>
    </w:p>
    <w:p>
      <w:pPr>
        <w:pStyle w:val="Normal"/>
        <w:jc w:val="center"/>
        <w:rPr/>
      </w:pPr>
      <w:r>
        <w:rPr/>
        <w:t>Report on Certain Generation Issues One Year After Start-up</w:t>
      </w:r>
    </w:p>
    <w:p>
      <w:pPr>
        <w:pStyle w:val="Normal"/>
        <w:jc w:val="center"/>
        <w:rPr/>
      </w:pPr>
      <w:r>
        <w:rPr/>
        <w:t>in Docket Nos. ER97-1523, and –004, OA97-470-004</w:t>
      </w:r>
    </w:p>
    <w:p>
      <w:pPr>
        <w:pStyle w:val="Normal"/>
        <w:jc w:val="center"/>
        <w:rPr/>
      </w:pPr>
      <w:r>
        <w:rPr/>
        <w:t>and –005, and ER97-4234-002 and -003</w:t>
      </w:r>
    </w:p>
    <w:p>
      <w:pPr>
        <w:pStyle w:val="Normal"/>
        <w:rPr/>
      </w:pPr>
      <w:r>
        <w:rPr/>
      </w:r>
    </w:p>
    <w:p>
      <w:pPr>
        <w:pStyle w:val="Normal"/>
        <w:rPr/>
      </w:pPr>
      <w:r>
        <w:rPr/>
      </w:r>
    </w:p>
    <w:p>
      <w:pPr>
        <w:pStyle w:val="Normal"/>
        <w:rPr/>
      </w:pPr>
      <w:r>
        <w:rPr/>
        <w:t>Dear Mr. Boergers:</w:t>
      </w:r>
    </w:p>
    <w:p>
      <w:pPr>
        <w:pStyle w:val="Normal"/>
        <w:rPr/>
      </w:pPr>
      <w:r>
        <w:rPr/>
      </w:r>
    </w:p>
    <w:p>
      <w:pPr>
        <w:pStyle w:val="Normal"/>
        <w:jc w:val="both"/>
        <w:rPr/>
      </w:pPr>
      <w:r>
        <w:rPr/>
        <w:tab/>
        <w:t xml:space="preserve">In its </w:t>
      </w:r>
      <w:r>
        <w:rPr>
          <w:i/>
        </w:rPr>
        <w:t xml:space="preserve">Order Denying in Part and Granting in Part Rehearing and Clarification and Conditionally Accepting Compliance Filing, (“July Order”) </w:t>
      </w:r>
      <w:r>
        <w:rPr/>
        <w:t>in the above captioned proceeding,</w:t>
      </w:r>
      <w:r>
        <w:rPr>
          <w:rStyle w:val="FootnoteCharacters"/>
          <w:rStyle w:val="FootnoteReference"/>
        </w:rPr>
        <w:footnoteReference w:id="2"/>
      </w:r>
      <w:r>
        <w:rPr/>
        <w:t xml:space="preserve"> the Commission affirmed its January, 1999 approval</w:t>
      </w:r>
      <w:r>
        <w:rPr>
          <w:rStyle w:val="FootnoteCharacters"/>
          <w:rStyle w:val="FootnoteReference"/>
        </w:rPr>
        <w:footnoteReference w:id="3"/>
      </w:r>
      <w:r>
        <w:rPr/>
        <w:t xml:space="preserve"> of the New York System Operator, Inc.’s (“NYISO”) treatment of uninstructed overgeneration and market rules for intermittent generators.  Responding to the complaints of several market participants, however, FERC instructed the NYISO to:</w:t>
      </w:r>
    </w:p>
    <w:p>
      <w:pPr>
        <w:pStyle w:val="Normal"/>
        <w:jc w:val="both"/>
        <w:rPr/>
      </w:pPr>
      <w:r>
        <w:rPr/>
      </w:r>
    </w:p>
    <w:p>
      <w:pPr>
        <w:pStyle w:val="Normal"/>
        <w:ind w:start="1440" w:end="1440"/>
        <w:jc w:val="both"/>
        <w:rPr/>
      </w:pPr>
      <w:r>
        <w:rPr/>
        <w:t>[C]onsult with stakeholders on these issues, and file a report on its conclusions and recommendation with the Commission one year after it begins market operations.</w:t>
      </w:r>
      <w:r>
        <w:rPr>
          <w:rStyle w:val="FootnoteCharacters"/>
          <w:rStyle w:val="FootnoteReference"/>
        </w:rPr>
        <w:footnoteReference w:id="4"/>
      </w:r>
    </w:p>
    <w:p>
      <w:pPr>
        <w:pStyle w:val="Normal"/>
        <w:jc w:val="both"/>
        <w:rPr/>
      </w:pPr>
      <w:r>
        <w:rPr/>
      </w:r>
    </w:p>
    <w:p>
      <w:pPr>
        <w:pStyle w:val="Normal"/>
        <w:ind w:firstLine="720" w:end="0"/>
        <w:jc w:val="both"/>
        <w:rPr/>
      </w:pPr>
      <w:r>
        <w:rPr/>
        <w:t>The issues referred to included the circumstances under which the absence of compensation for uninstructed overgeneration remained justified and whether special market rules may be necessary to accommodate the special operating characteristics of generators such as wind, photovoltaic and hydro generators.</w:t>
      </w:r>
      <w:r>
        <w:rPr>
          <w:rStyle w:val="FootnoteCharacters"/>
          <w:rStyle w:val="FootnoteReference"/>
        </w:rPr>
        <w:footnoteReference w:id="5"/>
      </w:r>
      <w:r>
        <w:rPr/>
        <w:t xml:space="preserve">   </w:t>
      </w:r>
    </w:p>
    <w:p>
      <w:pPr>
        <w:pStyle w:val="Normal"/>
        <w:jc w:val="both"/>
        <w:rPr/>
      </w:pPr>
      <w:r>
        <w:rPr/>
      </w:r>
    </w:p>
    <w:p>
      <w:pPr>
        <w:pStyle w:val="Normal"/>
        <w:jc w:val="both"/>
        <w:rPr/>
      </w:pPr>
      <w:r>
        <w:rPr/>
        <w:tab/>
        <w:t>Accordingly, the NYISO is timely submitting</w:t>
      </w:r>
      <w:r>
        <w:rPr>
          <w:rStyle w:val="FootnoteCharacters"/>
          <w:rStyle w:val="FootnoteReference"/>
        </w:rPr>
        <w:footnoteReference w:id="6"/>
      </w:r>
      <w:r>
        <w:rPr/>
        <w:t xml:space="preserve"> a report on its evaluation, carried out in conjunction with the market participants, on these issues.   At the present time the NYISO and the market participants are developing a description of the circumstances, in preparation for a future tariff filing, under which paying for uninstructed overgeneration may be appropriate.  When agreement is reached, appropriate tariff amendments will be filed.  </w:t>
      </w:r>
    </w:p>
    <w:p>
      <w:pPr>
        <w:pStyle w:val="Normal"/>
        <w:jc w:val="both"/>
        <w:rPr/>
      </w:pPr>
      <w:r>
        <w:rPr/>
      </w:r>
    </w:p>
    <w:p>
      <w:pPr>
        <w:pStyle w:val="Normal"/>
        <w:ind w:firstLine="720" w:end="0"/>
        <w:jc w:val="both"/>
        <w:rPr/>
      </w:pPr>
      <w:r>
        <w:rPr/>
        <w:t>Similarly, the NYISO and many, if not all, Market Participants have concluded that it may be necessary to accommodate the special operating characteristics of wind, photovoltaic and certain hydro facilities in the NYISO market.  Some accommodations have already been effectuated and approved by FERC.</w:t>
      </w:r>
      <w:r>
        <w:rPr>
          <w:rStyle w:val="FootnoteCharacters"/>
          <w:rStyle w:val="FootnoteReference"/>
        </w:rPr>
        <w:footnoteReference w:id="7"/>
      </w:r>
      <w:r>
        <w:rPr/>
        <w:t xml:space="preserve">  Others will be contained in tariff filings that will be made within the next several months to implement a permanent installed capacity market.  Should additional tariff amendments be necessary, the NYISO and the market participants will file them as well.</w:t>
      </w:r>
    </w:p>
    <w:p>
      <w:pPr>
        <w:pStyle w:val="Normal"/>
        <w:jc w:val="both"/>
        <w:rPr/>
      </w:pPr>
      <w:r>
        <w:rPr/>
      </w:r>
    </w:p>
    <w:p>
      <w:pPr>
        <w:pStyle w:val="Normal"/>
        <w:keepNext w:val="true"/>
        <w:keepLines/>
        <w:jc w:val="both"/>
        <w:rPr/>
      </w:pPr>
      <w:r>
        <w:rPr>
          <w:b/>
        </w:rPr>
        <w:t>I.</w:t>
        <w:tab/>
      </w:r>
      <w:r>
        <w:rPr>
          <w:b/>
          <w:u w:val="single"/>
        </w:rPr>
        <w:t>Documents Submitted</w:t>
      </w:r>
      <w:r>
        <w:rPr>
          <w:u w:val="single"/>
        </w:rPr>
        <w:t xml:space="preserve"> </w:t>
      </w:r>
    </w:p>
    <w:p>
      <w:pPr>
        <w:pStyle w:val="Normal"/>
        <w:keepNext w:val="true"/>
        <w:keepLines/>
        <w:tabs>
          <w:tab w:val="clear" w:pos="720"/>
          <w:tab w:val="left" w:pos="0" w:leader="none"/>
        </w:tabs>
        <w:suppressAutoHyphens w:val="true"/>
        <w:jc w:val="both"/>
        <w:rPr>
          <w:u w:val="single"/>
        </w:rPr>
      </w:pPr>
      <w:r>
        <w:rPr>
          <w:u w:val="single"/>
        </w:rPr>
      </w:r>
    </w:p>
    <w:p>
      <w:pPr>
        <w:pStyle w:val="Normal"/>
        <w:tabs>
          <w:tab w:val="clear" w:pos="720"/>
          <w:tab w:val="left" w:pos="0" w:leader="none"/>
        </w:tabs>
        <w:suppressAutoHyphens w:val="true"/>
        <w:jc w:val="both"/>
        <w:rPr/>
      </w:pPr>
      <w:r>
        <w:rPr/>
        <w:tab/>
        <w:t>1.</w:t>
        <w:tab/>
        <w:t>This report;</w:t>
      </w:r>
    </w:p>
    <w:p>
      <w:pPr>
        <w:pStyle w:val="Normal"/>
        <w:ind w:start="720" w:end="0"/>
        <w:jc w:val="both"/>
        <w:rPr/>
      </w:pPr>
      <w:r>
        <w:rPr/>
      </w:r>
    </w:p>
    <w:p>
      <w:pPr>
        <w:pStyle w:val="Normal"/>
        <w:ind w:start="720" w:end="0"/>
        <w:jc w:val="both"/>
        <w:rPr/>
      </w:pPr>
      <w:r>
        <w:rPr/>
        <w:t>2.</w:t>
        <w:tab/>
        <w:t xml:space="preserve">Form of </w:t>
      </w:r>
      <w:r>
        <w:rPr>
          <w:i/>
        </w:rPr>
        <w:t xml:space="preserve">Federal Register </w:t>
      </w:r>
      <w:r>
        <w:rPr/>
        <w:t>Notice (“Attachment B”).</w:t>
      </w:r>
    </w:p>
    <w:p>
      <w:pPr>
        <w:pStyle w:val="Normal"/>
        <w:tabs>
          <w:tab w:val="clear" w:pos="720"/>
          <w:tab w:val="left" w:pos="0" w:leader="none"/>
        </w:tabs>
        <w:suppressAutoHyphens w:val="true"/>
        <w:spacing w:before="360" w:after="0"/>
        <w:jc w:val="both"/>
        <w:rPr/>
      </w:pPr>
      <w:r>
        <w:rPr>
          <w:b/>
        </w:rPr>
        <w:t>II.</w:t>
        <w:tab/>
      </w:r>
      <w:r>
        <w:rPr>
          <w:b/>
          <w:u w:val="single"/>
        </w:rPr>
        <w:t>Copies of Correspondence</w:t>
      </w:r>
    </w:p>
    <w:p>
      <w:pPr>
        <w:pStyle w:val="Normal"/>
        <w:tabs>
          <w:tab w:val="clear" w:pos="720"/>
          <w:tab w:val="left" w:pos="0" w:leader="none"/>
        </w:tabs>
        <w:suppressAutoHyphens w:val="true"/>
        <w:jc w:val="both"/>
        <w:rPr/>
      </w:pPr>
      <w:r>
        <w:rPr/>
      </w:r>
    </w:p>
    <w:p>
      <w:pPr>
        <w:pStyle w:val="Normal"/>
        <w:keepNext w:val="true"/>
        <w:spacing w:lineRule="auto" w:line="480"/>
        <w:ind w:firstLine="720" w:end="-14"/>
        <w:jc w:val="both"/>
        <w:rPr/>
      </w:pPr>
      <w:r>
        <w:rPr/>
        <w:t>Communications regarding this proceeding should be addressed to:</w:t>
      </w:r>
    </w:p>
    <w:p>
      <w:pPr>
        <w:pStyle w:val="Normal"/>
        <w:ind w:end="-14"/>
        <w:jc w:val="both"/>
        <w:rPr/>
      </w:pPr>
      <w:r>
        <w:rPr/>
        <w:t>Robert E. Fernandez</w:t>
        <w:tab/>
        <w:tab/>
        <w:tab/>
        <w:tab/>
        <w:tab/>
        <w:tab/>
        <w:t>Arnold H. Quint</w:t>
      </w:r>
    </w:p>
    <w:p>
      <w:pPr>
        <w:pStyle w:val="Normal"/>
        <w:ind w:end="-14"/>
        <w:jc w:val="both"/>
        <w:rPr/>
      </w:pPr>
      <w:r>
        <w:rPr/>
        <w:t xml:space="preserve">  </w:t>
      </w:r>
      <w:r>
        <w:rPr/>
        <w:t>General Counsel</w:t>
        <w:tab/>
        <w:tab/>
        <w:tab/>
        <w:tab/>
        <w:tab/>
        <w:tab/>
        <w:t>Ted. J. Murphy</w:t>
      </w:r>
    </w:p>
    <w:p>
      <w:pPr>
        <w:pStyle w:val="Normal"/>
        <w:ind w:end="-14"/>
        <w:jc w:val="both"/>
        <w:rPr/>
      </w:pPr>
      <w:r>
        <w:rPr/>
        <w:t>Mollie Lampi</w:t>
        <w:tab/>
        <w:tab/>
        <w:tab/>
        <w:tab/>
        <w:tab/>
        <w:tab/>
        <w:tab/>
        <w:t>Hunton &amp; Williams</w:t>
      </w:r>
    </w:p>
    <w:p>
      <w:pPr>
        <w:pStyle w:val="Normal"/>
        <w:ind w:end="-14"/>
        <w:jc w:val="both"/>
        <w:rPr/>
      </w:pPr>
      <w:r>
        <w:rPr/>
        <w:t xml:space="preserve">  </w:t>
      </w:r>
      <w:r>
        <w:rPr/>
        <w:t>Senior Attorney</w:t>
        <w:tab/>
        <w:tab/>
        <w:tab/>
        <w:tab/>
        <w:tab/>
        <w:tab/>
        <w:t>1900 K Street, N.W.</w:t>
      </w:r>
    </w:p>
    <w:p>
      <w:pPr>
        <w:pStyle w:val="Normal"/>
        <w:ind w:end="-14"/>
        <w:jc w:val="both"/>
        <w:rPr/>
      </w:pPr>
      <w:r>
        <w:rPr/>
        <w:t>John P. Buechler</w:t>
      </w:r>
    </w:p>
    <w:p>
      <w:pPr>
        <w:pStyle w:val="Normal"/>
        <w:ind w:end="-14"/>
        <w:jc w:val="both"/>
        <w:rPr/>
      </w:pPr>
      <w:r>
        <w:rPr/>
        <w:t xml:space="preserve">   </w:t>
      </w:r>
      <w:r>
        <w:rPr/>
        <w:t>Director of Regulatory Affairs</w:t>
      </w:r>
    </w:p>
    <w:p>
      <w:pPr>
        <w:pStyle w:val="Normal"/>
        <w:ind w:end="-14"/>
        <w:jc w:val="both"/>
        <w:rPr/>
      </w:pPr>
      <w:r>
        <w:rPr/>
        <w:t xml:space="preserve">New York Independent System </w:t>
        <w:tab/>
        <w:tab/>
        <w:tab/>
        <w:tab/>
        <w:t>Washington, D.C. 20006</w:t>
      </w:r>
    </w:p>
    <w:p>
      <w:pPr>
        <w:pStyle w:val="Normal"/>
        <w:ind w:end="-14"/>
        <w:jc w:val="both"/>
        <w:rPr/>
      </w:pPr>
      <w:r>
        <w:rPr/>
        <w:t xml:space="preserve">     </w:t>
      </w:r>
      <w:r>
        <w:rPr/>
        <w:t>Operator, Inc.</w:t>
        <w:tab/>
        <w:t xml:space="preserve"> </w:t>
        <w:tab/>
        <w:tab/>
        <w:tab/>
        <w:tab/>
        <w:tab/>
        <w:t>Tel: (202) 955-1500</w:t>
      </w:r>
    </w:p>
    <w:p>
      <w:pPr>
        <w:pStyle w:val="Normal"/>
        <w:ind w:end="-14"/>
        <w:jc w:val="both"/>
        <w:rPr/>
      </w:pPr>
      <w:r>
        <w:rPr/>
        <w:t>3890 Carman Road</w:t>
        <w:tab/>
        <w:tab/>
        <w:tab/>
        <w:tab/>
        <w:tab/>
        <w:tab/>
        <w:t>Fax: (202) 778-2201</w:t>
        <w:tab/>
      </w:r>
    </w:p>
    <w:p>
      <w:pPr>
        <w:pStyle w:val="Normal"/>
        <w:ind w:end="-14"/>
        <w:jc w:val="both"/>
        <w:rPr/>
      </w:pPr>
      <w:r>
        <w:rPr/>
        <w:t xml:space="preserve">Schenectady, NY  12303 </w:t>
        <w:tab/>
        <w:tab/>
        <w:tab/>
        <w:tab/>
        <w:tab/>
        <w:t>aquint@hunton.com</w:t>
      </w:r>
    </w:p>
    <w:p>
      <w:pPr>
        <w:pStyle w:val="Normal"/>
        <w:ind w:end="-14"/>
        <w:jc w:val="both"/>
        <w:rPr/>
      </w:pPr>
      <w:r>
        <w:rPr/>
        <w:tab/>
        <w:t xml:space="preserve"> </w:t>
      </w:r>
    </w:p>
    <w:p>
      <w:pPr>
        <w:pStyle w:val="Normal"/>
        <w:jc w:val="both"/>
        <w:rPr/>
      </w:pPr>
      <w:r>
        <w:rPr/>
      </w:r>
    </w:p>
    <w:p>
      <w:pPr>
        <w:pStyle w:val="Normal"/>
        <w:jc w:val="both"/>
        <w:rPr/>
      </w:pPr>
      <w:r>
        <w:rPr/>
      </w:r>
    </w:p>
    <w:p>
      <w:pPr>
        <w:pStyle w:val="Normal"/>
        <w:jc w:val="both"/>
        <w:rPr/>
      </w:pPr>
      <w:r>
        <w:rPr>
          <w:b/>
        </w:rPr>
        <w:t xml:space="preserve">III. </w:t>
      </w:r>
      <w:r>
        <w:rPr>
          <w:b/>
          <w:u w:val="single"/>
        </w:rPr>
        <w:t>Report</w:t>
      </w:r>
    </w:p>
    <w:p>
      <w:pPr>
        <w:pStyle w:val="Normal"/>
        <w:jc w:val="both"/>
        <w:rPr>
          <w:b/>
          <w:u w:val="single"/>
        </w:rPr>
      </w:pPr>
      <w:r>
        <w:rPr>
          <w:b/>
          <w:u w:val="single"/>
        </w:rPr>
      </w:r>
    </w:p>
    <w:p>
      <w:pPr>
        <w:pStyle w:val="Normal"/>
        <w:jc w:val="both"/>
        <w:rPr/>
      </w:pPr>
      <w:r>
        <w:rPr/>
        <w:tab/>
        <w:t>The ISO Services Tariff precludes payment to generators for energy delivered above their SCD base point signal, in most circumstances, as a disincentive to over generation.</w:t>
      </w:r>
      <w:r>
        <w:rPr>
          <w:rStyle w:val="FootnoteCharacters"/>
          <w:rStyle w:val="FootnoteReference"/>
        </w:rPr>
        <w:footnoteReference w:id="8"/>
      </w:r>
      <w:r>
        <w:rPr/>
        <w:t xml:space="preserve">  The Member Systems</w:t>
      </w:r>
      <w:r>
        <w:rPr>
          <w:rStyle w:val="FootnoteCharacters"/>
          <w:rStyle w:val="FootnoteReference"/>
        </w:rPr>
        <w:footnoteReference w:id="9"/>
      </w:r>
      <w:r>
        <w:rPr/>
        <w:t xml:space="preserve"> justified this tariff provision by arguing that overgeneration could seriously affect reliability and cause damage to other generation and transmission equipment.</w:t>
      </w:r>
    </w:p>
    <w:p>
      <w:pPr>
        <w:pStyle w:val="Normal"/>
        <w:jc w:val="both"/>
        <w:rPr/>
      </w:pPr>
      <w:r>
        <w:rPr/>
      </w:r>
    </w:p>
    <w:p>
      <w:pPr>
        <w:pStyle w:val="Normal"/>
        <w:ind w:firstLine="720" w:end="0"/>
        <w:jc w:val="both"/>
        <w:rPr/>
      </w:pPr>
      <w:r>
        <w:rPr/>
        <w:t>In accepting the tariff provisions as filed, FERC requested that the NYISO evaluate whether the provision remained necessary given its applicability regardless of generator location and that similar risks caused by under-generation may go un-penalized.  FERC also asked the NYISO to evaluate whether LBMP price signals were sufficient to address over generation problems, particularly since ISOs operating real-time markets in PJM, California and New England all pay for uninstructed overgeneration.</w:t>
      </w:r>
      <w:r>
        <w:rPr>
          <w:rStyle w:val="FootnoteCharacters"/>
          <w:rStyle w:val="FootnoteReference"/>
        </w:rPr>
        <w:footnoteReference w:id="10"/>
      </w:r>
    </w:p>
    <w:p>
      <w:pPr>
        <w:pStyle w:val="Normal"/>
        <w:ind w:firstLine="720" w:end="0"/>
        <w:jc w:val="both"/>
        <w:rPr/>
      </w:pPr>
      <w:r>
        <w:rPr/>
      </w:r>
    </w:p>
    <w:p>
      <w:pPr>
        <w:pStyle w:val="Normal"/>
        <w:ind w:firstLine="720" w:end="0"/>
        <w:jc w:val="both"/>
        <w:rPr/>
      </w:pPr>
      <w:r>
        <w:rPr/>
        <w:t>The NYISO staff and the Market Participant committees have reviewed the questions FERC raised.   The Operating Committee received a report on these issues from the System Operations Advisory Committee at its May, 2000 meeting and the Scheduling and Pricing Working Group is currently reviewing the issue before reporting back to the Business Issues Committee on its progress.</w:t>
      </w:r>
      <w:r>
        <w:rPr>
          <w:rStyle w:val="FootnoteCharacters"/>
        </w:rPr>
        <w:t xml:space="preserve"> </w:t>
      </w:r>
      <w:r>
        <w:rPr>
          <w:rStyle w:val="FootnoteCharacters"/>
          <w:rStyle w:val="FootnoteReference"/>
        </w:rPr>
        <w:footnoteReference w:id="11"/>
      </w:r>
      <w:r>
        <w:rPr/>
        <w:t xml:space="preserve"> </w:t>
      </w:r>
    </w:p>
    <w:p>
      <w:pPr>
        <w:pStyle w:val="Normal"/>
        <w:jc w:val="both"/>
        <w:rPr/>
      </w:pPr>
      <w:r>
        <w:rPr/>
      </w:r>
    </w:p>
    <w:p>
      <w:pPr>
        <w:pStyle w:val="BodyTextIndent"/>
        <w:ind w:firstLine="720" w:start="0" w:end="0"/>
        <w:rPr/>
      </w:pPr>
      <w:r>
        <w:rPr/>
        <w:t>NYISO staff and Market Participants agree, in principle, that units that are willing to follow a LBMP price signal could benefit the system during periods of increasing or decreasing loads. Staff has proposed that a unit generating above its SCD basepoint when system indicators show additional generation is necessary to bring the Area Control Error back to zero should be paid its LBMP for all output. In addition, payment should be permitted when performance is within a deadband, in order not to unreasonably deny payment when generators are intending to move in a beneficial direction.</w:t>
      </w:r>
    </w:p>
    <w:p>
      <w:pPr>
        <w:pStyle w:val="BodyTextIndent"/>
        <w:ind w:firstLine="720" w:start="0" w:end="0"/>
        <w:rPr/>
      </w:pPr>
      <w:r>
        <w:rPr/>
      </w:r>
    </w:p>
    <w:p>
      <w:pPr>
        <w:pStyle w:val="BodyTextIndent"/>
        <w:ind w:firstLine="720" w:start="0" w:end="0"/>
        <w:rPr/>
      </w:pPr>
      <w:r>
        <w:rPr/>
        <w:t>The NYISO Staff has proposed to link payment (to on-and off-dispatch generators) for such over-generation to periods when system parameters indicate that the additional generation would not aggravate reliability constraints or result in sub-optimal regulation control. Under these system conditions, price alone may be an adequate indicator of constraint conditions such that generation moving consistent with price should be compensated.  Harsher penalties when transmission limits were in imminent risk of being violated may not be necessary.</w:t>
      </w:r>
    </w:p>
    <w:p>
      <w:pPr>
        <w:pStyle w:val="BodyTextIndent"/>
        <w:ind w:firstLine="720" w:start="0" w:end="0"/>
        <w:rPr/>
      </w:pPr>
      <w:r>
        <w:rPr/>
      </w:r>
    </w:p>
    <w:p>
      <w:pPr>
        <w:pStyle w:val="BodyTextIndent"/>
        <w:ind w:firstLine="720" w:start="0" w:end="0"/>
        <w:rPr/>
      </w:pPr>
      <w:r>
        <w:rPr/>
        <w:t>The NYISO is currently working with market participants to document the operating provisions necessary to allow payment for overgeneration, such as a requirement that the unit follow normal scheduling processes in order to avoid a sub-optimal hour-ahead BME schedule. Market participants have reacted favorably and NYISO staff intends to complete its evaluation in support of appropriate tariff amendments within the first quarter of 2001.</w:t>
      </w:r>
    </w:p>
    <w:p>
      <w:pPr>
        <w:pStyle w:val="Normal"/>
        <w:jc w:val="both"/>
        <w:rPr/>
      </w:pPr>
      <w:r>
        <w:rPr/>
        <w:tab/>
      </w:r>
    </w:p>
    <w:p>
      <w:pPr>
        <w:pStyle w:val="Normal"/>
        <w:jc w:val="both"/>
        <w:rPr/>
      </w:pPr>
      <w:r>
        <w:rPr/>
        <w:tab/>
        <w:t xml:space="preserve">The NYISO has also worked in the ICAP Working Group and elsewhere with Market Participants, particularly those operating intermittent facilities that have difficulty scheduling or controlling their output, on market rules to accommodate their special operating characteristics.  As mentioned, </w:t>
      </w:r>
      <w:r>
        <w:rPr>
          <w:i/>
        </w:rPr>
        <w:t>supra</w:t>
      </w:r>
      <w:r>
        <w:rPr/>
        <w:t>, the current cap on the amount of intermittent generation eligible for special energy balancing treatment under Section 4.18 of the NYISO Services tariff will be proposed to be increased to 500 MW.   As well, the NYISO is circulating to Market Participants a proposal to excuse intermittent generators from the ICAP obligations of bidding and scheduling requirements found in Article 5 of the NYISO Services Tariff.  The NYISO staff is also discussing with Market Participants</w:t>
      </w:r>
      <w:r>
        <w:rPr>
          <w:rStyle w:val="FootnoteCharacters"/>
          <w:rStyle w:val="FootnoteReference"/>
        </w:rPr>
        <w:footnoteReference w:id="12"/>
      </w:r>
      <w:r>
        <w:rPr/>
        <w:t xml:space="preserve"> the circumstances under which such producers should be excused from regulation performance penalties which otherwise apply when generators are generating at a level that differs from their schedule.</w:t>
      </w:r>
      <w:r>
        <w:rPr>
          <w:rStyle w:val="FootnoteCharacters"/>
          <w:rStyle w:val="FootnoteReference"/>
        </w:rPr>
        <w:footnoteReference w:id="13"/>
      </w:r>
    </w:p>
    <w:p>
      <w:pPr>
        <w:pStyle w:val="Normal"/>
        <w:jc w:val="both"/>
        <w:rPr/>
      </w:pPr>
      <w:r>
        <w:rPr/>
      </w:r>
    </w:p>
    <w:p>
      <w:pPr>
        <w:pStyle w:val="Normal"/>
        <w:jc w:val="both"/>
        <w:rPr/>
      </w:pPr>
      <w:r>
        <w:rPr/>
        <w:tab/>
        <w:t>The NYISO and its Market Participants have not yet concluded their work on these issues.  As this report documents, however, we fully expect to reach consensus on substantially all the issues raised in this regard by FERC in its July Order.  We anticipate that an appropriate filing will be made for Commission approval by the end of the first quarter 2001.</w:t>
      </w:r>
    </w:p>
    <w:p>
      <w:pPr>
        <w:pStyle w:val="FootnoteText"/>
        <w:ind w:firstLine="720" w:end="0"/>
        <w:jc w:val="both"/>
        <w:rPr/>
      </w:pPr>
      <w:r>
        <w:rPr/>
      </w:r>
    </w:p>
    <w:p>
      <w:pPr>
        <w:pStyle w:val="Normal"/>
        <w:numPr>
          <w:ilvl w:val="0"/>
          <w:numId w:val="2"/>
        </w:numPr>
        <w:jc w:val="both"/>
        <w:rPr/>
      </w:pPr>
      <w:r>
        <w:rPr/>
        <w:t xml:space="preserve"> </w:t>
      </w:r>
      <w:r>
        <w:rPr/>
        <w:tab/>
      </w:r>
      <w:r>
        <w:rPr>
          <w:b/>
          <w:i/>
          <w:u w:val="single"/>
        </w:rPr>
        <w:t xml:space="preserve">Federal Register </w:t>
      </w:r>
      <w:r>
        <w:rPr>
          <w:b/>
          <w:u w:val="single"/>
        </w:rPr>
        <w:t>Notice</w:t>
      </w:r>
      <w:r>
        <w:rPr/>
        <w:t xml:space="preserve">   </w:t>
      </w:r>
    </w:p>
    <w:p>
      <w:pPr>
        <w:pStyle w:val="Normal"/>
        <w:jc w:val="both"/>
        <w:rPr/>
      </w:pPr>
      <w:r>
        <w:rPr/>
      </w:r>
    </w:p>
    <w:p>
      <w:pPr>
        <w:pStyle w:val="Normal"/>
        <w:jc w:val="both"/>
        <w:rPr/>
      </w:pPr>
      <w:r>
        <w:rPr/>
        <w:tab/>
        <w:t xml:space="preserve">A form of </w:t>
      </w:r>
      <w:r>
        <w:rPr>
          <w:i/>
        </w:rPr>
        <w:t>Federal Register</w:t>
      </w:r>
      <w:r>
        <w:rPr/>
        <w:t xml:space="preserve"> Notice is provided as Attachment B hereto.</w:t>
      </w:r>
    </w:p>
    <w:p>
      <w:pPr>
        <w:pStyle w:val="Normal"/>
        <w:jc w:val="both"/>
        <w:rPr/>
      </w:pPr>
      <w:r>
        <w:rPr/>
      </w:r>
    </w:p>
    <w:p>
      <w:pPr>
        <w:pStyle w:val="Normal"/>
        <w:numPr>
          <w:ilvl w:val="0"/>
          <w:numId w:val="1"/>
        </w:numPr>
        <w:ind w:hanging="0" w:start="0" w:end="0"/>
        <w:jc w:val="both"/>
        <w:rPr/>
      </w:pPr>
      <w:r>
        <w:rPr>
          <w:b/>
        </w:rPr>
        <w:t xml:space="preserve"> </w:t>
      </w:r>
      <w:r>
        <w:rPr>
          <w:b/>
        </w:rPr>
        <w:tab/>
      </w:r>
      <w:r>
        <w:rPr>
          <w:b/>
          <w:u w:val="single"/>
        </w:rPr>
        <w:t>Service</w:t>
      </w:r>
      <w:r>
        <w:rPr/>
        <w:t xml:space="preserve">   </w:t>
      </w:r>
    </w:p>
    <w:p>
      <w:pPr>
        <w:pStyle w:val="Normal"/>
        <w:jc w:val="both"/>
        <w:rPr/>
      </w:pPr>
      <w:r>
        <w:rPr/>
      </w:r>
    </w:p>
    <w:p>
      <w:pPr>
        <w:pStyle w:val="Normal"/>
        <w:jc w:val="both"/>
        <w:rPr/>
      </w:pPr>
      <w:r>
        <w:rPr/>
        <w:tab/>
        <w:t>Copies of this filing are being served on all of the parties in Docket Nos. ER97-1523-003 and -004, OA97-470-004 and –005 and ER97-4234-002 and –003.</w:t>
      </w:r>
      <w:r>
        <w:br w:type="page"/>
      </w:r>
    </w:p>
    <w:p>
      <w:pPr>
        <w:pStyle w:val="Normal"/>
        <w:jc w:val="both"/>
        <w:rPr/>
      </w:pPr>
      <w:r>
        <w:rPr/>
      </w:r>
    </w:p>
    <w:p>
      <w:pPr>
        <w:pStyle w:val="Normal"/>
        <w:jc w:val="both"/>
        <w:rPr/>
      </w:pPr>
      <w:r>
        <w:rPr>
          <w:b/>
        </w:rPr>
        <w:t>VI.</w:t>
        <w:tab/>
      </w:r>
      <w:r>
        <w:rPr>
          <w:b/>
          <w:u w:val="single"/>
        </w:rPr>
        <w:t>Conclusion</w:t>
      </w:r>
    </w:p>
    <w:p>
      <w:pPr>
        <w:pStyle w:val="Normal"/>
        <w:jc w:val="both"/>
        <w:rPr/>
      </w:pPr>
      <w:r>
        <w:rPr/>
      </w:r>
    </w:p>
    <w:p>
      <w:pPr>
        <w:pStyle w:val="BodyText2"/>
        <w:rPr/>
      </w:pPr>
      <w:r>
        <w:rPr/>
        <w:tab/>
        <w:t xml:space="preserve">In conclusion, the NYISO respectfully requests that the Commission accept this report and find the NYISO to be in compliance with the July Order’s reporting requirement. </w:t>
      </w:r>
    </w:p>
    <w:p>
      <w:pPr>
        <w:pStyle w:val="Normal"/>
        <w:jc w:val="center"/>
        <w:rPr/>
      </w:pPr>
      <w:r>
        <w:rPr/>
      </w:r>
    </w:p>
    <w:p>
      <w:pPr>
        <w:pStyle w:val="Normal"/>
        <w:jc w:val="center"/>
        <w:rPr/>
      </w:pPr>
      <w:r>
        <w:rPr/>
      </w:r>
    </w:p>
    <w:p>
      <w:pPr>
        <w:pStyle w:val="Normal"/>
        <w:spacing w:lineRule="auto" w:line="480"/>
        <w:ind w:firstLine="720" w:start="3600" w:end="0"/>
        <w:rPr/>
      </w:pPr>
      <w:r>
        <w:rPr/>
        <w:t>Respectfully submitted,</w:t>
      </w:r>
    </w:p>
    <w:p>
      <w:pPr>
        <w:pStyle w:val="Normal"/>
        <w:keepNext w:val="true"/>
        <w:keepLines/>
        <w:tabs>
          <w:tab w:val="clear" w:pos="720"/>
          <w:tab w:val="left" w:pos="4320" w:leader="none"/>
        </w:tabs>
        <w:rPr/>
      </w:pPr>
      <w:r>
        <w:rPr/>
        <w:tab/>
        <w:t>NEW YORK INDEPENDENT</w:t>
      </w:r>
    </w:p>
    <w:p>
      <w:pPr>
        <w:pStyle w:val="Normal"/>
        <w:keepNext w:val="true"/>
        <w:keepLines/>
        <w:tabs>
          <w:tab w:val="clear" w:pos="720"/>
          <w:tab w:val="left" w:pos="4320" w:leader="none"/>
        </w:tabs>
        <w:rPr/>
      </w:pPr>
      <w:r>
        <w:rPr/>
        <w:tab/>
        <w:t>SYSTEM OPERATOR, INC.</w:t>
      </w:r>
    </w:p>
    <w:p>
      <w:pPr>
        <w:pStyle w:val="Normal"/>
        <w:keepNext w:val="true"/>
        <w:keepLines/>
        <w:tabs>
          <w:tab w:val="clear" w:pos="720"/>
          <w:tab w:val="left" w:pos="4320" w:leader="none"/>
        </w:tabs>
        <w:rPr/>
      </w:pPr>
      <w:r>
        <w:rPr/>
      </w:r>
    </w:p>
    <w:p>
      <w:pPr>
        <w:pStyle w:val="Normal"/>
        <w:keepNext w:val="true"/>
        <w:keepLines/>
        <w:tabs>
          <w:tab w:val="clear" w:pos="720"/>
          <w:tab w:val="left" w:pos="4320" w:leader="none"/>
        </w:tabs>
        <w:rPr/>
      </w:pPr>
      <w:r>
        <w:rPr/>
      </w:r>
    </w:p>
    <w:p>
      <w:pPr>
        <w:pStyle w:val="Normal"/>
        <w:keepNext w:val="true"/>
        <w:keepLines/>
        <w:tabs>
          <w:tab w:val="clear" w:pos="720"/>
          <w:tab w:val="left" w:pos="4320" w:leader="none"/>
        </w:tabs>
        <w:rPr/>
      </w:pPr>
      <w:r>
        <w:rPr/>
      </w:r>
    </w:p>
    <w:p>
      <w:pPr>
        <w:pStyle w:val="Normal"/>
        <w:tabs>
          <w:tab w:val="clear" w:pos="720"/>
          <w:tab w:val="left" w:pos="4320" w:leader="none"/>
        </w:tabs>
        <w:rPr/>
      </w:pPr>
      <w:r>
        <w:rPr/>
        <w:tab/>
        <w:t>By ___________________________</w:t>
      </w:r>
    </w:p>
    <w:p>
      <w:pPr>
        <w:pStyle w:val="BodyText"/>
        <w:tabs>
          <w:tab w:val="left" w:pos="720" w:leader="none"/>
        </w:tabs>
        <w:spacing w:before="0" w:after="0"/>
        <w:rPr/>
      </w:pPr>
      <w:r>
        <w:rPr/>
        <w:tab/>
        <w:t xml:space="preserve">                                                                                   Counsel</w:t>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4320" w:end="0"/>
        <w:rPr/>
      </w:pPr>
      <w:r>
        <w:rPr/>
        <w:t>Robert E. Fernandez, General Counsel</w:t>
      </w:r>
    </w:p>
    <w:p>
      <w:pPr>
        <w:pStyle w:val="Signature"/>
        <w:ind w:start="4320" w:end="0"/>
        <w:rPr/>
      </w:pPr>
      <w:r>
        <w:rPr/>
        <w:t>Mollie Lampi, Senior Attorney</w:t>
      </w:r>
    </w:p>
    <w:p>
      <w:pPr>
        <w:pStyle w:val="Signature"/>
        <w:ind w:start="4320" w:end="0"/>
        <w:rPr/>
      </w:pPr>
      <w:r>
        <w:rPr/>
        <w:t>New York Independent System Operator</w:t>
      </w:r>
    </w:p>
    <w:p>
      <w:pPr>
        <w:pStyle w:val="Signature"/>
        <w:ind w:start="0" w:end="0"/>
        <w:rPr/>
      </w:pPr>
      <w:r>
        <w:rPr/>
      </w:r>
    </w:p>
    <w:p>
      <w:pPr>
        <w:pStyle w:val="Signature"/>
        <w:ind w:start="0" w:end="0"/>
        <w:rPr/>
      </w:pPr>
      <w:r>
        <w:rPr/>
        <w:t>Arnold H. Quint</w:t>
      </w:r>
    </w:p>
    <w:p>
      <w:pPr>
        <w:pStyle w:val="Signature"/>
        <w:ind w:start="0" w:end="0"/>
        <w:rPr/>
      </w:pPr>
      <w:r>
        <w:rPr/>
        <w:t>Ted J. Murphy</w:t>
      </w:r>
    </w:p>
    <w:p>
      <w:pPr>
        <w:pStyle w:val="Signature"/>
        <w:ind w:start="0" w:end="0"/>
        <w:rPr/>
      </w:pPr>
      <w:r>
        <w:rPr/>
        <w:t>Hunton &amp; Williams</w:t>
      </w:r>
    </w:p>
    <w:p>
      <w:pPr>
        <w:pStyle w:val="Signature"/>
        <w:ind w:start="0" w:end="0"/>
        <w:rPr/>
      </w:pPr>
      <w:r>
        <w:rPr/>
        <w:t>1900 K Street, N.W.</w:t>
      </w:r>
    </w:p>
    <w:p>
      <w:pPr>
        <w:pStyle w:val="Signature"/>
        <w:ind w:start="0" w:end="0"/>
        <w:rPr/>
      </w:pPr>
      <w:r>
        <w:rPr/>
        <w:t>Washington, DC  20006-1109</w:t>
      </w:r>
    </w:p>
    <w:p>
      <w:pPr>
        <w:pStyle w:val="Signature"/>
        <w:ind w:start="0" w:end="0"/>
        <w:rPr/>
      </w:pPr>
      <w:r>
        <w:rPr/>
        <w:t>Of Counsel</w:t>
      </w:r>
    </w:p>
    <w:p>
      <w:pPr>
        <w:pStyle w:val="Normal"/>
        <w:rPr/>
      </w:pPr>
      <w:r>
        <w:rPr/>
      </w:r>
    </w:p>
    <w:p>
      <w:pPr>
        <w:pStyle w:val="Normal"/>
        <w:rPr/>
      </w:pPr>
      <w:r>
        <w:rPr/>
        <w:t>December 1, 2000</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 xml:space="preserve">Central Hudson Gas &amp; Electric Corp., et al., </w:t>
      </w:r>
      <w:r>
        <w:rPr/>
        <w:t>88 FERC ¶ 61,138 (1999).</w:t>
      </w:r>
    </w:p>
  </w:footnote>
  <w:footnote w:id="3">
    <w:p>
      <w:pPr>
        <w:pStyle w:val="FootnoteText"/>
        <w:rPr/>
      </w:pPr>
      <w:r>
        <w:rPr>
          <w:rStyle w:val="FootnoteCharacters"/>
        </w:rPr>
        <w:footnoteRef/>
      </w:r>
      <w:r>
        <w:rPr/>
        <w:t xml:space="preserve"> </w:t>
      </w:r>
      <w:r>
        <w:rPr>
          <w:i/>
        </w:rPr>
        <w:t>Central Hudson Gas &amp; Electric Corp., et al.,</w:t>
      </w:r>
      <w:r>
        <w:rPr/>
        <w:t xml:space="preserve"> 86 FERC ¶ 61,062 (1999).</w:t>
      </w:r>
    </w:p>
  </w:footnote>
  <w:footnote w:id="4">
    <w:p>
      <w:pPr>
        <w:pStyle w:val="FootnoteText"/>
        <w:rPr/>
      </w:pPr>
      <w:r>
        <w:rPr>
          <w:rStyle w:val="FootnoteCharacters"/>
        </w:rPr>
        <w:footnoteRef/>
      </w:r>
      <w:r>
        <w:rPr/>
        <w:t xml:space="preserve"> </w:t>
      </w:r>
      <w:r>
        <w:rPr/>
        <w:t>July Order, p. 73.</w:t>
      </w:r>
    </w:p>
  </w:footnote>
  <w:footnote w:id="5">
    <w:p>
      <w:pPr>
        <w:pStyle w:val="FootnoteText"/>
        <w:rPr/>
      </w:pPr>
      <w:r>
        <w:rPr>
          <w:rStyle w:val="FootnoteCharacters"/>
        </w:rPr>
        <w:footnoteRef/>
      </w:r>
      <w:r>
        <w:rPr/>
        <w:t xml:space="preserve"> </w:t>
      </w:r>
      <w:r>
        <w:rPr/>
        <w:t>Section 4.18(D) of the NYISO Market Administration and Control Area Services Tariff (“Services Tariff”) precludes payment for energy produced above SCD Base Point Signal unless the ISO has initiated a reserve pick-up or a Transmission Owner (“TO”) has initiated a reserve pick-up in accordance with a Reliability Rule, including a Local Reliability Rule.</w:t>
      </w:r>
    </w:p>
  </w:footnote>
  <w:footnote w:id="6">
    <w:p>
      <w:pPr>
        <w:pStyle w:val="FootnoteText"/>
        <w:rPr/>
      </w:pPr>
      <w:r>
        <w:rPr>
          <w:rStyle w:val="FootnoteCharacters"/>
        </w:rPr>
        <w:footnoteRef/>
      </w:r>
      <w:r>
        <w:rPr/>
        <w:t xml:space="preserve"> </w:t>
      </w:r>
      <w:r>
        <w:rPr/>
        <w:t>The NYISO commenced operations on December 1, 1999.</w:t>
      </w:r>
    </w:p>
  </w:footnote>
  <w:footnote w:id="7">
    <w:p>
      <w:pPr>
        <w:pStyle w:val="FootnoteText"/>
        <w:rPr/>
      </w:pPr>
      <w:r>
        <w:rPr>
          <w:rStyle w:val="FootnoteCharacters"/>
        </w:rPr>
        <w:footnoteRef/>
      </w:r>
      <w:r>
        <w:rPr/>
        <w:t xml:space="preserve"> </w:t>
      </w:r>
      <w:r>
        <w:rPr/>
        <w:t>Existing and up to 50 MW of new intermittent resources are paid for energy delivered to the grid beyond their schedule. See: NYISO Services Tariff § 4.18.  The NYISO will propose to increase the cap to 500 MW in the tariff filing to implement a permanent installed capacity market, expected to be made pursuant to Section 205, in February 2001.</w:t>
      </w:r>
    </w:p>
  </w:footnote>
  <w:footnote w:id="8">
    <w:p>
      <w:pPr>
        <w:pStyle w:val="FootnoteText"/>
        <w:rPr/>
      </w:pPr>
      <w:r>
        <w:rPr>
          <w:rStyle w:val="FootnoteCharacters"/>
        </w:rPr>
        <w:footnoteRef/>
      </w:r>
      <w:r>
        <w:rPr/>
        <w:t xml:space="preserve"> </w:t>
      </w:r>
      <w:r>
        <w:rPr/>
        <w:t>Generators scheduling a bilateral or offering energy into the LBMP energy market submit bid curves to the ISO in the Day-Ahead and Hour-Ahead markets.  If selected, generators, both on and off-dispatch, receive a Day-Ahead or Hour-Ahead schedule, as appropriate, and base point signals from the ISO (often through the local TO) as to the output expected according to their schedule.</w:t>
      </w:r>
    </w:p>
  </w:footnote>
  <w:footnote w:id="9">
    <w:p>
      <w:pPr>
        <w:pStyle w:val="FootnoteText"/>
        <w:rPr/>
      </w:pPr>
      <w:r>
        <w:rPr>
          <w:rStyle w:val="FootnoteCharacters"/>
        </w:rPr>
        <w:footnoteRef/>
      </w:r>
      <w:r>
        <w:rPr/>
        <w:t xml:space="preserve"> </w:t>
      </w:r>
      <w:r>
        <w:rPr/>
        <w:t>The Member Systems are the seven public utility companies doing business in New York and the New York Power Authority.  They filed the original ISO Services Tariff, January 31, 1997.</w:t>
      </w:r>
    </w:p>
  </w:footnote>
  <w:footnote w:id="10">
    <w:p>
      <w:pPr>
        <w:pStyle w:val="FootnoteText"/>
        <w:rPr/>
      </w:pPr>
      <w:r>
        <w:rPr>
          <w:rStyle w:val="FootnoteCharacters"/>
        </w:rPr>
        <w:footnoteRef/>
      </w:r>
      <w:r>
        <w:rPr/>
        <w:t xml:space="preserve"> </w:t>
      </w:r>
      <w:r>
        <w:rPr/>
        <w:t>July Order, pp. 43-44.</w:t>
      </w:r>
    </w:p>
  </w:footnote>
  <w:footnote w:id="11">
    <w:p>
      <w:pPr>
        <w:pStyle w:val="FootnoteText"/>
        <w:rPr/>
      </w:pPr>
      <w:r>
        <w:rPr>
          <w:rStyle w:val="FootnoteCharacters"/>
        </w:rPr>
        <w:footnoteRef/>
      </w:r>
      <w:r>
        <w:rPr/>
        <w:t xml:space="preserve"> </w:t>
      </w:r>
      <w:r>
        <w:rPr/>
        <w:t>At the request of NYISO staff a Generation Issues subgroup of the Scheduling and Pricing Working Group met on October 6, 2000 to review staff’s proposed resolution of this issue.</w:t>
      </w:r>
    </w:p>
  </w:footnote>
  <w:footnote w:id="12">
    <w:p>
      <w:pPr>
        <w:pStyle w:val="FootnoteText"/>
        <w:rPr/>
      </w:pPr>
      <w:r>
        <w:rPr>
          <w:rStyle w:val="FootnoteCharacters"/>
        </w:rPr>
        <w:footnoteRef/>
      </w:r>
      <w:r>
        <w:rPr/>
        <w:t xml:space="preserve"> </w:t>
      </w:r>
      <w:r>
        <w:rPr/>
        <w:t>The most recent meeting on this issue was November 13, 2000.</w:t>
      </w:r>
    </w:p>
  </w:footnote>
  <w:footnote w:id="13">
    <w:p>
      <w:pPr>
        <w:pStyle w:val="FootnoteText"/>
        <w:tabs>
          <w:tab w:val="clear" w:pos="720"/>
          <w:tab w:val="left" w:pos="180" w:leader="none"/>
        </w:tabs>
        <w:rPr/>
      </w:pPr>
      <w:r>
        <w:rPr>
          <w:rStyle w:val="FootnoteCharacters"/>
        </w:rPr>
        <w:footnoteRef/>
      </w:r>
      <w:r>
        <w:rPr/>
        <w:t xml:space="preserve"> </w:t>
      </w:r>
      <w:r>
        <w:rPr/>
        <w:t xml:space="preserve">FERC rejected such a proposal, without prejudice to refile, in </w:t>
      </w:r>
      <w:r>
        <w:rPr>
          <w:i/>
        </w:rPr>
        <w:t>Order on Rehearing</w:t>
      </w:r>
      <w:r>
        <w:rPr/>
        <w:t>, Docket Nos. ER00-550-001, ER00-556-001, 91 FERC ¶ 61,012 (April 4,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upperRoman"/>
      <w:lvlText w:val="%1. "/>
      <w:lvlJc w:val="start"/>
      <w:pPr>
        <w:tabs>
          <w:tab w:val="num" w:pos="360"/>
        </w:tabs>
        <w:ind w:start="360" w:hanging="360"/>
      </w:pPr>
      <w:rPr>
        <w:sz w:val="24"/>
        <w:i w:val="false"/>
        <w:u w:val="none"/>
        <w:b/>
        <w:rFonts w:ascii="Times New Roman" w:hAnsi="Times New Roman" w:cs="Times New Roman"/>
      </w:rPr>
    </w:lvl>
  </w:abstractNum>
  <w:abstractNum w:abstractNumId="2">
    <w:lvl w:ilvl="0">
      <w:start w:val="4"/>
      <w:numFmt w:val="upperRoman"/>
      <w:lvlText w:val="%1. "/>
      <w:lvlJc w:val="start"/>
      <w:pPr>
        <w:tabs>
          <w:tab w:val="num" w:pos="360"/>
        </w:tabs>
        <w:ind w:start="360" w:hanging="360"/>
      </w:pPr>
      <w:rPr>
        <w:sz w:val="24"/>
        <w:i w:val="false"/>
        <w:u w:val="none"/>
        <w:b/>
        <w:rFonts w:ascii="Times New Roman" w:hAnsi="Times New Roman" w:cs="Times New Roman"/>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Times New Roman" w:hAnsi="Times New Roman" w:cs="Times New Roman"/>
      <w:b/>
      <w:i w:val="false"/>
      <w:sz w:val="24"/>
      <w:u w:val="none"/>
    </w:rPr>
  </w:style>
  <w:style w:type="character" w:styleId="WW8Num2z0">
    <w:name w:val="WW8Num2z0"/>
    <w:qFormat/>
    <w:rPr>
      <w:rFonts w:ascii="Times New Roman" w:hAnsi="Times New Roman" w:cs="Times New Roman"/>
      <w:b/>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ind w:hanging="720" w:start="720" w:end="0"/>
      <w:jc w:val="both"/>
    </w:pPr>
    <w:rPr/>
  </w:style>
  <w:style w:type="paragraph" w:styleId="Signature">
    <w:name w:val="Signature"/>
    <w:basedOn w:val="Normal"/>
    <w:pPr>
      <w:ind w:hanging="0" w:start="4680" w:end="0"/>
    </w:pPr>
    <w:rPr/>
  </w:style>
  <w:style w:type="paragraph" w:styleId="Recipient">
    <w:name w:val="Recipient"/>
    <w:basedOn w:val="Normal"/>
    <w:qFormat/>
    <w:pPr/>
    <w:rPr/>
  </w:style>
  <w:style w:type="paragraph" w:styleId="PersonalInfo">
    <w:name w:val="PersonalInfo"/>
    <w:basedOn w:val="Normal"/>
    <w:next w:val="BodyText"/>
    <w:qFormat/>
    <w:pPr>
      <w:tabs>
        <w:tab w:val="clear" w:pos="720"/>
        <w:tab w:val="left" w:pos="1620" w:leader="none"/>
      </w:tabs>
      <w:spacing w:lineRule="exact" w:line="200"/>
    </w:pPr>
    <w:rPr>
      <w:sz w:val="15"/>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2000-11-28T21:19:00Z</dcterms:created>
  <dc:creator>Mollie Lampi</dc:creator>
  <dc:description/>
  <dc:language>en-CA</dc:language>
  <cp:lastModifiedBy>Mollie Lampi</cp:lastModifiedBy>
  <cp:lastPrinted>2000-11-29T18:20:00Z</cp:lastPrinted>
  <dcterms:modified xsi:type="dcterms:W3CDTF">2000-11-29T20:57:00Z</dcterms:modified>
  <cp:revision>3</cp:revision>
  <dc:subject/>
  <dc:title>New York Independent System Operator, Inc</dc:title>
</cp:coreProperties>
</file>