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bCs w:val="false"/>
          <w:i w:val="false"/>
          <w:iCs w:val="false"/>
          <w:caps w:val="false"/>
          <w:smallCaps w:val="false"/>
          <w:strike w:val="false"/>
          <w:dstrike w:val="false"/>
          <w:outline w:val="false"/>
          <w:vanish w:val="false"/>
          <w:sz w:val="20"/>
          <w:szCs w:val="20"/>
        </w:rPr>
        <w:t>I. Overview.</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The Risk Measurement System (RMS) has been developed by the Research Group of ENRON Risk Management and Trading (ERMT), a unit of ENRON Capital &amp; Trade Resources (ECT). The system has been designed to measure risks embedded in the financial books managed by ERMT, over a defined period of time. The risks currently quantified by the system include:</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1. market risk</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2. interest rate risk</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3. credit risk</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 w:val="left" w:pos="630" w:leader="none"/>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The target clientele of the RMS includes the following groups: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1. ERMT management and traders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 xml:space="preserve">2. ENRON senior management </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3. ECT Control Officer</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4. ECT  Credit Department</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5. internal and external auditors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6. stock analysts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7. rating agencies.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One important potential use of the system is to determine the amount of capital-at-risk, i.e. the amount of the mark-to-market value of ECT financial portfolios which can be lost over a defined time interval due to fluctuations of the markets and/or defaults by customers. The market fluctuations could reduce the value of ECT portfolios due to imperfect hedges and outright loss of value through customers' bankruptcy on contracts with positive market value (from ENRON’s point of view).</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There are few models of this scope and nature in the derivatives industry. One example of such package is Capital Adequacy Model developed by Center Financial Products (see Appendix I). This commercially available  package has been developed to determine capital necessary to support DPCs (Derivatives Product Companies), established over  the last few years by a number of investment banks and insurance companies and sufficiently  capitalized to get an AAA rating. This software package has very good modeling capabilities for interest rate instruments like swaps and options. To the best of our knowledge nobody has developed a similar model for a commodity company.</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The project was initiated in December 1992, and the first version of the model was completed in January  1993. The guidelines of the Group of 30 published during 1993 and the growing public concern over derivative positions held by trading companies confirmed our initial view that a system like RMS is an indispensable portfolio management tool. In 1994 the Research Group completed the enhanced version of the model. Arthur Andersen Consulting has been asked to review the model and provide independent validation of our approach and to help to use this model in formulation of trading policy for ENRON.</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 xml:space="preserve">This outline has been produced at the request of Mark Haedicke, ECT General Counsel,   for    presentation   to   the ENRON  Board. In this review  we present the </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financial technology used in construction of the system, its interfaces with the other computer systems, current limitations, and our plans for further development.</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bCs w:val="false"/>
          <w:i w:val="false"/>
          <w:i w:val="false"/>
          <w:iCs w:val="false"/>
          <w:caps w:val="false"/>
          <w:smallCaps w:val="false"/>
          <w:strike w:val="false"/>
          <w:dstrike w:val="false"/>
          <w:outline w:val="false"/>
          <w:vanish w:val="false"/>
          <w:sz w:val="20"/>
          <w:szCs w:val="20"/>
        </w:rPr>
      </w:pPr>
      <w:r>
        <w:rPr>
          <w:b/>
          <w:bCs w:val="false"/>
          <w:i w:val="false"/>
          <w:iCs w:val="false"/>
          <w:caps w:val="false"/>
          <w:smallCaps w:val="false"/>
          <w:strike w:val="false"/>
          <w:dstrike w:val="false"/>
          <w:outline w:val="false"/>
          <w:vanish w:val="false"/>
          <w:sz w:val="20"/>
          <w:szCs w:val="20"/>
        </w:rPr>
        <w:t>II. System Design</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RMS has been designed based on the following principles: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tab/>
      </w:r>
      <w:r>
        <w:rPr>
          <w:b/>
          <w:bCs w:val="false"/>
          <w:i w:val="false"/>
          <w:iCs w:val="false"/>
          <w:caps w:val="false"/>
          <w:smallCaps w:val="false"/>
          <w:strike w:val="false"/>
          <w:dstrike w:val="false"/>
          <w:outline w:val="false"/>
          <w:vanish w:val="false"/>
          <w:sz w:val="20"/>
          <w:szCs w:val="20"/>
        </w:rPr>
        <w:t>1. Modular design</w:t>
      </w:r>
      <w:r>
        <w:rPr>
          <w:b w:val="false"/>
          <w:bCs w:val="false"/>
          <w:i w:val="false"/>
          <w:iCs w:val="false"/>
          <w:caps w:val="false"/>
          <w:smallCaps w:val="false"/>
          <w:strike w:val="false"/>
          <w:dstrike w:val="false"/>
          <w:outline w:val="false"/>
          <w:vanish w:val="false"/>
          <w:sz w:val="20"/>
          <w:szCs w:val="20"/>
        </w:rPr>
        <w:t>. The system consists of four modules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ab/>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ab/>
        <w:t>a. Price risk</w:t>
        <w:tab/>
        <w:tab/>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ab/>
        <w:t>b. Interest rate risk</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ab/>
        <w:t>c. Credit risk</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ab/>
        <w:t>d. Stress tests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 xml:space="preserve">Each module (a) - (c) can be run separately or in conjunction with other module(s). This allows us to correctly reflect the interrelated risks. For example, credit risk can reduce or magnify price risks since a customer's default can either close an open position or open a previously closed position in the book. </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pPr>
      <w:r>
        <w:rPr>
          <w:b/>
          <w:bCs w:val="false"/>
          <w:i w:val="false"/>
          <w:iCs w:val="false"/>
          <w:caps w:val="false"/>
          <w:smallCaps w:val="false"/>
          <w:strike w:val="false"/>
          <w:dstrike w:val="false"/>
          <w:outline w:val="false"/>
          <w:vanish w:val="false"/>
          <w:sz w:val="20"/>
          <w:szCs w:val="20"/>
        </w:rPr>
        <w:tab/>
        <w:t>2. Link to the existing computer accounting systems.</w:t>
      </w:r>
      <w:r>
        <w:rPr>
          <w:b w:val="false"/>
          <w:bCs w:val="false"/>
          <w:i w:val="false"/>
          <w:iCs w:val="false"/>
          <w:caps w:val="false"/>
          <w:smallCaps w:val="false"/>
          <w:strike w:val="false"/>
          <w:dstrike w:val="false"/>
          <w:outline w:val="false"/>
          <w:vanish w:val="false"/>
          <w:sz w:val="20"/>
          <w:szCs w:val="20"/>
        </w:rPr>
        <w:t xml:space="preserve"> R</w:t>
      </w:r>
      <w:r>
        <w:rPr>
          <w:b w:val="false"/>
          <w:bCs w:val="false"/>
          <w:i w:val="false"/>
          <w:iCs w:val="false"/>
          <w:caps w:val="false"/>
          <w:smallCaps w:val="false"/>
          <w:strike w:val="false"/>
          <w:dstrike w:val="false"/>
          <w:outline w:val="false"/>
          <w:vanish w:val="false"/>
          <w:color w:val="FF00FF"/>
          <w:sz w:val="20"/>
          <w:szCs w:val="20"/>
        </w:rPr>
        <w:t>MS uses the ECTR accounting system as the source of transaction specific data and the valuation engine. The relationship between the two systems is described in Figure II.1. RMS extracts from the data base current forward price and interest rate curves and volumetric positions and orchestrates the process of re-pricing the books under different probabilistic price scenarios. This design feature allows the RMS to access atomic transaction data and to assess</w:t>
      </w:r>
      <w:r>
        <w:rPr>
          <w:b w:val="false"/>
          <w:bCs w:val="false"/>
          <w:i w:val="false"/>
          <w:iCs w:val="false"/>
          <w:caps w:val="false"/>
          <w:smallCaps w:val="false"/>
          <w:strike w:val="false"/>
          <w:dstrike w:val="false"/>
          <w:outline w:val="false"/>
          <w:vanish w:val="false"/>
          <w:sz w:val="20"/>
          <w:szCs w:val="20"/>
        </w:rPr>
        <w:t xml:space="preserve"> the risks transaction by transaction. This, in our opinion, is a significant feature which distinguishes RMS from many systems used by commercial banks that use aggregate positions to evaluate different exposures, due to the shortcomings of their data bases (information about atomic transactions is often dispersed in many spreadsheets with incompatible formats).  RMS accesses indicative transaction data stored in our ORACLE data base and tracks each deal separately. We are also using the same valuation procedures which generate daily position statements to compute values and risk profiles of the books. These procedures are subject to the independent </w:t>
      </w:r>
      <w:r>
        <w:rPr>
          <w:b w:val="false"/>
          <w:bCs w:val="false"/>
          <w:i w:val="false"/>
          <w:iCs w:val="false"/>
          <w:caps w:val="false"/>
          <w:smallCaps w:val="false"/>
          <w:strike w:val="false"/>
          <w:dstrike w:val="false"/>
          <w:outline w:val="false"/>
          <w:vanish w:val="false"/>
          <w:color w:val="FF00FF"/>
          <w:sz w:val="20"/>
          <w:szCs w:val="20"/>
        </w:rPr>
        <w:t xml:space="preserve">on-going </w:t>
      </w:r>
      <w:r>
        <w:rPr>
          <w:b w:val="false"/>
          <w:bCs w:val="false"/>
          <w:i w:val="false"/>
          <w:iCs w:val="false"/>
          <w:caps w:val="false"/>
          <w:smallCaps w:val="false"/>
          <w:strike w:val="false"/>
          <w:dstrike w:val="false"/>
          <w:outline w:val="false"/>
          <w:vanish w:val="false"/>
          <w:sz w:val="20"/>
          <w:szCs w:val="20"/>
        </w:rPr>
        <w:t>review by Professor Darrell Duffie to ensure that the underlying mathematics and financial principles are sound.</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r>
      <w:r>
        <w:rPr>
          <w:b/>
          <w:bCs w:val="false"/>
          <w:i w:val="false"/>
          <w:iCs w:val="false"/>
          <w:caps w:val="false"/>
          <w:smallCaps w:val="false"/>
          <w:strike w:val="false"/>
          <w:dstrike w:val="false"/>
          <w:outline w:val="false"/>
          <w:vanish w:val="false"/>
          <w:sz w:val="20"/>
          <w:szCs w:val="20"/>
        </w:rPr>
        <w:t>3. State-of-the-art simulation technology</w:t>
      </w:r>
      <w:r>
        <w:rPr>
          <w:b w:val="false"/>
          <w:bCs w:val="false"/>
          <w:i w:val="false"/>
          <w:iCs w:val="false"/>
          <w:caps w:val="false"/>
          <w:smallCaps w:val="false"/>
          <w:strike w:val="false"/>
          <w:dstrike w:val="false"/>
          <w:outline w:val="false"/>
          <w:vanish w:val="false"/>
          <w:sz w:val="20"/>
          <w:szCs w:val="20"/>
        </w:rPr>
        <w:t>. The system uses simulation technology which varies the entire price curve and/or yield curve. ENRON, like other trading companies, and unlike companies using accrual accounting, has exposure to the shape and level of the yield curve and of the forward price curves. Simulation of the spot prices or selected interest rates is insufficient.</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tab/>
      </w:r>
      <w:r>
        <w:rPr>
          <w:b/>
          <w:bCs w:val="false"/>
          <w:i w:val="false"/>
          <w:iCs w:val="false"/>
          <w:caps w:val="false"/>
          <w:smallCaps w:val="false"/>
          <w:strike w:val="false"/>
          <w:dstrike w:val="false"/>
          <w:outline w:val="false"/>
          <w:vanish w:val="false"/>
          <w:color w:val="FF00FF"/>
          <w:sz w:val="20"/>
          <w:szCs w:val="20"/>
        </w:rPr>
        <w:t xml:space="preserve">4. Probabilistic results. </w:t>
      </w:r>
      <w:r>
        <w:rPr>
          <w:b w:val="false"/>
          <w:bCs w:val="false"/>
          <w:i w:val="false"/>
          <w:iCs w:val="false"/>
          <w:caps w:val="false"/>
          <w:smallCaps w:val="false"/>
          <w:strike w:val="false"/>
          <w:dstrike w:val="false"/>
          <w:outline w:val="false"/>
          <w:vanish w:val="false"/>
          <w:color w:val="FF00FF"/>
          <w:sz w:val="20"/>
          <w:szCs w:val="20"/>
        </w:rPr>
        <w:t>The system produces a range of possible values for different books (mark-to-market values at horizon of the simulation) and estimates probability of different outcomes. One should keep in mind that the financial and commodity markets experienced in the past extreme price swings which were practically impossible, in view of the probabilities predicted by financial economics.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r>
    </w:p>
    <w:p>
      <w:pPr>
        <w:pStyle w:val="Normal"/>
        <w:tabs>
          <w:tab w:val="clear" w:pos="540"/>
        </w:tabs>
        <w:bidi w:val="0"/>
        <w:ind w:end="-1152"/>
        <w:jc w:val="both"/>
        <w:rPr>
          <w:b/>
          <w:bCs w:val="false"/>
          <w:i w:val="false"/>
          <w:i w:val="false"/>
          <w:iCs w:val="false"/>
          <w:caps w:val="false"/>
          <w:smallCaps w:val="false"/>
          <w:strike w:val="false"/>
          <w:dstrike w:val="false"/>
          <w:outline w:val="false"/>
          <w:vanish w:val="false"/>
          <w:sz w:val="20"/>
          <w:szCs w:val="20"/>
        </w:rPr>
      </w:pPr>
      <w:r>
        <w:rPr>
          <w:b/>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bCs w:val="false"/>
          <w:i w:val="false"/>
          <w:i w:val="false"/>
          <w:iCs w:val="false"/>
          <w:caps w:val="false"/>
          <w:smallCaps w:val="false"/>
          <w:strike w:val="false"/>
          <w:dstrike w:val="false"/>
          <w:outline w:val="false"/>
          <w:vanish w:val="false"/>
          <w:sz w:val="20"/>
          <w:szCs w:val="20"/>
        </w:rPr>
      </w:pPr>
      <w:r>
        <w:rPr>
          <w:b/>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pPr>
      <w:r>
        <w:rPr>
          <w:b/>
          <w:bCs w:val="false"/>
          <w:i w:val="false"/>
          <w:iCs w:val="false"/>
          <w:caps w:val="false"/>
          <w:smallCaps w:val="false"/>
          <w:strike w:val="false"/>
          <w:dstrike w:val="false"/>
          <w:outline w:val="false"/>
          <w:vanish w:val="false"/>
          <w:sz w:val="20"/>
          <w:szCs w:val="20"/>
        </w:rPr>
        <w:tab/>
        <w:t>5. Downside risk approach.</w:t>
      </w:r>
      <w:r>
        <w:rPr>
          <w:b w:val="false"/>
          <w:bCs w:val="false"/>
          <w:i w:val="false"/>
          <w:iCs w:val="false"/>
          <w:caps w:val="false"/>
          <w:smallCaps w:val="false"/>
          <w:strike w:val="false"/>
          <w:dstrike w:val="false"/>
          <w:outline w:val="false"/>
          <w:vanish w:val="false"/>
          <w:sz w:val="20"/>
          <w:szCs w:val="20"/>
        </w:rPr>
        <w:t xml:space="preserve"> Most risk measurement models use standard deviation as a measure of risk, in the spirit of the tradition started by H. Markowitz. This approach is not satisfactory for portfolios of derivatives which have non-symmetric payoff patterns. The entire portfolio may also be characterized by a non-symmetric distribution of possible outcomes. This means that the standard deviation may be misleading as a measure of risk. Therefore,  we state the results of the model in tERMT of the downside risk, measured by the amount that can be lost with given probability or by a downside semi-variance. The details of the approach are discussed in Appendix II.</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tab/>
      </w:r>
      <w:r>
        <w:rPr>
          <w:b/>
          <w:bCs w:val="false"/>
          <w:i w:val="false"/>
          <w:iCs w:val="false"/>
          <w:caps w:val="false"/>
          <w:smallCaps w:val="false"/>
          <w:strike w:val="false"/>
          <w:dstrike w:val="false"/>
          <w:outline w:val="false"/>
          <w:vanish w:val="false"/>
          <w:sz w:val="20"/>
          <w:szCs w:val="20"/>
        </w:rPr>
        <w:t>5. Closed book-of-business approach.</w:t>
      </w:r>
      <w:r>
        <w:rPr>
          <w:b w:val="false"/>
          <w:bCs w:val="false"/>
          <w:i w:val="false"/>
          <w:iCs w:val="false"/>
          <w:caps w:val="false"/>
          <w:smallCaps w:val="false"/>
          <w:strike w:val="false"/>
          <w:dstrike w:val="false"/>
          <w:outline w:val="false"/>
          <w:vanish w:val="false"/>
          <w:sz w:val="20"/>
          <w:szCs w:val="20"/>
        </w:rPr>
        <w:t xml:space="preserve"> The system measures risk embedded in  the deals currently in the books. If the simulation horizon is relatively short, this approach does not result in any distortions. For longer simulation horizons, we lose a degree of realism, as one can expect that new deals will be added to the books and hedges will be re balanced in view of new information. We feel, however, that any attempt to code assumed behavioral rules and to predict the future origination of new deals will result in arbitrary results.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r>
      <w:r>
        <w:rPr>
          <w:b/>
          <w:bCs w:val="false"/>
          <w:i w:val="false"/>
          <w:iCs w:val="false"/>
          <w:caps w:val="false"/>
          <w:smallCaps w:val="false"/>
          <w:strike w:val="false"/>
          <w:dstrike w:val="false"/>
          <w:outline w:val="false"/>
          <w:vanish w:val="false"/>
          <w:color w:val="FF00FF"/>
          <w:sz w:val="20"/>
          <w:szCs w:val="20"/>
        </w:rPr>
        <w:t>6. Book level calculation.</w:t>
      </w:r>
      <w:r>
        <w:rPr>
          <w:b w:val="false"/>
          <w:bCs w:val="false"/>
          <w:i w:val="false"/>
          <w:iCs w:val="false"/>
          <w:caps w:val="false"/>
          <w:smallCaps w:val="false"/>
          <w:strike w:val="false"/>
          <w:dstrike w:val="false"/>
          <w:outline w:val="false"/>
          <w:vanish w:val="false"/>
          <w:color w:val="FF00FF"/>
          <w:sz w:val="20"/>
          <w:szCs w:val="20"/>
        </w:rPr>
        <w:tab/>
        <w:t xml:space="preserve">  RMS has been designed to run at the level of  an ERMT financial books. Aggregation over books is limited to two special cases, discussed later in details. The first case is analysis of the interest rate exposure of ERMT portfolios which captures sensitivity of the aggregate cash flows of all the books vs. sensitivity of the hedge instruments. The second case is the feature of the system which allows for joint simulation of the price risk for different commodities. This feature allows to capture correlation between different commodity prices. It should be noted that the current version of RMS does not allow to aggregate the credit risk exposure over all the books. In other words, we cannot capture the overall credit  risk to any counterparty. We can capture only the risks residing in separate books which, given the netting provisions, are not necessarily additive. This limitation reflects shortcomings of the present accounting system which makes it difficult to aggregate information dispersed in different books.   </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tab/>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r>
      <w:r>
        <w:rPr>
          <w:b/>
          <w:bCs w:val="false"/>
          <w:i w:val="false"/>
          <w:iCs w:val="false"/>
          <w:caps w:val="false"/>
          <w:smallCaps w:val="false"/>
          <w:strike w:val="false"/>
          <w:dstrike w:val="false"/>
          <w:outline w:val="false"/>
          <w:vanish w:val="false"/>
          <w:sz w:val="20"/>
          <w:szCs w:val="20"/>
        </w:rPr>
        <w:t xml:space="preserve">7. Stress tests. </w:t>
      </w:r>
      <w:r>
        <w:rPr>
          <w:b w:val="false"/>
          <w:bCs w:val="false"/>
          <w:i w:val="false"/>
          <w:iCs w:val="false"/>
          <w:caps w:val="false"/>
          <w:smallCaps w:val="false"/>
          <w:strike w:val="false"/>
          <w:dstrike w:val="false"/>
          <w:outline w:val="false"/>
          <w:vanish w:val="false"/>
          <w:sz w:val="20"/>
          <w:szCs w:val="20"/>
        </w:rPr>
        <w:t>One module of RMS allows us to re-price the portfolio using deterministic price curve(s) and/or interest rates. The curves can be arbitrarily defined by the user (traders, ENRON management) to analyze what-if scenarios.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tab/>
      </w:r>
      <w:r>
        <w:rPr>
          <w:b/>
          <w:bCs w:val="false"/>
          <w:i w:val="false"/>
          <w:iCs w:val="false"/>
          <w:caps w:val="false"/>
          <w:smallCaps w:val="false"/>
          <w:strike w:val="false"/>
          <w:dstrike w:val="false"/>
          <w:outline w:val="false"/>
          <w:vanish w:val="false"/>
          <w:sz w:val="20"/>
          <w:szCs w:val="20"/>
        </w:rPr>
        <w:t>8. Cash flow simulation.</w:t>
      </w:r>
      <w:r>
        <w:rPr>
          <w:b w:val="false"/>
          <w:bCs w:val="false"/>
          <w:i w:val="false"/>
          <w:iCs w:val="false"/>
          <w:caps w:val="false"/>
          <w:smallCaps w:val="false"/>
          <w:strike w:val="false"/>
          <w:dstrike w:val="false"/>
          <w:outline w:val="false"/>
          <w:vanish w:val="false"/>
          <w:sz w:val="20"/>
          <w:szCs w:val="20"/>
        </w:rPr>
        <w:t xml:space="preserve"> Each simulation will capture the cash flows resulting from monthly swap settlements and  option expirations as well as margin maintenance cash flows resulting from ENRON's futures positions. The latter cash flows are critical in view of  possible liquidity crisis even if the hedges work properly.</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r>
      <w:r>
        <w:rPr>
          <w:b/>
          <w:bCs w:val="false"/>
          <w:i w:val="false"/>
          <w:iCs w:val="false"/>
          <w:caps w:val="false"/>
          <w:smallCaps w:val="false"/>
          <w:strike w:val="false"/>
          <w:dstrike w:val="false"/>
          <w:outline w:val="false"/>
          <w:vanish w:val="false"/>
          <w:sz w:val="20"/>
          <w:szCs w:val="20"/>
        </w:rPr>
        <w:tab/>
        <w:t>9. Regular use.</w:t>
      </w:r>
      <w:r>
        <w:rPr>
          <w:b w:val="false"/>
          <w:bCs w:val="false"/>
          <w:i w:val="false"/>
          <w:iCs w:val="false"/>
          <w:caps w:val="false"/>
          <w:smallCaps w:val="false"/>
          <w:strike w:val="false"/>
          <w:dstrike w:val="false"/>
          <w:outline w:val="false"/>
          <w:vanish w:val="false"/>
          <w:sz w:val="20"/>
          <w:szCs w:val="20"/>
        </w:rPr>
        <w:t xml:space="preserve"> The objective is to use the system on the regular basis as part of the regular pricing of the books. The results should be distributed and reviewed on a daily basis. </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ab/>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r>
      <w:r>
        <w:rPr>
          <w:b/>
          <w:bCs w:val="false"/>
          <w:i w:val="false"/>
          <w:iCs w:val="false"/>
          <w:caps w:val="false"/>
          <w:smallCaps w:val="false"/>
          <w:strike w:val="false"/>
          <w:dstrike w:val="false"/>
          <w:outline w:val="false"/>
          <w:vanish w:val="false"/>
          <w:sz w:val="20"/>
          <w:szCs w:val="20"/>
        </w:rPr>
        <w:t>III. ECT Risk Management Philosophy.</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ECT has developed over the last few years a highly innovative and comprehensive approach to risk management at the company level which contributed significantly to the market value of the company. Details of this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approach have to be reviewed to explain the design of RMS. The main highlights of the risk management policy can be described as follows: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t xml:space="preserve">1. The policy is defined and implemented by a specialized unit: ENRON Risk Management and Trading (ERMT). The transactions made by different units of ECT are transferred to ERMT through internal swaps. Internal swaps are entered into so-called ERMT books, i. e. portfolios of contracts which are homogeneous and represent similar risks. </w:t>
      </w:r>
      <w:r>
        <w:rPr>
          <w:b w:val="false"/>
          <w:bCs w:val="false"/>
          <w:i w:val="false"/>
          <w:iCs w:val="false"/>
          <w:caps w:val="false"/>
          <w:smallCaps w:val="false"/>
          <w:strike w:val="false"/>
          <w:dstrike w:val="false"/>
          <w:outline w:val="false"/>
          <w:vanish w:val="false"/>
          <w:color w:val="FF00FF"/>
          <w:sz w:val="20"/>
          <w:szCs w:val="20"/>
        </w:rPr>
        <w:t xml:space="preserve">The books also contain transactions originated directly by ERMT. </w:t>
      </w:r>
      <w:r>
        <w:rPr>
          <w:b w:val="false"/>
          <w:bCs w:val="false"/>
          <w:i w:val="false"/>
          <w:iCs w:val="false"/>
          <w:caps w:val="false"/>
          <w:smallCaps w:val="false"/>
          <w:strike w:val="false"/>
          <w:dstrike w:val="false"/>
          <w:outline w:val="false"/>
          <w:vanish w:val="false"/>
          <w:sz w:val="20"/>
          <w:szCs w:val="20"/>
        </w:rPr>
        <w:t>The books are maintained in a relational data base ORACLE associated with a C program used to re-price the books and produce the reports showing the positions. The program re-pricing all the books is run every night and the summary reports are made available to the traders and senior management next morning. Daily changes in the value of the books are disaggregated and broken into different components, corresponding to the changes in prices, interest rates and volatility, liquidations, new business, and time decay. The unexplained residual is typically extremely small. Decomposition of the daily changes in the value of the books allows us to calibrate the results obtained from different modules of the model.</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 xml:space="preserve">2. All the transactions with non-affiliates are marked-to-market on a daily basis. This means that all the fluctuations in market prices find immediate </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reflection in the value of the books and that the changes in the value of the all the portfolios flow through earnings. This underlines the importance of maintaining efficient, well-balanced hedges of all the positions.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t xml:space="preserve">3. ECT does not make directional bets on the direction of the market prices. The objective of trading is to hedge deals originated by other units of ECT or to offer derivative instruments (swaps, options, forward transactions) which are immediately hedged. Trading is done within a framework of strict guidelines which are summarized in </w:t>
      </w:r>
      <w:r>
        <w:rPr>
          <w:b w:val="false"/>
          <w:bCs w:val="false"/>
          <w:i w:val="false"/>
          <w:iCs w:val="false"/>
          <w:caps w:val="false"/>
          <w:smallCaps w:val="false"/>
          <w:strike w:val="false"/>
          <w:dstrike w:val="false"/>
          <w:outline w:val="false"/>
          <w:vanish w:val="false"/>
          <w:color w:val="FF00FF"/>
          <w:sz w:val="20"/>
          <w:szCs w:val="20"/>
        </w:rPr>
        <w:t>the</w:t>
      </w:r>
      <w:r>
        <w:rPr>
          <w:b w:val="false"/>
          <w:bCs w:val="false"/>
          <w:i w:val="false"/>
          <w:iCs w:val="false"/>
          <w:caps w:val="false"/>
          <w:smallCaps w:val="false"/>
          <w:strike w:val="false"/>
          <w:dstrike w:val="false"/>
          <w:outline w:val="false"/>
          <w:vanish w:val="false"/>
          <w:sz w:val="20"/>
          <w:szCs w:val="20"/>
        </w:rPr>
        <w:t xml:space="preserve"> trading policy. One of the reasons for development of the RMS is to help in formulation of the trading policy and  its translation into a set of quantitative limits.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4. ECT transactions are broken into component parts which represent different risks. For example, a transaction based on price of natural gas at San Juan Permian Basin will be broken into a so-called fixed price transaction in ECT terminology (which is a bit of a misnomer) corresponding to the NYMEX/OTC central market, and a basis component which corresponds to the difference between a location specific price and the NYMEX reference price. Both parts of the transaction will be recorded and hedged in separate books, managed by different traders.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The advantage of this approach is that similar risks are recorded in one place and can be monitored and managed by a person who specializes in a given type of exposure. The downside is that this approach creates a large number of internal transactions between different books which have to be recorded and monitored by the back office. Also, it is sometimes difficult to produce a global picture of the entire transaction by putting together different pieces.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t xml:space="preserve">RMS uses the current computer system as a platform and is run book by book. Once a model is developed for one book, it can be used for other books with similar </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structure, as long as numerical inputs have been calibrated through statistical analysis (as described below). Currently we have the ability to run the system for most books, except for the index book which has a different structure and subroutines than other modules of the accounting system. The index book is important enough to justify an intensive development effort by the ECT systems group to rewrite the software behind this book. Once this is done, we can process this book through the Risk Measurement System.</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tab/>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tab/>
      </w:r>
      <w:r>
        <w:rPr>
          <w:b w:val="false"/>
          <w:bCs w:val="false"/>
          <w:i w:val="false"/>
          <w:iCs w:val="false"/>
          <w:caps w:val="false"/>
          <w:smallCaps w:val="false"/>
          <w:strike w:val="false"/>
          <w:dstrike w:val="false"/>
          <w:outline w:val="false"/>
          <w:vanish w:val="false"/>
          <w:color w:val="FF00FF"/>
          <w:sz w:val="20"/>
          <w:szCs w:val="20"/>
        </w:rPr>
        <w:t xml:space="preserve">What is the role of RMS in the overall risk management policy of ECT? To answer this question let us take a look at the evolution of the box of tools used for  this purpose in other financial institutions. One can illustrate the progress in this area using Figure III.1. Historically, the first technique that was used relied on position limits expressed in tERMT of notional amounts a trading desk could hold at any point in time. The overall position limits for any institution were arrived using experience, intuition and simplified calculations of potential losses. The next step was introduction of sensitivities of the values of different financial instruments  to a unit move in the price level of the underlying financial instruments (for example, one basis point movement in interest rates, one dollar move in the price of crude oil). The disadvantage of this approach is that it ignores the fact that the price curves seldom evolve through parallel shifts, an assumption that was is implicit in the use of unit sensitivities. The next step was to replace the sensitivity approach with an estimate of value-at-risk at an instrument level. This approach recognizes that price and interest rate curves may evolve over time in a more complicated way than upward and downward parallel shifts. The most recent step was implementation of value-at-risk at the portfolio level approach  which takes into account relationships between different markets and measures probability of a loss of a defined magnitude over certain time period. Several institutions are currently developing techniques to capture correlations between different markets and different segments of the same market. One example of this approach is J.P. Morgan's Risk Metrics which uses correlation between interest rates for instruments of different maturities. The system discussed in this document represents an attempt to apply such approach. We believe that eventually the sophisticated financial institutions will move in the direction of such system and ENRON should keep up with developments in this field to remain on the cutting edge of financial technology. It should be emphasized, however, that currently no financial institution uses such a system as an exclusive tool of risk management. Practically all major banks use a combination of the tools shown in Figure III.1 in management of their exposures.  </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color w:val="FF00FF"/>
          <w:sz w:val="20"/>
          <w:szCs w:val="20"/>
        </w:rPr>
      </w:pPr>
      <w:r>
        <w:rPr>
          <w:b w:val="false"/>
          <w:bCs w:val="false"/>
          <w:i w:val="false"/>
          <w:iCs w:val="false"/>
          <w:caps w:val="false"/>
          <w:smallCaps w:val="false"/>
          <w:strike w:val="false"/>
          <w:dstrike w:val="false"/>
          <w:outline w:val="false"/>
          <w:vanish w:val="false"/>
          <w:color w:val="FF00FF"/>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color w:val="FF00FF"/>
          <w:sz w:val="20"/>
          <w:szCs w:val="20"/>
        </w:rPr>
      </w:pPr>
      <w:r>
        <w:rPr>
          <w:b w:val="false"/>
          <w:bCs w:val="false"/>
          <w:i w:val="false"/>
          <w:iCs w:val="false"/>
          <w:caps w:val="false"/>
          <w:smallCaps w:val="false"/>
          <w:strike w:val="false"/>
          <w:dstrike w:val="false"/>
          <w:outline w:val="false"/>
          <w:vanish w:val="false"/>
          <w:color w:val="FF00FF"/>
          <w:sz w:val="20"/>
          <w:szCs w:val="20"/>
        </w:rPr>
        <w:tab/>
        <w:t xml:space="preserve">The current practice of ECT is to use the combination of the methods corresponding to the steps 1 and 2 in Figure III.1. For example, the natural gas and crude books have the trading limits expressed in tERMT of notional volumetric open position limits. Recently, we started using net sensitivities of the value of the books with respect to the interest rate movements, as the guideline to determine the amount and composition of the interest rate hedges. The Research Group recommends that the Risk Measurement System is used in conjunction with these techniques. There are several reasons why we want to make this recommendation. The first one is that though we are making a considerable effort to develop a model meeting high standards of excellence, the tools of modern financial economics are still imperfect. Especially, the probability models used extensively in finance imply lower probability of extreme outcomes than empirically observed distributions. Also, </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color w:val="FF00FF"/>
          <w:sz w:val="20"/>
          <w:szCs w:val="20"/>
        </w:rPr>
      </w:pPr>
      <w:r>
        <w:rPr>
          <w:b w:val="false"/>
          <w:bCs w:val="false"/>
          <w:i w:val="false"/>
          <w:iCs w:val="false"/>
          <w:caps w:val="false"/>
          <w:smallCaps w:val="false"/>
          <w:strike w:val="false"/>
          <w:dstrike w:val="false"/>
          <w:outline w:val="false"/>
          <w:vanish w:val="false"/>
          <w:color w:val="FF00FF"/>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color w:val="FF00FF"/>
          <w:sz w:val="20"/>
          <w:szCs w:val="20"/>
        </w:rPr>
      </w:pPr>
      <w:r>
        <w:rPr>
          <w:b w:val="false"/>
          <w:bCs w:val="false"/>
          <w:i w:val="false"/>
          <w:iCs w:val="false"/>
          <w:caps w:val="false"/>
          <w:smallCaps w:val="false"/>
          <w:strike w:val="false"/>
          <w:dstrike w:val="false"/>
          <w:outline w:val="false"/>
          <w:vanish w:val="false"/>
          <w:color w:val="FF00FF"/>
          <w:sz w:val="20"/>
          <w:szCs w:val="20"/>
        </w:rPr>
        <w:t>the historical relationships between different markets underlying capital-at-risk models are likely to change over time and cannot be used as the perfect guide  in the risk management policies.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color w:val="FF00FF"/>
          <w:sz w:val="20"/>
          <w:szCs w:val="20"/>
        </w:rPr>
      </w:pPr>
      <w:r>
        <w:rPr>
          <w:b w:val="false"/>
          <w:bCs w:val="false"/>
          <w:i w:val="false"/>
          <w:iCs w:val="false"/>
          <w:caps w:val="false"/>
          <w:smallCaps w:val="false"/>
          <w:strike w:val="false"/>
          <w:dstrike w:val="false"/>
          <w:outline w:val="false"/>
          <w:vanish w:val="false"/>
          <w:color w:val="FF00FF"/>
          <w:sz w:val="20"/>
          <w:szCs w:val="20"/>
        </w:rPr>
      </w:r>
    </w:p>
    <w:p>
      <w:pPr>
        <w:pStyle w:val="Normal"/>
        <w:tabs>
          <w:tab w:val="clear" w:pos="540"/>
        </w:tabs>
        <w:bidi w:val="0"/>
        <w:ind w:end="-1152"/>
        <w:jc w:val="both"/>
        <w:rPr/>
      </w:pPr>
      <w:r>
        <w:rPr>
          <w:b w:val="false"/>
          <w:bCs w:val="false"/>
          <w:i w:val="false"/>
          <w:iCs w:val="false"/>
          <w:caps w:val="false"/>
          <w:smallCaps w:val="false"/>
          <w:strike w:val="false"/>
          <w:dstrike w:val="false"/>
          <w:outline w:val="false"/>
          <w:vanish w:val="false"/>
          <w:sz w:val="20"/>
          <w:szCs w:val="20"/>
        </w:rPr>
        <w:tab/>
        <w:t>One critical issue for interpretation of the results of RMS is the time horizon of the analysis. As we have mentioned above, we run the system for one day and one year periods (the latter, using monthly simulation frequency). For a  typical trading company, the recommended frequency of running a similar system is overnight and for a</w:t>
      </w:r>
      <w:r>
        <w:rPr>
          <w:b w:val="false"/>
          <w:bCs w:val="false"/>
          <w:i w:val="false"/>
          <w:iCs w:val="false"/>
          <w:caps w:val="false"/>
          <w:smallCaps w:val="false"/>
          <w:strike w:val="false"/>
          <w:dstrike w:val="false"/>
          <w:outline w:val="false"/>
          <w:vanish w:val="false"/>
          <w:color w:val="FF00FF"/>
          <w:sz w:val="20"/>
          <w:szCs w:val="20"/>
        </w:rPr>
        <w:t xml:space="preserve"> horizon</w:t>
      </w:r>
      <w:r>
        <w:rPr>
          <w:b w:val="false"/>
          <w:bCs w:val="false"/>
          <w:i w:val="false"/>
          <w:iCs w:val="false"/>
          <w:caps w:val="false"/>
          <w:smallCaps w:val="false"/>
          <w:strike w:val="false"/>
          <w:dstrike w:val="false"/>
          <w:outline w:val="false"/>
          <w:vanish w:val="false"/>
          <w:sz w:val="20"/>
          <w:szCs w:val="20"/>
        </w:rPr>
        <w:t xml:space="preserve"> defined as the orderly liquidation period, which is required to close the open position, under the assumption of normal market conditions. ENRON is not a trading company in a strict sense of the word. ENRON does not carry a huge inventory of instruments and almost all our trading is customer or financial transaction driven. A large fraction of our position in taken in the markets with relatively low liquidity and it would take a long time to liquidate them. One day horizon runs are used to evaluate short term risks and calibrate the model as we can compare the order of magnitude of daily variations predicted by the model with actual historical experience. </w:t>
      </w:r>
      <w:r>
        <w:rPr>
          <w:b w:val="false"/>
          <w:bCs w:val="false"/>
          <w:i w:val="false"/>
          <w:iCs w:val="false"/>
          <w:caps w:val="false"/>
          <w:smallCaps w:val="false"/>
          <w:strike w:val="false"/>
          <w:dstrike w:val="false"/>
          <w:outline w:val="false"/>
          <w:vanish w:val="false"/>
          <w:color w:val="FF00FF"/>
          <w:sz w:val="20"/>
          <w:szCs w:val="20"/>
        </w:rPr>
        <w:t>Our recommendation is  to use two runs: one with a one-day horizon, and the second with one-year horizon and use the both results in a critical way to assess the risks embedded in the portfolios.</w:t>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color w:val="FF00FF"/>
          <w:sz w:val="20"/>
          <w:szCs w:val="20"/>
        </w:rPr>
      </w:pPr>
      <w:r>
        <w:rPr>
          <w:b w:val="false"/>
          <w:bCs w:val="false"/>
          <w:i w:val="false"/>
          <w:iCs w:val="false"/>
          <w:caps w:val="false"/>
          <w:smallCaps w:val="false"/>
          <w:strike w:val="false"/>
          <w:dstrike w:val="false"/>
          <w:outline w:val="false"/>
          <w:vanish w:val="false"/>
          <w:color w:val="FF00FF"/>
          <w:sz w:val="20"/>
          <w:szCs w:val="20"/>
        </w:rPr>
      </w:r>
    </w:p>
    <w:p>
      <w:pPr>
        <w:pStyle w:val="Normal"/>
        <w:tabs>
          <w:tab w:val="clear" w:pos="540"/>
        </w:tabs>
        <w:bidi w:val="0"/>
        <w:ind w:end="-1152"/>
        <w:jc w:val="both"/>
        <w:rPr>
          <w:b w:val="false"/>
          <w:bCs w:val="false"/>
          <w:i w:val="false"/>
          <w:i w:val="false"/>
          <w:iCs w:val="false"/>
          <w:caps w:val="false"/>
          <w:smallCaps w:val="false"/>
          <w:strike w:val="false"/>
          <w:dstrike w:val="false"/>
          <w:outline w:val="false"/>
          <w:vanish w:val="false"/>
          <w:sz w:val="20"/>
          <w:szCs w:val="20"/>
        </w:rPr>
      </w:pPr>
      <w:r>
        <w:rPr>
          <w:b w:val="false"/>
          <w:bCs w:val="false"/>
          <w:i w:val="false"/>
          <w:iCs w:val="false"/>
          <w:caps w:val="false"/>
          <w:smallCaps w:val="false"/>
          <w:strike w:val="false"/>
          <w:dstrike w:val="false"/>
          <w:outline w:val="false"/>
          <w:vanish w:val="false"/>
          <w:sz w:val="20"/>
          <w:szCs w:val="20"/>
        </w:rPr>
      </w:r>
    </w:p>
    <w:sectPr>
      <w:type w:val="nextPage"/>
      <w:pgSz w:w="8640" w:h="12983"/>
      <w:pgMar w:left="432" w:right="720" w:gutter="0" w:header="0" w:top="432" w:footer="0" w:bottom="43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Heading1">
    <w:name w:val="heading 1"/>
    <w:basedOn w:val="Heading"/>
    <w:next w:val="BodyText"/>
    <w:qFormat/>
    <w:pPr>
      <w:numPr>
        <w:ilvl w:val="0"/>
        <w:numId w:val="1"/>
      </w:numPr>
      <w:outlineLvl w:val="0"/>
    </w:pPr>
    <w:rPr/>
  </w:style>
  <w:style w:type="paragraph" w:styleId="Heading2">
    <w:name w:val="heading 2"/>
    <w:basedOn w:val="Heading"/>
    <w:next w:val="NormalIndent"/>
    <w:qFormat/>
    <w:pPr>
      <w:numPr>
        <w:ilvl w:val="1"/>
        <w:numId w:val="1"/>
      </w:numPr>
      <w:outlineLvl w:val="1"/>
    </w:pPr>
    <w:rPr/>
  </w:style>
  <w:style w:type="paragraph" w:styleId="Heading3">
    <w:name w:val="heading 3"/>
    <w:basedOn w:val="Heading"/>
    <w:next w:val="NormalIndent"/>
    <w:qFormat/>
    <w:pPr>
      <w:numPr>
        <w:ilvl w:val="2"/>
        <w:numId w:val="1"/>
      </w:numPr>
      <w:ind w:hanging="0" w:start="360" w:end="0"/>
      <w:outlineLvl w:val="2"/>
    </w:pPr>
    <w:rPr>
      <w:b/>
      <w:bCs w:val="false"/>
      <w:i w:val="false"/>
      <w:iCs w:val="false"/>
      <w:caps w:val="false"/>
      <w:smallCaps w:val="false"/>
      <w:strike w:val="false"/>
      <w:dstrike w:val="false"/>
      <w:outline w:val="false"/>
      <w:vanish w:val="fals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next w:val="Normal"/>
    <w:qFormat/>
    <w:pPr>
      <w:widowControl w:val="false"/>
      <w:bidi w:val="0"/>
      <w:ind w:hanging="0" w:start="720" w:end="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lastPrinted>1995-01-03T13:17:00Z</cp:lastPrinted>
  <cp:revision>0</cp:revision>
  <dc:subject/>
  <dc:title/>
</cp:coreProperties>
</file>