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lang w:val="en-CA"/>
        </w:rPr>
      </w:pPr>
      <w:r>
        <w:rPr>
          <w:lang w:val="en-CA"/>
        </w:rPr>
        <w:t>Martin Rosell</w:t>
      </w:r>
    </w:p>
    <w:p>
      <w:pPr>
        <w:pStyle w:val="Normal"/>
        <w:jc w:val="center"/>
        <w:rPr>
          <w:b/>
          <w:sz w:val="22"/>
          <w:lang w:val="en-CA"/>
        </w:rPr>
      </w:pPr>
      <w:r>
        <w:rPr>
          <w:b/>
          <w:sz w:val="24"/>
          <w:lang w:val="en-CA"/>
        </w:rPr>
        <w:t>Outstanding Matters</w:t>
      </w:r>
    </w:p>
    <w:p>
      <w:pPr>
        <w:pStyle w:val="Normal"/>
        <w:jc w:val="center"/>
        <w:rPr>
          <w:lang w:val="en-CA"/>
        </w:rPr>
      </w:pPr>
      <w:r>
        <w:rPr>
          <w:b/>
          <w:sz w:val="22"/>
          <w:lang w:val="en-CA"/>
        </w:rPr>
        <w:t>As of July 1st, 1999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rPr>
          <w:lang w:val="en-CA"/>
        </w:rPr>
      </w:pPr>
      <w:r>
        <w:rPr>
          <w:lang w:val="en-CA"/>
        </w:rPr>
        <w:t>A.</w:t>
        <w:tab/>
        <w:t>New Matters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Project Chainsaw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  <w:t>Subject:</w:t>
        <w:tab/>
        <w:t>The acquisition of a majority share stake in Finnish supply company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  <w:t>Status:</w:t>
        <w:tab/>
        <w:t>Indicative bid to be submitted on 16 July</w:t>
        <w:tab/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Michael Brown / Rich DiMichele / Christoph Waltenspuel / John Metzler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Valdres Energi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Long-term physical full requirement and portfolio management agreement with Norwegian local distribution company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Status:</w:t>
        <w:tab/>
        <w:t>Indicative offer submitted to, and well-received by, the other party; discussions to be resumed in August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Didrik Thrane-Nielsen / Frank Øverli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Brista Kraft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 xml:space="preserve">Subject: </w:t>
        <w:tab/>
        <w:t>Long-term temperature-based swap transaction with Swedish district heating company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Status:</w:t>
        <w:tab/>
        <w:t>Indicative structures presented to the management and Board of the other party; discussions expected to be resumed after summer breaks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Magnus Groth / Christian Hånell</w:t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Keravan Energia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Long-term temperature-based swap transaction with Finnish district heating company</w:t>
      </w:r>
    </w:p>
    <w:p>
      <w:pPr>
        <w:pStyle w:val="BodyTextIndent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Status:</w:t>
        <w:tab/>
        <w:t>Letter of Intent executed; facilities output data awaited from the other party</w:t>
      </w:r>
    </w:p>
    <w:p>
      <w:pPr>
        <w:pStyle w:val="BodyTextIndent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-</w:t>
        <w:tab/>
        <w:t>Jonathan Pietila / Christian Hånell</w:t>
      </w:r>
    </w:p>
    <w:p>
      <w:pPr>
        <w:pStyle w:val="BodyTextIndent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</w:r>
    </w:p>
    <w:p>
      <w:pPr>
        <w:pStyle w:val="BodyTextIndent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Kotkan Energia</w:t>
      </w:r>
    </w:p>
    <w:p>
      <w:pPr>
        <w:pStyle w:val="Normal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Long-term temperature-based swap transaction with Finnish district heating company</w:t>
      </w:r>
    </w:p>
    <w:p>
      <w:pPr>
        <w:pStyle w:val="BodyTextIndent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Status:</w:t>
        <w:tab/>
        <w:tab/>
        <w:t>Letter of Intent executed; facilities output data awaited from the other party</w:t>
      </w:r>
    </w:p>
    <w:p>
      <w:pPr>
        <w:pStyle w:val="BodyTextIndent"/>
        <w:ind w:hanging="1418" w:start="1418" w:end="0"/>
        <w:rPr>
          <w:lang w:val="en-CA"/>
        </w:rPr>
      </w:pPr>
      <w:r>
        <w:rPr>
          <w:lang w:val="en-CA"/>
        </w:rPr>
        <w:tab/>
        <w:t>-</w:t>
        <w:tab/>
        <w:tab/>
        <w:t>Jonathan Pietila / Christian Hånell</w:t>
      </w:r>
    </w:p>
    <w:p>
      <w:pPr>
        <w:pStyle w:val="BodyTextIndent"/>
        <w:tabs>
          <w:tab w:val="clear" w:pos="720"/>
          <w:tab w:val="left" w:pos="1276" w:leader="none"/>
        </w:tabs>
        <w:rPr>
          <w:lang w:val="en-CA"/>
        </w:rPr>
      </w:pPr>
      <w:r>
        <w:rPr>
          <w:lang w:val="en-CA"/>
        </w:rPr>
      </w:r>
    </w:p>
    <w:p>
      <w:pPr>
        <w:pStyle w:val="Heading2"/>
        <w:keepNext w:val="false"/>
        <w:widowControl w:val="false"/>
        <w:rPr>
          <w:b w:val="false"/>
          <w:lang w:val="en-CA"/>
        </w:rPr>
      </w:pPr>
      <w:r>
        <w:rPr>
          <w:lang w:val="en-CA"/>
        </w:rPr>
        <w:t>B.</w:t>
        <w:tab/>
        <w:t>Previously Outstanding Matters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Master Agreements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  <w:t>Subject:</w:t>
        <w:tab/>
        <w:t>Documenting Nordic financial power transactions under the ISDA Master Agreement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Update:</w:t>
        <w:tab/>
        <w:t>Draft Schedule and Annex sent to Vattenfall AB; documents being prepared for Morgan Stanley and Birka Energi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  <w:t>-</w:t>
        <w:tab/>
        <w:t>Paul Simons / Edmund Cooper / Tomas Valnek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Commodity Derivatives Law Committee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Review by Norwegian law committee of issues related to commodity derivatives trading in Norway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Update:</w:t>
        <w:tab/>
        <w:t>The release of the committee's deliberations delayed until late August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  <w:t>-</w:t>
        <w:tab/>
        <w:t>Paul Simons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ind w:hanging="0" w:start="0" w:end="0"/>
        <w:rPr>
          <w:lang w:val="en-CA"/>
        </w:rPr>
      </w:pPr>
      <w:r>
        <w:rPr>
          <w:lang w:val="en-CA"/>
        </w:rPr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Nordic Power Documentation Project</w:t>
      </w:r>
    </w:p>
    <w:p>
      <w:pPr>
        <w:pStyle w:val="BodyTextIndent"/>
        <w:widowControl w:val="false"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  <w:t>Subject:</w:t>
        <w:tab/>
        <w:t>Revision of Nordic financial power trading terms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Update:</w:t>
        <w:tab/>
        <w:t xml:space="preserve">Enron assigned to prepare draft master agreement; first draft circulated to the ad hoc working group; next meeting with the working group scheduled for 31 August 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-</w:t>
        <w:tab/>
        <w:t>Lee Munden / Tomas Valnek / Matt Landy / Paul Simons / Elisabeth Sager</w:t>
      </w:r>
    </w:p>
    <w:p>
      <w:pPr>
        <w:pStyle w:val="BodyTextIndent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</w:r>
    </w:p>
    <w:p>
      <w:pPr>
        <w:pStyle w:val="BodyTextIndent"/>
        <w:keepNext w:val="true"/>
        <w:keepLines/>
        <w:tabs>
          <w:tab w:val="clear" w:pos="720"/>
          <w:tab w:val="left" w:pos="709" w:leader="none"/>
        </w:tabs>
        <w:ind w:hanging="1418" w:start="1418" w:end="0"/>
        <w:rPr/>
      </w:pPr>
      <w:r>
        <w:rPr>
          <w:lang w:val="en-CA"/>
        </w:rPr>
        <w:tab/>
      </w:r>
      <w:r>
        <w:rPr>
          <w:u w:val="single"/>
          <w:lang w:val="en-CA"/>
        </w:rPr>
        <w:t>Ringsjö</w:t>
      </w:r>
    </w:p>
    <w:p>
      <w:pPr>
        <w:pStyle w:val="BodyTextIndent"/>
        <w:keepNext w:val="true"/>
        <w:keepLines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3-year full requirement physical delivery transaction with Swedish local distribution company</w:t>
      </w:r>
    </w:p>
    <w:p>
      <w:pPr>
        <w:pStyle w:val="BodyTextIndent"/>
        <w:keepNext w:val="true"/>
        <w:keepLines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 xml:space="preserve"> </w:t>
      </w:r>
      <w:r>
        <w:rPr>
          <w:lang w:val="en-CA"/>
        </w:rPr>
        <w:tab/>
        <w:t>Update:</w:t>
        <w:tab/>
        <w:t>Transaction successfully closed</w:t>
      </w:r>
    </w:p>
    <w:p>
      <w:pPr>
        <w:pStyle w:val="BodyTextIndent"/>
        <w:keepNext w:val="true"/>
        <w:keepLines/>
        <w:tabs>
          <w:tab w:val="clear" w:pos="720"/>
          <w:tab w:val="left" w:pos="1418" w:leader="none"/>
        </w:tabs>
        <w:rPr>
          <w:lang w:val="en-CA"/>
        </w:rPr>
      </w:pPr>
      <w:r>
        <w:rPr>
          <w:lang w:val="en-CA"/>
        </w:rPr>
        <w:tab/>
        <w:t>-</w:t>
        <w:tab/>
        <w:t>Christopher Eckerberg / Tomas Valnek / Matt Landy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keepNext w:val="true"/>
        <w:keepLines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Voimatori Oy</w:t>
      </w:r>
    </w:p>
    <w:p>
      <w:pPr>
        <w:pStyle w:val="Normal"/>
        <w:keepNext w:val="true"/>
        <w:keepLines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Subject:</w:t>
        <w:tab/>
        <w:t>Long-term financial power plant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Update:</w:t>
        <w:tab/>
        <w:t>No progress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Jukka Hormalouma / Matt Landy / Tomas Valnek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Akershus Kraft AS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Lease out of physical production assets - lease in of a replacement financial power facility; monetisation of power production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Update:</w:t>
        <w:tab/>
        <w:t>Draft letter of intent proposed to the other party; discussions expected to resume after summer breaks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Peter Larsen / Matt Landy / Tomas Valnek / Anna Briggs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Legal Due Diligence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hanging="1418" w:start="1418" w:end="0"/>
        <w:rPr>
          <w:lang w:val="en-CA"/>
        </w:rPr>
      </w:pPr>
      <w:r>
        <w:rPr>
          <w:lang w:val="en-CA"/>
        </w:rPr>
        <w:tab/>
        <w:t>Subject:</w:t>
        <w:tab/>
        <w:t>Completion of legal due diligence with respect commodity derivatives trading in  Sweden, Finland and Denmark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Update:</w:t>
        <w:tab/>
        <w:t>Outside counsel's response to final issues expected in short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Paul Simons / Edmund Cooper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</w:r>
      <w:r>
        <w:rPr>
          <w:u w:val="single"/>
          <w:lang w:val="en-CA"/>
        </w:rPr>
        <w:t>Stockholm Office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Subject:</w:t>
        <w:tab/>
        <w:t>Legal office matters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Update:</w:t>
        <w:tab/>
        <w:t xml:space="preserve">Office went live on June 21; official reception on 26 August 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  <w:tab/>
        <w:t>-</w:t>
        <w:tab/>
        <w:t>John Metzler / Barry Sangster / Clive Brownlee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hanging="709" w:start="709" w:end="0"/>
        <w:jc w:val="center"/>
        <w:rPr>
          <w:u w:val="single"/>
        </w:rPr>
      </w:pPr>
      <w:r>
        <w:rPr>
          <w:u w:val="single"/>
        </w:rPr>
        <w:tab/>
        <w:tab/>
        <w:tab/>
        <w:tab/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800" w:right="180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5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10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09" w:start="709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709" w:start="709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080" w:leader="none"/>
      </w:tabs>
      <w:ind w:hanging="720" w:start="72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080" w:leader="none"/>
      </w:tabs>
      <w:ind w:hanging="0" w:start="705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1999-07-09T05:50:00Z</dcterms:created>
  <dc:creator>Martin Rosell</dc:creator>
  <dc:description/>
  <dc:language>en-CA</dc:language>
  <cp:lastModifiedBy>Martin Rosell</cp:lastModifiedBy>
  <cp:lastPrinted>1999-07-12T17:45:00Z</cp:lastPrinted>
  <dcterms:modified xsi:type="dcterms:W3CDTF">1999-07-12T14:35:00Z</dcterms:modified>
  <cp:revision>6</cp:revision>
  <dc:subject/>
  <dc:title>Martin Rosell</dc:title>
</cp:coreProperties>
</file>