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Outstanding List</w:t>
      </w:r>
    </w:p>
    <w:p>
      <w:pPr>
        <w:pStyle w:val="Normal"/>
        <w:jc w:val="center"/>
        <w:rPr/>
      </w:pPr>
      <w:r>
        <w:rPr/>
        <w:t>11/04/01</w:t>
      </w:r>
    </w:p>
    <w:p>
      <w:pPr>
        <w:pStyle w:val="Normal"/>
        <w:rPr/>
      </w:pPr>
      <w:r>
        <w:rPr/>
      </w:r>
    </w:p>
    <w:p>
      <w:pPr>
        <w:pStyle w:val="Header"/>
        <w:tabs>
          <w:tab w:val="clear" w:pos="4536"/>
          <w:tab w:val="clear" w:pos="9072"/>
          <w:tab w:val="left" w:pos="1134" w:leader="none"/>
        </w:tabs>
        <w:rPr>
          <w:b/>
        </w:rPr>
      </w:pPr>
      <w:r>
        <w:rPr>
          <w:b/>
        </w:rPr>
        <w:t>Overall</w:t>
      </w:r>
    </w:p>
    <w:p>
      <w:pPr>
        <w:pStyle w:val="Normal"/>
        <w:numPr>
          <w:ilvl w:val="0"/>
          <w:numId w:val="19"/>
        </w:numPr>
        <w:rPr>
          <w:b/>
          <w:bCs/>
        </w:rPr>
      </w:pPr>
      <w:r>
        <w:rPr>
          <w:b/>
          <w:bCs/>
        </w:rPr>
        <w:t>Signed job arrangement letter</w:t>
      </w:r>
    </w:p>
    <w:p>
      <w:pPr>
        <w:pStyle w:val="Normal"/>
        <w:numPr>
          <w:ilvl w:val="0"/>
          <w:numId w:val="19"/>
        </w:numPr>
        <w:rPr>
          <w:b/>
          <w:bCs/>
        </w:rPr>
      </w:pPr>
      <w:r>
        <w:rPr>
          <w:b/>
          <w:bCs/>
        </w:rPr>
        <w:t>Signed legal letters (V&amp;E, WC&amp;P, and Special Committee)</w:t>
      </w:r>
    </w:p>
    <w:p>
      <w:pPr>
        <w:pStyle w:val="Normal"/>
        <w:numPr>
          <w:ilvl w:val="0"/>
          <w:numId w:val="19"/>
        </w:numPr>
        <w:rPr>
          <w:b/>
          <w:bCs/>
        </w:rPr>
      </w:pPr>
      <w:r>
        <w:rPr>
          <w:b/>
          <w:bCs/>
        </w:rPr>
        <w:t>Letter to the bank regarding material adverse changes</w:t>
      </w:r>
    </w:p>
    <w:p>
      <w:pPr>
        <w:pStyle w:val="Normal"/>
        <w:numPr>
          <w:ilvl w:val="0"/>
          <w:numId w:val="19"/>
        </w:numPr>
        <w:rPr/>
      </w:pPr>
      <w:r>
        <w:rPr/>
        <w:t>Footnotes to the financials – revised per e-mail</w:t>
      </w:r>
    </w:p>
    <w:p>
      <w:pPr>
        <w:pStyle w:val="Normal"/>
        <w:numPr>
          <w:ilvl w:val="0"/>
          <w:numId w:val="19"/>
        </w:numPr>
        <w:rPr/>
      </w:pPr>
      <w:r>
        <w:rPr/>
        <w:t>Support for financial amounts in footnotes when received</w:t>
      </w:r>
    </w:p>
    <w:p>
      <w:pPr>
        <w:pStyle w:val="Normal"/>
        <w:numPr>
          <w:ilvl w:val="0"/>
          <w:numId w:val="19"/>
        </w:numPr>
        <w:rPr/>
      </w:pPr>
      <w:r>
        <w:rPr/>
        <w:t>Signed management rep. letter</w:t>
      </w:r>
    </w:p>
    <w:p>
      <w:pPr>
        <w:pStyle w:val="Normal"/>
        <w:numPr>
          <w:ilvl w:val="0"/>
          <w:numId w:val="19"/>
        </w:numPr>
        <w:rPr/>
      </w:pPr>
      <w:r>
        <w:rPr/>
        <w:t>Quarterly review questions (Jim and Bob)</w:t>
      </w:r>
    </w:p>
    <w:p>
      <w:pPr>
        <w:pStyle w:val="Normal"/>
        <w:rPr/>
      </w:pPr>
      <w:r>
        <w:rPr/>
      </w:r>
    </w:p>
    <w:p>
      <w:pPr>
        <w:pStyle w:val="Normal"/>
        <w:rPr>
          <w:b/>
        </w:rPr>
      </w:pPr>
      <w:r>
        <w:rPr>
          <w:b/>
        </w:rPr>
        <w:t>TW Questions</w:t>
      </w:r>
    </w:p>
    <w:p>
      <w:pPr>
        <w:pStyle w:val="Normal"/>
        <w:rPr>
          <w:i/>
          <w:i/>
        </w:rPr>
      </w:pPr>
      <w:r>
        <w:rPr>
          <w:i/>
        </w:rPr>
        <w:t>Balance Sheet - Assets</w:t>
      </w:r>
    </w:p>
    <w:p>
      <w:pPr>
        <w:pStyle w:val="Normal"/>
        <w:numPr>
          <w:ilvl w:val="0"/>
          <w:numId w:val="12"/>
        </w:numPr>
        <w:rPr/>
      </w:pPr>
      <w:r>
        <w:rPr/>
        <w:t>What are the deferred charges within Hyperion 0343 related to (as of 09/30/01)?  Why are the charges being deferred?</w:t>
      </w:r>
    </w:p>
    <w:p>
      <w:pPr>
        <w:pStyle w:val="Normal"/>
        <w:rPr/>
      </w:pPr>
      <w:r>
        <w:rPr/>
      </w:r>
    </w:p>
    <w:p>
      <w:pPr>
        <w:pStyle w:val="Normal"/>
        <w:rPr>
          <w:i/>
          <w:i/>
        </w:rPr>
      </w:pPr>
      <w:r>
        <w:rPr>
          <w:i/>
        </w:rPr>
        <w:t>Balance Sheet - Liabilities</w:t>
      </w:r>
    </w:p>
    <w:p>
      <w:pPr>
        <w:pStyle w:val="Normal"/>
        <w:numPr>
          <w:ilvl w:val="0"/>
          <w:numId w:val="13"/>
        </w:numPr>
        <w:rPr/>
      </w:pPr>
      <w:r>
        <w:rPr/>
        <w:t>Evidence of “subject to refund” for TW’s negotiated rate reserve (SFAS 5 evidence).</w:t>
      </w:r>
    </w:p>
    <w:p>
      <w:pPr>
        <w:pStyle w:val="Normal"/>
        <w:numPr>
          <w:ilvl w:val="0"/>
          <w:numId w:val="13"/>
        </w:numPr>
        <w:rPr/>
      </w:pPr>
      <w:r>
        <w:rPr/>
        <w:t>Final determination of why SoCal is “probable” of not being recovered in accordance with SFAS 5.</w:t>
      </w:r>
    </w:p>
    <w:p>
      <w:pPr>
        <w:pStyle w:val="Normal"/>
        <w:numPr>
          <w:ilvl w:val="0"/>
          <w:numId w:val="13"/>
        </w:numPr>
        <w:rPr/>
      </w:pPr>
      <w:r>
        <w:rPr/>
        <w:t>In regards to the $4.3mm increase in Accounts Payable from 12/31/00 to 09/30/01, you said the increase is due to Company 827 being the paying entity for Company 60 (TW) in the year 2000.  In mid Feb. 2001 Company 60 began issuing checks which created an outstanding balance.  However, wouldn't the liability accrued still be on Co. 60's books?  Can you please explain this further.</w:t>
      </w:r>
    </w:p>
    <w:p>
      <w:pPr>
        <w:pStyle w:val="Normal"/>
        <w:numPr>
          <w:ilvl w:val="0"/>
          <w:numId w:val="13"/>
        </w:numPr>
        <w:rPr/>
      </w:pPr>
      <w:r>
        <w:rPr/>
        <w:t>Related to the $6.8mm increase in Transportation and exchange gas payable, what exactly is the Anticipated measurement adjustment of $4.3mm?</w:t>
      </w:r>
    </w:p>
    <w:p>
      <w:pPr>
        <w:pStyle w:val="Normal"/>
        <w:numPr>
          <w:ilvl w:val="0"/>
          <w:numId w:val="13"/>
        </w:numPr>
        <w:jc w:val="both"/>
        <w:rPr/>
      </w:pPr>
      <w:r>
        <w:rPr/>
        <w:t xml:space="preserve">Related to the September 30, </w:t>
      </w:r>
      <w:r>
        <w:rPr>
          <w:b/>
          <w:u w:val="single"/>
        </w:rPr>
        <w:t>2000</w:t>
      </w:r>
      <w:r>
        <w:rPr/>
        <w:t xml:space="preserve"> balance sheet, we are having trouble tying the $2.7mm Other Liabilities to the g/l?  Please assist.  </w:t>
      </w:r>
    </w:p>
    <w:p>
      <w:pPr>
        <w:pStyle w:val="Normal"/>
        <w:rPr/>
      </w:pPr>
      <w:r>
        <w:rPr/>
      </w:r>
    </w:p>
    <w:p>
      <w:pPr>
        <w:pStyle w:val="Normal"/>
        <w:rPr>
          <w:i/>
          <w:i/>
        </w:rPr>
      </w:pPr>
      <w:r>
        <w:rPr>
          <w:i/>
        </w:rPr>
        <w:t>Income Statement</w:t>
      </w:r>
    </w:p>
    <w:p>
      <w:pPr>
        <w:pStyle w:val="Normal"/>
        <w:numPr>
          <w:ilvl w:val="0"/>
          <w:numId w:val="14"/>
        </w:numPr>
        <w:rPr/>
      </w:pPr>
      <w:r>
        <w:rPr/>
        <w:t>Regarding the $8.5mm increase in O&amp;M Expense can I get more detail on what exactly the O&amp;M (Operations, Information Technology, Commercial Market Services, Other) - $3.2mm and the Fuel/UAF- $5.6mm is.  Also, regarding the Fuel/UAF of $5.6mm, if this a difference in the cost of sales for the period (now booked to O&amp;M)?  If so what are amounts?</w:t>
      </w:r>
    </w:p>
    <w:p>
      <w:pPr>
        <w:pStyle w:val="Normal"/>
        <w:rPr/>
      </w:pPr>
      <w:r>
        <w:rPr/>
      </w:r>
    </w:p>
    <w:p>
      <w:pPr>
        <w:pStyle w:val="Normal"/>
        <w:rPr>
          <w:i/>
          <w:i/>
        </w:rPr>
      </w:pPr>
      <w:r>
        <w:rPr>
          <w:i/>
        </w:rPr>
        <w:t>Cash Flows</w:t>
      </w:r>
    </w:p>
    <w:p>
      <w:pPr>
        <w:pStyle w:val="Normal"/>
        <w:numPr>
          <w:ilvl w:val="0"/>
          <w:numId w:val="16"/>
        </w:numPr>
        <w:rPr/>
      </w:pPr>
      <w:r>
        <w:rPr/>
        <w:t>Explain $2.4mm variance in schedule e-mailed to Aurora 11/03/01.</w:t>
      </w:r>
    </w:p>
    <w:p>
      <w:pPr>
        <w:pStyle w:val="Normal"/>
        <w:rPr/>
      </w:pPr>
      <w:r>
        <w:rPr/>
      </w:r>
    </w:p>
    <w:p>
      <w:pPr>
        <w:pStyle w:val="Normal"/>
        <w:rPr>
          <w:b/>
        </w:rPr>
      </w:pPr>
      <w:r>
        <w:rPr>
          <w:b/>
        </w:rPr>
        <w:t>NNG Questions</w:t>
      </w:r>
    </w:p>
    <w:p>
      <w:pPr>
        <w:pStyle w:val="Normal"/>
        <w:rPr>
          <w:i/>
          <w:i/>
        </w:rPr>
      </w:pPr>
      <w:r>
        <w:rPr>
          <w:i/>
        </w:rPr>
        <w:t>Cash Flows</w:t>
      </w:r>
    </w:p>
    <w:p>
      <w:pPr>
        <w:pStyle w:val="Normal"/>
        <w:numPr>
          <w:ilvl w:val="0"/>
          <w:numId w:val="20"/>
        </w:numPr>
        <w:rPr/>
      </w:pPr>
      <w:r>
        <w:rPr/>
        <w:t>On the Cash flow squeeze for YTD 9/30/2000, $15,000 was “Reclass deferred tax to tie B/S changes to I/S changes”; what causes this, and do you have any support for it.</w:t>
      </w:r>
    </w:p>
    <w:p>
      <w:pPr>
        <w:pStyle w:val="Normal"/>
        <w:numPr>
          <w:ilvl w:val="0"/>
          <w:numId w:val="20"/>
        </w:numPr>
        <w:rPr>
          <w:i/>
          <w:i/>
        </w:rPr>
      </w:pPr>
      <w:r>
        <w:rPr>
          <w:color w:val="000000"/>
        </w:rPr>
        <w:t>Interest and Tax rollforward variance explanations. Schedule sent to Allen for explanation.</w:t>
      </w:r>
    </w:p>
    <w:p>
      <w:pPr>
        <w:pStyle w:val="Normal"/>
        <w:rPr>
          <w:i/>
          <w:i/>
        </w:rPr>
      </w:pPr>
      <w:r>
        <w:rPr>
          <w:i/>
        </w:rPr>
      </w:r>
    </w:p>
    <w:sectPr>
      <w:headerReference w:type="default" r:id="rId2"/>
      <w:headerReference w:type="first" r:id="rId3"/>
      <w:footerReference w:type="default" r:id="rId4"/>
      <w:footerReference w:type="first" r:id="rId5"/>
      <w:type w:val="nextPage"/>
      <w:pgSz w:w="12240" w:h="15840"/>
      <w:pgMar w:left="1440" w:right="1440" w:gutter="0" w:header="1195" w:top="1251" w:footer="1382" w:bottom="143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nl-NL"/>
      </w:rPr>
    </w:pPr>
    <w:bookmarkStart w:id="1" w:name="Logo2nd"/>
    <w:bookmarkEnd w:id="1"/>
    <w:r>
      <w:rPr>
        <w:lang w:val="nl-NL"/>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nl-NL"/>
      </w:rPr>
    </w:pPr>
    <w:r>
      <w:rPr>
        <w:lang w:val="nl-N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nl-NL"/>
      </w:rPr>
    </w:pPr>
    <w:bookmarkStart w:id="0" w:name="Logo1st"/>
    <w:bookmarkEnd w:id="0"/>
    <w:r>
      <w:rPr>
        <w:lang w:val="nl-N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decimal"/>
      <w:lvlText w:val="%1."/>
      <w:lvlJc w:val="start"/>
      <w:pPr>
        <w:tabs>
          <w:tab w:val="num" w:pos="283"/>
        </w:tabs>
        <w:ind w:start="283" w:hanging="283"/>
      </w:pPr>
    </w:lvl>
  </w:abstractNum>
  <w:abstractNum w:abstractNumId="16">
    <w:lvl w:ilvl="0">
      <w:start w:val="1"/>
      <w:numFmt w:val="decimal"/>
      <w:lvlText w:val="%1."/>
      <w:lvlJc w:val="start"/>
      <w:pPr>
        <w:tabs>
          <w:tab w:val="num" w:pos="360"/>
        </w:tabs>
        <w:ind w:start="360" w:hanging="360"/>
      </w:pPr>
      <w:rPr/>
    </w:lvl>
  </w:abstractNum>
  <w:abstractNum w:abstractNumId="17">
    <w:lvl w:ilvl="0">
      <w:start w:val="1"/>
      <w:numFmt w:val="bullet"/>
      <w:lvlText w:val=""/>
      <w:lvlJc w:val="start"/>
      <w:pPr>
        <w:tabs>
          <w:tab w:val="num" w:pos="283"/>
        </w:tabs>
        <w:ind w:start="283" w:hanging="283"/>
      </w:pPr>
      <w:rPr>
        <w:rFonts w:ascii="Symbol" w:hAnsi="Symbol" w:cs="Symbol" w:hint="default"/>
      </w:rPr>
    </w:lvl>
  </w:abstractNum>
  <w:abstractNum w:abstractNumId="18">
    <w:lvl w:ilvl="0">
      <w:start w:val="1"/>
      <w:numFmt w:val="bullet"/>
      <w:lvlText w:val=""/>
      <w:lvlJc w:val="start"/>
      <w:pPr>
        <w:tabs>
          <w:tab w:val="num" w:pos="283"/>
        </w:tabs>
        <w:ind w:start="283" w:hanging="283"/>
      </w:pPr>
      <w:rPr>
        <w:rFonts w:ascii="Symbol" w:hAnsi="Symbol" w:cs="Symbol" w:hint="default"/>
      </w:rPr>
    </w:lvl>
  </w:abstractNum>
  <w:abstractNum w:abstractNumId="19">
    <w:lvl w:ilvl="0">
      <w:start w:val="1"/>
      <w:numFmt w:val="decimal"/>
      <w:lvlText w:val="%1."/>
      <w:lvlJc w:val="start"/>
      <w:pPr>
        <w:tabs>
          <w:tab w:val="num" w:pos="360"/>
        </w:tabs>
        <w:ind w:start="360" w:hanging="360"/>
      </w:pPr>
    </w:lvl>
  </w:abstractNum>
  <w:abstractNum w:abstractNumId="20">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08"/>
        <w:tab w:val="left" w:pos="1134" w:leader="none"/>
      </w:tabs>
      <w:bidi w:val="0"/>
      <w:spacing w:lineRule="atLeast" w:line="28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hd w:fill="FFFFFF" w:val="clear"/>
      <w:spacing w:lineRule="atLeast" w:line="300"/>
      <w:outlineLvl w:val="0"/>
    </w:pPr>
    <w:rPr>
      <w:rFonts w:ascii="Arial" w:hAnsi="Arial" w:cs="Arial"/>
      <w:b/>
      <w:sz w:val="24"/>
    </w:rPr>
  </w:style>
  <w:style w:type="paragraph" w:styleId="Heading2">
    <w:name w:val="heading 2"/>
    <w:basedOn w:val="Normal"/>
    <w:next w:val="Normal"/>
    <w:qFormat/>
    <w:pPr>
      <w:keepNext w:val="true"/>
      <w:numPr>
        <w:ilvl w:val="1"/>
        <w:numId w:val="1"/>
      </w:numPr>
      <w:spacing w:lineRule="atLeast" w:line="240" w:before="240" w:after="0"/>
      <w:outlineLvl w:val="1"/>
    </w:pPr>
    <w:rPr>
      <w:rFonts w:ascii="Arial" w:hAnsi="Arial" w:cs="Arial"/>
      <w:b/>
      <w:sz w:val="18"/>
    </w:rPr>
  </w:style>
  <w:style w:type="paragraph" w:styleId="Heading3">
    <w:name w:val="heading 3"/>
    <w:basedOn w:val="Normal"/>
    <w:next w:val="Normal"/>
    <w:qFormat/>
    <w:pPr>
      <w:keepNext w:val="true"/>
      <w:numPr>
        <w:ilvl w:val="2"/>
        <w:numId w:val="1"/>
      </w:numPr>
      <w:spacing w:lineRule="atLeast" w:line="240" w:before="240" w:after="60"/>
      <w:outlineLvl w:val="2"/>
    </w:pPr>
    <w:rPr>
      <w:rFonts w:ascii="Arial" w:hAnsi="Arial" w:cs="Arial"/>
      <w:sz w:val="18"/>
    </w:rPr>
  </w:style>
  <w:style w:type="paragraph" w:styleId="Heading4">
    <w:name w:val="heading 4"/>
    <w:basedOn w:val="Normal"/>
    <w:next w:val="Normal"/>
    <w:qFormat/>
    <w:pPr>
      <w:keepNext w:val="true"/>
      <w:numPr>
        <w:ilvl w:val="3"/>
        <w:numId w:val="1"/>
      </w:numPr>
      <w:outlineLvl w:val="3"/>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color w:val="auto"/>
    </w:rPr>
  </w:style>
  <w:style w:type="character" w:styleId="WW8Num18z0">
    <w:name w:val="WW8Num18z0"/>
    <w:qFormat/>
    <w:rPr>
      <w:rFonts w:ascii="Symbol" w:hAnsi="Symbol" w:cs="Symbol"/>
      <w:color w:val="auto"/>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rFonts w:ascii="Wingdings" w:hAnsi="Wingdings" w:cs="Wingdings"/>
    </w:rPr>
  </w:style>
  <w:style w:type="character" w:styleId="WW8Num28z0">
    <w:name w:val="WW8Num28z0"/>
    <w:qFormat/>
    <w:rPr>
      <w:rFonts w:ascii="Symbol" w:hAnsi="Symbol" w:cs="Symbol"/>
      <w:color w:val="auto"/>
    </w:rPr>
  </w:style>
  <w:style w:type="character" w:styleId="WW8Num29z0">
    <w:name w:val="WW8Num29z0"/>
    <w:qFormat/>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color w:val="auto"/>
    </w:rPr>
  </w:style>
  <w:style w:type="character" w:styleId="WW8Num37z0">
    <w:name w:val="WW8Num37z0"/>
    <w:qFormat/>
    <w:rPr>
      <w:rFonts w:ascii="Symbol" w:hAnsi="Symbol" w:cs="Symbol"/>
    </w:rPr>
  </w:style>
  <w:style w:type="character" w:styleId="WW8Num38z0">
    <w:name w:val="WW8Num38z0"/>
    <w:qFormat/>
    <w:rPr/>
  </w:style>
  <w:style w:type="character" w:styleId="WW8Num40z0">
    <w:name w:val="WW8Num40z0"/>
    <w:qFormat/>
    <w:rPr>
      <w:rFonts w:ascii="Symbol" w:hAnsi="Symbol" w:cs="Symbol"/>
      <w:color w:val="auto"/>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sz w:val="16"/>
    </w:rPr>
  </w:style>
  <w:style w:type="character" w:styleId="WW8Num46z0">
    <w:name w:val="WW8Num46z0"/>
    <w:qFormat/>
    <w:rPr>
      <w:rFonts w:ascii="Symbol" w:hAnsi="Symbol" w:cs="Symbol"/>
      <w:color w:val="auto"/>
    </w:rPr>
  </w:style>
  <w:style w:type="character" w:styleId="WW8Num47z0">
    <w:name w:val="WW8Num47z0"/>
    <w:qFormat/>
    <w:rPr>
      <w:rFonts w:ascii="Symbol" w:hAnsi="Symbol" w:cs="Symbol"/>
      <w:color w:val="auto"/>
    </w:rPr>
  </w:style>
  <w:style w:type="character" w:styleId="WW8Num48z0">
    <w:name w:val="WW8Num48z0"/>
    <w:qFormat/>
    <w:rPr>
      <w:rFonts w:ascii="Symbol" w:hAnsi="Symbol" w:cs="Symbol"/>
      <w:color w:val="auto"/>
    </w:rPr>
  </w:style>
  <w:style w:type="character" w:styleId="WW8Num50z0">
    <w:name w:val="WW8Num50z0"/>
    <w:qFormat/>
    <w:rPr>
      <w:rFonts w:ascii="Symbol" w:hAnsi="Symbol" w:cs="Symbol"/>
    </w:rPr>
  </w:style>
  <w:style w:type="character" w:styleId="WW8Num52z0">
    <w:name w:val="WW8Num52z0"/>
    <w:qFormat/>
    <w:rPr>
      <w:rFonts w:ascii="Symbol" w:hAnsi="Symbol" w:cs="Symbol"/>
    </w:rPr>
  </w:style>
  <w:style w:type="character" w:styleId="WW8Num54z0">
    <w:name w:val="WW8Num54z0"/>
    <w:qFormat/>
    <w:rPr>
      <w:rFonts w:ascii="Symbol" w:hAnsi="Symbol" w:cs="Symbol"/>
      <w:color w:val="auto"/>
    </w:rPr>
  </w:style>
  <w:style w:type="character" w:styleId="WW8Num57z0">
    <w:name w:val="WW8Num57z0"/>
    <w:qFormat/>
    <w:rPr>
      <w:rFonts w:ascii="Symbol" w:hAnsi="Symbol" w:cs="Symbol"/>
    </w:rPr>
  </w:style>
  <w:style w:type="character" w:styleId="WW8Num61z0">
    <w:name w:val="WW8Num61z0"/>
    <w:qFormat/>
    <w:rPr/>
  </w:style>
  <w:style w:type="character" w:styleId="WW8Num63z0">
    <w:name w:val="WW8Num63z0"/>
    <w:qFormat/>
    <w:rPr/>
  </w:style>
  <w:style w:type="character" w:styleId="WW8Num64z0">
    <w:name w:val="WW8Num64z0"/>
    <w:qFormat/>
    <w:rPr>
      <w:rFonts w:ascii="Symbol" w:hAnsi="Symbol" w:cs="Symbol"/>
      <w:color w:val="auto"/>
    </w:rPr>
  </w:style>
  <w:style w:type="character" w:styleId="WW8Num65z0">
    <w:name w:val="WW8Num65z0"/>
    <w:qFormat/>
    <w:rPr/>
  </w:style>
  <w:style w:type="character" w:styleId="WW8Num70z0">
    <w:name w:val="WW8Num70z0"/>
    <w:qFormat/>
    <w:rPr>
      <w:rFonts w:ascii="Symbol" w:hAnsi="Symbol" w:cs="Symbol"/>
      <w:color w:val="auto"/>
    </w:rPr>
  </w:style>
  <w:style w:type="character" w:styleId="WW8Num71z0">
    <w:name w:val="WW8Num71z0"/>
    <w:qFormat/>
    <w:rPr>
      <w:rFonts w:ascii="Symbol" w:hAnsi="Symbol" w:cs="Symbol"/>
      <w:color w:val="auto"/>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left" w:pos="1134" w:leader="none"/>
        <w:tab w:val="center" w:pos="4536" w:leader="none"/>
        <w:tab w:val="right" w:pos="9072" w:leader="none"/>
      </w:tabs>
    </w:pPr>
    <w:rPr/>
  </w:style>
  <w:style w:type="paragraph" w:styleId="Footer">
    <w:name w:val="footer"/>
    <w:basedOn w:val="Normal"/>
    <w:pPr>
      <w:tabs>
        <w:tab w:val="left" w:pos="1134" w:leader="none"/>
        <w:tab w:val="center" w:pos="4536" w:leader="none"/>
        <w:tab w:val="right" w:pos="9072" w:leader="none"/>
      </w:tabs>
    </w:pPr>
    <w:rPr/>
  </w:style>
  <w:style w:type="paragraph" w:styleId="ListBullet">
    <w:name w:val="List Bullet"/>
    <w:basedOn w:val="Normal"/>
    <w:qFormat/>
    <w:pPr>
      <w:numPr>
        <w:ilvl w:val="0"/>
        <w:numId w:val="11"/>
      </w:numPr>
      <w:tabs>
        <w:tab w:val="left" w:pos="284" w:leader="none"/>
        <w:tab w:val="left" w:pos="1134" w:leader="none"/>
      </w:tabs>
      <w:ind w:hanging="284" w:start="284" w:end="0"/>
    </w:pPr>
    <w:rPr/>
  </w:style>
  <w:style w:type="paragraph" w:styleId="ListBullet2">
    <w:name w:val="List Bullet 2"/>
    <w:basedOn w:val="Normal"/>
    <w:qFormat/>
    <w:pPr>
      <w:numPr>
        <w:ilvl w:val="0"/>
        <w:numId w:val="9"/>
      </w:numPr>
      <w:tabs>
        <w:tab w:val="left" w:pos="567" w:leader="none"/>
        <w:tab w:val="left" w:pos="1134" w:leader="none"/>
      </w:tabs>
      <w:ind w:hanging="284" w:start="851" w:end="0"/>
    </w:pPr>
    <w:rPr/>
  </w:style>
  <w:style w:type="paragraph" w:styleId="ListBullet3">
    <w:name w:val="List Bullet 3"/>
    <w:basedOn w:val="Normal"/>
    <w:qFormat/>
    <w:pPr>
      <w:numPr>
        <w:ilvl w:val="0"/>
        <w:numId w:val="8"/>
      </w:numPr>
      <w:tabs>
        <w:tab w:val="left" w:pos="851" w:leader="none"/>
        <w:tab w:val="left" w:pos="1134" w:leader="none"/>
      </w:tabs>
      <w:ind w:hanging="284" w:start="1135" w:end="0"/>
    </w:pPr>
    <w:rPr/>
  </w:style>
  <w:style w:type="paragraph" w:styleId="ListBullet4">
    <w:name w:val="List Bullet 4"/>
    <w:basedOn w:val="Normal"/>
    <w:qFormat/>
    <w:pPr>
      <w:numPr>
        <w:ilvl w:val="0"/>
        <w:numId w:val="7"/>
      </w:numPr>
      <w:ind w:hanging="284" w:start="1418" w:end="0"/>
    </w:pPr>
    <w:rPr/>
  </w:style>
  <w:style w:type="paragraph" w:styleId="ListNumber">
    <w:name w:val="List Number"/>
    <w:basedOn w:val="Normal"/>
    <w:qFormat/>
    <w:pPr>
      <w:numPr>
        <w:ilvl w:val="0"/>
        <w:numId w:val="10"/>
      </w:numPr>
      <w:tabs>
        <w:tab w:val="left" w:pos="284" w:leader="none"/>
        <w:tab w:val="left" w:pos="1134" w:leader="none"/>
      </w:tabs>
      <w:ind w:hanging="284" w:start="284" w:end="0"/>
    </w:pPr>
    <w:rPr/>
  </w:style>
  <w:style w:type="paragraph" w:styleId="ListNumber2">
    <w:name w:val="List Number 2"/>
    <w:basedOn w:val="Normal"/>
    <w:qFormat/>
    <w:pPr>
      <w:numPr>
        <w:ilvl w:val="0"/>
        <w:numId w:val="5"/>
      </w:numPr>
      <w:tabs>
        <w:tab w:val="left" w:pos="567" w:leader="none"/>
        <w:tab w:val="left" w:pos="1134" w:leader="none"/>
      </w:tabs>
      <w:ind w:hanging="284" w:start="851" w:end="0"/>
    </w:pPr>
    <w:rPr/>
  </w:style>
  <w:style w:type="paragraph" w:styleId="ListNumber3">
    <w:name w:val="List Number 3"/>
    <w:basedOn w:val="Normal"/>
    <w:qFormat/>
    <w:pPr>
      <w:numPr>
        <w:ilvl w:val="0"/>
        <w:numId w:val="4"/>
      </w:numPr>
      <w:tabs>
        <w:tab w:val="left" w:pos="851" w:leader="none"/>
        <w:tab w:val="left" w:pos="1134"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0"/>
      </w:numPr>
      <w:shd w:fill="auto" w:val="clear"/>
      <w:spacing w:lineRule="auto" w:line="240" w:before="0" w:after="90"/>
      <w:outlineLvl w:val="9"/>
    </w:pPr>
    <w:rPr>
      <w:lang w:val="en-CA" w:eastAsia="en-CA"/>
    </w:rPr>
  </w:style>
  <w:style w:type="paragraph" w:styleId="ListNumber5">
    <w:name w:val="List Number 5"/>
    <w:basedOn w:val="Normal"/>
    <w:qFormat/>
    <w:pPr>
      <w:numPr>
        <w:ilvl w:val="0"/>
        <w:numId w:val="2"/>
      </w:numPr>
      <w:tabs>
        <w:tab w:val="left" w:pos="1134" w:leader="none"/>
        <w:tab w:val="left" w:pos="1418" w:leader="none"/>
      </w:tabs>
      <w:ind w:hanging="284" w:start="1418" w:end="0"/>
    </w:pPr>
    <w:rPr/>
  </w:style>
  <w:style w:type="paragraph" w:styleId="ListNumber4">
    <w:name w:val="List Number 4"/>
    <w:basedOn w:val="Normal"/>
    <w:qFormat/>
    <w:pPr>
      <w:numPr>
        <w:ilvl w:val="0"/>
        <w:numId w:val="3"/>
      </w:numPr>
      <w:tabs>
        <w:tab w:val="left" w:pos="1134" w:leader="none"/>
        <w:tab w:val="left" w:pos="1418" w:leader="none"/>
      </w:tabs>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ind w:hanging="0" w:start="284" w:end="0"/>
    </w:pPr>
    <w:rPr/>
  </w:style>
  <w:style w:type="paragraph" w:styleId="TOC3">
    <w:name w:val="toc 3"/>
    <w:basedOn w:val="Normal"/>
    <w:next w:val="Normal"/>
    <w:pPr>
      <w:ind w:hanging="0" w:start="567" w:end="0"/>
    </w:pPr>
    <w:rPr/>
  </w:style>
  <w:style w:type="paragraph" w:styleId="TOC4">
    <w:name w:val="toc 4"/>
    <w:basedOn w:val="Normal"/>
    <w:next w:val="Normal"/>
    <w:pPr>
      <w:ind w:hanging="0" w:start="851" w:end="0"/>
    </w:pPr>
    <w:rPr/>
  </w:style>
  <w:style w:type="paragraph" w:styleId="TOC5">
    <w:name w:val="toc 5"/>
    <w:basedOn w:val="Normal"/>
    <w:next w:val="Normal"/>
    <w:pPr>
      <w:ind w:hanging="0" w:start="1134" w:end="0"/>
    </w:pPr>
    <w:rPr/>
  </w:style>
  <w:style w:type="paragraph" w:styleId="TOC6">
    <w:name w:val="toc 6"/>
    <w:basedOn w:val="Normal"/>
    <w:next w:val="Normal"/>
    <w:pPr>
      <w:ind w:hanging="0" w:start="1418" w:end="0"/>
    </w:pPr>
    <w:rPr/>
  </w:style>
  <w:style w:type="paragraph" w:styleId="TOC7">
    <w:name w:val="toc 7"/>
    <w:basedOn w:val="Normal"/>
    <w:next w:val="Normal"/>
    <w:pPr>
      <w:ind w:hanging="0" w:start="1701" w:end="0"/>
    </w:pPr>
    <w:rPr/>
  </w:style>
  <w:style w:type="paragraph" w:styleId="TOC8">
    <w:name w:val="toc 8"/>
    <w:basedOn w:val="Normal"/>
    <w:next w:val="Normal"/>
    <w:pPr>
      <w:ind w:hanging="0" w:start="1985" w:end="0"/>
    </w:pPr>
    <w:rPr/>
  </w:style>
  <w:style w:type="paragraph" w:styleId="TOC9">
    <w:name w:val="toc 9"/>
    <w:basedOn w:val="Normal"/>
    <w:next w:val="Normal"/>
    <w:pPr>
      <w:ind w:hanging="0" w:start="2268" w:end="0"/>
    </w:pPr>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numPr>
        <w:ilvl w:val="0"/>
        <w:numId w:val="6"/>
      </w:numPr>
      <w:tabs>
        <w:tab w:val="left" w:pos="1134" w:leader="none"/>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84" w:start="284" w:end="0"/>
    </w:pPr>
    <w:rPr/>
  </w:style>
  <w:style w:type="paragraph" w:styleId="AAFrameLogo">
    <w:name w:val="AA Frame Logo"/>
    <w:basedOn w:val="Normal"/>
    <w:qFormat/>
    <w:pPr/>
    <w:rPr/>
  </w:style>
  <w:style w:type="paragraph" w:styleId="AA1stlevelbullet">
    <w:name w:val="AA 1st level bullet"/>
    <w:basedOn w:val="Normal"/>
    <w:qFormat/>
    <w:pPr>
      <w:numPr>
        <w:ilvl w:val="0"/>
        <w:numId w:val="17"/>
      </w:numPr>
      <w:tabs>
        <w:tab w:val="clear" w:pos="1134"/>
      </w:tabs>
      <w:ind w:hanging="284" w:start="284" w:end="0"/>
    </w:pPr>
    <w:rPr/>
  </w:style>
  <w:style w:type="paragraph" w:styleId="AA2ndlevelbullet">
    <w:name w:val="AA 2nd level bullet"/>
    <w:basedOn w:val="AA1stlevelbullet"/>
    <w:qFormat/>
    <w:pPr>
      <w:numPr>
        <w:ilvl w:val="0"/>
        <w:numId w:val="18"/>
      </w:numPr>
      <w:ind w:hanging="284" w:start="568" w:end="0"/>
    </w:pPr>
    <w:rPr/>
  </w:style>
  <w:style w:type="paragraph" w:styleId="AANumbering">
    <w:name w:val="AA Numbering"/>
    <w:basedOn w:val="Normal"/>
    <w:qFormat/>
    <w:pPr>
      <w:numPr>
        <w:ilvl w:val="0"/>
        <w:numId w:val="15"/>
      </w:numPr>
      <w:ind w:hanging="0" w:start="0" w:end="0"/>
    </w:pPr>
    <w:rPr/>
  </w:style>
  <w:style w:type="paragraph" w:styleId="EnvelopeReturn">
    <w:name w:val="envelope return"/>
    <w:basedOn w:val="Normal"/>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2001-11-04T18:34:00Z</dcterms:created>
  <dc:creator>Arthur Andersen</dc:creator>
  <dc:description/>
  <dc:language>en-CA</dc:language>
  <cp:lastModifiedBy>jsaunde</cp:lastModifiedBy>
  <cp:lastPrinted>1999-11-18T18:07:00Z</cp:lastPrinted>
  <dcterms:modified xsi:type="dcterms:W3CDTF">2001-11-04T19:19:00Z</dcterms:modified>
  <cp:revision>4</cp:revision>
  <dc:subject/>
  <dc:title>NNG Balance Sheet Questions</dc:title>
</cp:coreProperties>
</file>