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176" w:type="dxa"/>
        <w:jc w:val="start"/>
        <w:tblInd w:w="-669" w:type="dxa"/>
        <w:tblLayout w:type="fixed"/>
        <w:tblCellMar>
          <w:top w:w="0" w:type="dxa"/>
          <w:start w:w="40" w:type="dxa"/>
          <w:bottom w:w="0" w:type="dxa"/>
          <w:end w:w="40" w:type="dxa"/>
        </w:tblCellMar>
      </w:tblPr>
      <w:tblGrid>
        <w:gridCol w:w="4395"/>
        <w:gridCol w:w="6095"/>
        <w:gridCol w:w="1276"/>
        <w:gridCol w:w="2410"/>
      </w:tblGrid>
      <w:tr>
        <w:trPr>
          <w:trHeight w:val="697" w:hRule="atLeast"/>
        </w:trPr>
        <w:tc>
          <w:tcPr>
            <w:tcW w:w="4395" w:type="dxa"/>
            <w:tcBorders>
              <w:top w:val="single" w:sz="4" w:space="0" w:color="000000"/>
              <w:start w:val="single" w:sz="4" w:space="0" w:color="000000"/>
              <w:bottom w:val="single" w:sz="4" w:space="0" w:color="000000"/>
              <w:end w:val="single" w:sz="4" w:space="0" w:color="000000"/>
            </w:tcBorders>
          </w:tcPr>
          <w:p>
            <w:pPr>
              <w:pStyle w:val="Heading2"/>
              <w:rPr/>
            </w:pPr>
            <w:r>
              <w:rPr/>
              <w:t>Outstanding Credit Derivatives Issues</w:t>
            </w:r>
          </w:p>
          <w:p>
            <w:pPr>
              <w:pStyle w:val="Normal"/>
              <w:rPr/>
            </w:pPr>
            <w:r>
              <w:rPr/>
            </w:r>
          </w:p>
        </w:tc>
        <w:tc>
          <w:tcPr>
            <w:tcW w:w="6095" w:type="dxa"/>
            <w:tcBorders>
              <w:top w:val="single" w:sz="4" w:space="0" w:color="000000"/>
              <w:start w:val="single" w:sz="4" w:space="0" w:color="000000"/>
              <w:bottom w:val="single" w:sz="4" w:space="0" w:color="000000"/>
              <w:end w:val="single" w:sz="4" w:space="0" w:color="000000"/>
            </w:tcBorders>
          </w:tcPr>
          <w:p>
            <w:pPr>
              <w:pStyle w:val="Heading2"/>
              <w:rPr/>
            </w:pPr>
            <w:r>
              <w:rPr/>
              <w:t>Action</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Status</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Resolved by</w:t>
            </w:r>
          </w:p>
        </w:tc>
      </w:tr>
      <w:tr>
        <w:trPr>
          <w:trHeight w:val="640" w:hRule="atLeast"/>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 xml:space="preserve">Redraft Credit Derivatives GTCs </w:t>
            </w:r>
          </w:p>
        </w:tc>
        <w:tc>
          <w:tcPr>
            <w:tcW w:w="6095" w:type="dxa"/>
            <w:tcBorders>
              <w:top w:val="single" w:sz="4" w:space="0" w:color="000000"/>
              <w:start w:val="single" w:sz="4" w:space="0" w:color="000000"/>
              <w:bottom w:val="single" w:sz="4" w:space="0" w:color="000000"/>
              <w:end w:val="single" w:sz="4" w:space="0" w:color="000000"/>
            </w:tcBorders>
          </w:tcPr>
          <w:p>
            <w:pPr>
              <w:pStyle w:val="BodyText"/>
              <w:rPr/>
            </w:pPr>
            <w:r>
              <w:rPr/>
              <w:t>Decide how many GTCs are needed – 1, 2 or 6 – and prepare the draft(s) accordingly with following issues in consideration:</w:t>
            </w:r>
          </w:p>
          <w:p>
            <w:pPr>
              <w:pStyle w:val="Normal"/>
              <w:numPr>
                <w:ilvl w:val="0"/>
                <w:numId w:val="7"/>
              </w:numPr>
              <w:spacing w:lineRule="atLeast" w:line="240"/>
              <w:ind w:hanging="360" w:start="360" w:end="40"/>
              <w:rPr>
                <w:rFonts w:ascii="Comic Sans MS" w:hAnsi="Comic Sans MS" w:cs="Comic Sans MS"/>
              </w:rPr>
            </w:pPr>
            <w:r>
              <w:rPr>
                <w:rFonts w:cs="Comic Sans MS" w:ascii="Comic Sans MS" w:hAnsi="Comic Sans MS"/>
              </w:rPr>
              <w:t>Change “Effective Date” language to refer to the dates on the website.</w:t>
            </w:r>
          </w:p>
          <w:p>
            <w:pPr>
              <w:pStyle w:val="Normal"/>
              <w:numPr>
                <w:ilvl w:val="0"/>
                <w:numId w:val="7"/>
              </w:numPr>
              <w:spacing w:lineRule="atLeast" w:line="240"/>
              <w:ind w:hanging="360" w:start="360" w:end="40"/>
              <w:rPr>
                <w:rFonts w:ascii="Comic Sans MS" w:hAnsi="Comic Sans MS" w:cs="Comic Sans MS"/>
              </w:rPr>
            </w:pPr>
            <w:r>
              <w:rPr>
                <w:rFonts w:cs="Comic Sans MS" w:ascii="Comic Sans MS" w:hAnsi="Comic Sans MS"/>
              </w:rPr>
              <w:t xml:space="preserve">Cofidentiality issue – legal advice is to leave it out. Bryan Seyfried to make decision on commercial basis, whether not to include it at all, or include the softer clause, for ex. that counterparties cannot use Enron name when disclosing transactions’ details. </w:t>
            </w:r>
          </w:p>
          <w:p>
            <w:pPr>
              <w:pStyle w:val="Normal"/>
              <w:numPr>
                <w:ilvl w:val="0"/>
                <w:numId w:val="11"/>
              </w:numPr>
              <w:spacing w:lineRule="atLeast" w:line="240"/>
              <w:ind w:hanging="360" w:start="360" w:end="40"/>
              <w:rPr>
                <w:rFonts w:ascii="Comic Sans MS" w:hAnsi="Comic Sans MS" w:cs="Comic Sans MS"/>
              </w:rPr>
            </w:pPr>
            <w:r>
              <w:rPr>
                <w:rFonts w:cs="Comic Sans MS" w:ascii="Comic Sans MS" w:hAnsi="Comic Sans MS"/>
              </w:rPr>
              <w:t>Include “bad faith” provision to prevent sleeving.</w:t>
            </w:r>
          </w:p>
          <w:p>
            <w:pPr>
              <w:pStyle w:val="Normal"/>
              <w:numPr>
                <w:ilvl w:val="0"/>
                <w:numId w:val="11"/>
              </w:numPr>
              <w:spacing w:lineRule="atLeast" w:line="240"/>
              <w:ind w:hanging="360" w:start="360" w:end="40"/>
              <w:rPr>
                <w:rFonts w:ascii="Comic Sans MS" w:hAnsi="Comic Sans MS" w:cs="Comic Sans MS"/>
              </w:rPr>
            </w:pPr>
            <w:r>
              <w:rPr>
                <w:rFonts w:cs="Comic Sans MS" w:ascii="Comic Sans MS" w:hAnsi="Comic Sans MS"/>
              </w:rPr>
              <w:t>Decide what entities should enter transactions on Enron side – ECTRI for Europe and ENA for North America (?)</w:t>
            </w:r>
          </w:p>
          <w:p>
            <w:pPr>
              <w:pStyle w:val="Normal"/>
              <w:numPr>
                <w:ilvl w:val="0"/>
                <w:numId w:val="11"/>
              </w:numPr>
              <w:spacing w:lineRule="atLeast" w:line="240"/>
              <w:ind w:hanging="360" w:start="360" w:end="40"/>
              <w:rPr>
                <w:rFonts w:ascii="Comic Sans MS" w:hAnsi="Comic Sans MS" w:cs="Comic Sans MS"/>
              </w:rPr>
            </w:pPr>
            <w:r>
              <w:rPr>
                <w:rFonts w:cs="Comic Sans MS" w:ascii="Comic Sans MS" w:hAnsi="Comic Sans MS"/>
              </w:rPr>
              <w:t>Get Tax sign-off</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Cooper/Slaughter&amp;May</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Translation of GTCs</w:t>
            </w:r>
          </w:p>
          <w:p>
            <w:pPr>
              <w:pStyle w:val="Normal"/>
              <w:keepNext w:val="true"/>
              <w:spacing w:lineRule="atLeast" w:line="240"/>
              <w:ind w:end="40"/>
              <w:rPr>
                <w:rFonts w:ascii="Comic Sans MS" w:hAnsi="Comic Sans MS" w:cs="Comic Sans MS"/>
              </w:rPr>
            </w:pPr>
            <w:r>
              <w:rPr>
                <w:rFonts w:cs="Comic Sans MS" w:ascii="Comic Sans MS" w:hAnsi="Comic Sans MS"/>
              </w:rPr>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 xml:space="preserve">Decide whether translations are needed and, if so, prepare them: </w:t>
            </w:r>
          </w:p>
          <w:p>
            <w:pPr>
              <w:pStyle w:val="Normal"/>
              <w:numPr>
                <w:ilvl w:val="0"/>
                <w:numId w:val="12"/>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Nordic </w:t>
            </w:r>
            <w:r>
              <w:rPr>
                <w:rFonts w:cs="Comic Sans MS" w:ascii="Comic Sans MS" w:hAnsi="Comic Sans MS"/>
                <w:lang w:val="en-GB" w:eastAsia="en-US"/>
              </w:rPr>
              <w:t>GTC into</w:t>
            </w:r>
            <w:r>
              <w:rPr>
                <w:rFonts w:cs="Comic Sans MS" w:ascii="Comic Sans MS" w:hAnsi="Comic Sans MS"/>
                <w:color w:val="000000"/>
                <w:lang w:val="en-GB" w:eastAsia="en-US"/>
              </w:rPr>
              <w:t xml:space="preserve"> Norwegian</w:t>
            </w:r>
          </w:p>
          <w:p>
            <w:pPr>
              <w:pStyle w:val="Normal"/>
              <w:numPr>
                <w:ilvl w:val="0"/>
                <w:numId w:val="8"/>
              </w:numPr>
              <w:tabs>
                <w:tab w:val="clear" w:pos="720"/>
                <w:tab w:val="left" w:pos="400" w:leader="none"/>
              </w:tabs>
              <w:spacing w:lineRule="atLeast" w:line="240"/>
              <w:ind w:hanging="360" w:start="400" w:end="40"/>
              <w:rPr>
                <w:rFonts w:ascii="Comic Sans MS" w:hAnsi="Comic Sans MS" w:cs="Comic Sans MS"/>
              </w:rPr>
            </w:pPr>
            <w:r>
              <w:rPr>
                <w:rFonts w:cs="Comic Sans MS" w:ascii="Comic Sans MS" w:hAnsi="Comic Sans MS"/>
                <w:color w:val="000000"/>
                <w:lang w:val="en-GB" w:eastAsia="en-US"/>
              </w:rPr>
              <w:t>Swiss GTC into German</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Paul Simons/Edmund Cooper/Slaughter&amp;May </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eastAsia="Comic Sans MS" w:cs="Comic Sans MS" w:ascii="Comic Sans MS" w:hAnsi="Comic Sans MS"/>
              </w:rPr>
              <w:t xml:space="preserve"> </w:t>
            </w:r>
            <w:r>
              <w:rPr>
                <w:rFonts w:cs="Comic Sans MS" w:ascii="Comic Sans MS" w:hAnsi="Comic Sans MS"/>
              </w:rPr>
              <w:t>Withholding Tax Issue</w:t>
            </w:r>
          </w:p>
          <w:p>
            <w:pPr>
              <w:pStyle w:val="Normal"/>
              <w:keepNext w:val="true"/>
              <w:spacing w:lineRule="atLeast" w:line="240"/>
              <w:ind w:end="40"/>
              <w:rPr>
                <w:rFonts w:ascii="Comic Sans MS" w:hAnsi="Comic Sans MS" w:cs="Comic Sans MS"/>
              </w:rPr>
            </w:pPr>
            <w:r>
              <w:rPr>
                <w:rFonts w:cs="Comic Sans MS" w:ascii="Comic Sans MS" w:hAnsi="Comic Sans MS"/>
              </w:rPr>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Do further research and take a view regarding US Withholding Tax issue, i.e. that US entity can only transact with another US entity.</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Jannine Juggins/ Paul Simons</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spacing w:lineRule="atLeast" w:line="240"/>
              <w:ind w:end="40"/>
              <w:rPr>
                <w:rFonts w:ascii="Comic Sans MS" w:hAnsi="Comic Sans MS" w:cs="Comic Sans MS"/>
              </w:rPr>
            </w:pPr>
            <w:r>
              <w:rPr>
                <w:rFonts w:cs="Comic Sans MS" w:ascii="Comic Sans MS" w:hAnsi="Comic Sans MS"/>
              </w:rPr>
              <w:t>Legal Validation of Long Descriptions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Make sure that Long Descriptions are aligned with GTCs.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Edmund Cooper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Legal Review of Paper Confirmations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Modify language in the paper confirmations according to GTCs and Long Descriptions.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Edmund Cooper</w:t>
            </w:r>
          </w:p>
        </w:tc>
      </w:tr>
      <w:tr>
        <w:trPr>
          <w:trHeight w:val="719" w:hRule="atLeast"/>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Translation of Paper Confirmations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If necessary, prepare the following translations:</w:t>
            </w:r>
          </w:p>
          <w:p>
            <w:pPr>
              <w:pStyle w:val="Normal"/>
              <w:numPr>
                <w:ilvl w:val="0"/>
                <w:numId w:val="12"/>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Nordic </w:t>
            </w:r>
            <w:r>
              <w:rPr>
                <w:rFonts w:cs="Comic Sans MS" w:ascii="Comic Sans MS" w:hAnsi="Comic Sans MS"/>
                <w:lang w:val="en-GB" w:eastAsia="en-US"/>
              </w:rPr>
              <w:t>Conf. - into</w:t>
            </w:r>
            <w:r>
              <w:rPr>
                <w:rFonts w:cs="Comic Sans MS" w:ascii="Comic Sans MS" w:hAnsi="Comic Sans MS"/>
                <w:color w:val="000000"/>
                <w:lang w:val="en-GB" w:eastAsia="en-US"/>
              </w:rPr>
              <w:t xml:space="preserve"> Norwegian</w:t>
            </w:r>
          </w:p>
          <w:p>
            <w:pPr>
              <w:pStyle w:val="Normal"/>
              <w:numPr>
                <w:ilvl w:val="0"/>
                <w:numId w:val="9"/>
              </w:numPr>
              <w:tabs>
                <w:tab w:val="clear" w:pos="720"/>
                <w:tab w:val="left" w:pos="400" w:leader="none"/>
              </w:tabs>
              <w:spacing w:lineRule="atLeast" w:line="240"/>
              <w:ind w:hanging="360" w:start="400" w:end="40"/>
              <w:rPr>
                <w:rFonts w:ascii="Comic Sans MS" w:hAnsi="Comic Sans MS" w:cs="Comic Sans MS"/>
              </w:rPr>
            </w:pPr>
            <w:r>
              <w:rPr>
                <w:rFonts w:cs="Comic Sans MS" w:ascii="Comic Sans MS" w:hAnsi="Comic Sans MS"/>
                <w:color w:val="000000"/>
                <w:lang w:val="en-GB" w:eastAsia="en-US"/>
              </w:rPr>
              <w:t>Swiss Conf - into German</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 xml:space="preserve">Draft Consent Paragraph to be included in the Marketing Letter </w:t>
            </w:r>
          </w:p>
        </w:tc>
        <w:tc>
          <w:tcPr>
            <w:tcW w:w="6095"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400" w:leader="none"/>
              </w:tabs>
              <w:spacing w:lineRule="atLeast" w:line="240"/>
              <w:ind w:hanging="360" w:start="400" w:end="40"/>
              <w:rPr>
                <w:rFonts w:ascii="Comic Sans MS" w:hAnsi="Comic Sans MS" w:cs="Comic Sans MS"/>
              </w:rPr>
            </w:pPr>
            <w:r>
              <w:rPr>
                <w:rFonts w:cs="Comic Sans MS" w:ascii="Comic Sans MS" w:hAnsi="Comic Sans MS"/>
              </w:rPr>
              <w:t>Draft a consent paragraph to be added to the Marketing Letter that goes to Ref. Entities companies</w:t>
            </w:r>
          </w:p>
          <w:p>
            <w:pPr>
              <w:pStyle w:val="Normal"/>
              <w:numPr>
                <w:ilvl w:val="0"/>
                <w:numId w:val="4"/>
              </w:numPr>
              <w:tabs>
                <w:tab w:val="clear" w:pos="720"/>
                <w:tab w:val="left" w:pos="400" w:leader="none"/>
              </w:tabs>
              <w:spacing w:lineRule="atLeast" w:line="240"/>
              <w:ind w:hanging="360" w:start="400" w:end="40"/>
              <w:rPr>
                <w:rFonts w:ascii="Comic Sans MS" w:hAnsi="Comic Sans MS" w:cs="Comic Sans MS"/>
              </w:rPr>
            </w:pPr>
            <w:r>
              <w:rPr>
                <w:rFonts w:cs="Comic Sans MS" w:ascii="Comic Sans MS" w:hAnsi="Comic Sans MS"/>
              </w:rPr>
              <w:t>Get PR approval</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w:t>
            </w:r>
          </w:p>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Confidentiality Lists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Identify counterparties in the Confidentiality Lists (all Enron entities) that will be used as underlying Reference Entities and get their written consent.</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Cooper/Mark Taylor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Confidentiality Procedures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Prepare Procedures and educate Enron traders that confidential information about Ref. Entities is not misused.</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5"/>
              </w:numPr>
              <w:spacing w:lineRule="atLeast" w:line="240"/>
              <w:ind w:hanging="360" w:start="360" w:end="40"/>
              <w:rPr>
                <w:rFonts w:ascii="Comic Sans MS" w:hAnsi="Comic Sans MS" w:cs="Comic Sans MS"/>
              </w:rPr>
            </w:pPr>
            <w:r>
              <w:rPr>
                <w:rFonts w:cs="Comic Sans MS" w:ascii="Comic Sans MS" w:hAnsi="Comic Sans MS"/>
              </w:rPr>
              <w:t>Prepare Counterparty List</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Prepare the Counterparty List and forward it to Legal (for capacity check) and Credit for approval.</w:t>
            </w:r>
          </w:p>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Note: List must contain exact entity name that will be entering Cr. Deriv. transactions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Bryan Seyfried </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Capacity Check on Counterparties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Check counterparties’ constitutional documents to make sure that they have legal power and authority to trade Cr. Deriv.</w:t>
            </w:r>
          </w:p>
          <w:p>
            <w:pPr>
              <w:pStyle w:val="Normal"/>
              <w:spacing w:lineRule="atLeast" w:line="240"/>
              <w:ind w:start="40" w:end="40"/>
              <w:rPr>
                <w:rFonts w:ascii="Comic Sans MS" w:hAnsi="Comic Sans MS" w:cs="Comic Sans MS"/>
              </w:rPr>
            </w:pPr>
            <w:r>
              <w:rPr>
                <w:rFonts w:cs="Comic Sans MS" w:ascii="Comic Sans MS" w:hAnsi="Comic Sans MS"/>
              </w:rPr>
              <w:t>Note: Finish counterparties must be “professional investors”.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Cooper/Mark Taylor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Get Counterparties List Approvals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Bryan to chase Credit/Legal/Traders to get there sign-off.</w:t>
            </w:r>
          </w:p>
          <w:p>
            <w:pPr>
              <w:pStyle w:val="Normal"/>
              <w:spacing w:lineRule="atLeast" w:line="240"/>
              <w:ind w:start="40" w:end="40"/>
              <w:rPr>
                <w:rFonts w:ascii="Comic Sans MS" w:hAnsi="Comic Sans MS" w:cs="Comic Sans MS"/>
              </w:rPr>
            </w:pPr>
            <w:r>
              <w:rPr>
                <w:rFonts w:cs="Comic Sans MS" w:ascii="Comic Sans MS" w:hAnsi="Comic Sans MS"/>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Bryan Seyfried</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Complete Reference Entities List</w:t>
            </w:r>
          </w:p>
        </w:tc>
        <w:tc>
          <w:tcPr>
            <w:tcW w:w="6095"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Add information on country of incorporation and abbreviation (up to 12 characters) to the existing Ref. Entities List. </w:t>
            </w:r>
          </w:p>
          <w:p>
            <w:pPr>
              <w:pStyle w:val="Normal"/>
              <w:numPr>
                <w:ilvl w:val="0"/>
                <w:numId w:val="2"/>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Get Traders, Legal, Credit and Tax (?) approval.</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Bryan Seyfried/Raj Sharma</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Attach Cr. Deriv. GTCs to all Cr. Deriv. transactions confirmations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Make sure that Back Office procedures are amended accordingly.</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Bryan Seyfried/Barry Pierce</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Investigate whether companies from Canada and Germany can be used as Ref. Entities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For time-being Canadian and German companies won’t be used neither as Ref. Entities nor they will be able to enter trades as counterparties. However, being Ref. Entities – needs further investigation.</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Simons/Edmund Cooper/Mark Taylor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0"/>
              </w:numPr>
              <w:spacing w:lineRule="atLeast" w:line="240"/>
              <w:ind w:hanging="360" w:start="360" w:end="40"/>
              <w:rPr>
                <w:rFonts w:ascii="Comic Sans MS" w:hAnsi="Comic Sans MS" w:cs="Comic Sans MS"/>
              </w:rPr>
            </w:pPr>
            <w:r>
              <w:rPr>
                <w:rFonts w:cs="Comic Sans MS" w:ascii="Comic Sans MS" w:hAnsi="Comic Sans MS"/>
              </w:rPr>
              <w:t>Legal Budget</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rPr>
            </w:pPr>
            <w:r>
              <w:rPr>
                <w:rFonts w:cs="Comic Sans MS" w:ascii="Comic Sans MS" w:hAnsi="Comic Sans MS"/>
              </w:rPr>
              <w:t>Estimate approx. legal fees budget for Cr. Deriv.</w:t>
            </w:r>
          </w:p>
          <w:p>
            <w:pPr>
              <w:pStyle w:val="Normal"/>
              <w:spacing w:lineRule="atLeast" w:line="240"/>
              <w:ind w:start="40" w:end="40"/>
              <w:rPr>
                <w:rFonts w:ascii="Comic Sans MS" w:hAnsi="Comic Sans MS" w:cs="Comic Sans MS"/>
              </w:rPr>
            </w:pPr>
            <w:r>
              <w:rPr>
                <w:rFonts w:cs="Comic Sans MS" w:ascii="Comic Sans MS" w:hAnsi="Comic Sans MS"/>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6"/>
              </w:numPr>
              <w:spacing w:lineRule="atLeast" w:line="240"/>
              <w:ind w:hanging="360" w:start="360" w:end="40"/>
              <w:rPr>
                <w:rFonts w:ascii="Comic Sans MS" w:hAnsi="Comic Sans MS" w:cs="Comic Sans MS"/>
              </w:rPr>
            </w:pPr>
            <w:r>
              <w:rPr>
                <w:rFonts w:cs="Comic Sans MS" w:ascii="Comic Sans MS" w:hAnsi="Comic Sans MS"/>
              </w:rPr>
              <w:t>Short Descriptions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Change Short Descriptions:</w:t>
            </w:r>
          </w:p>
          <w:p>
            <w:pPr>
              <w:pStyle w:val="Normal"/>
              <w:numPr>
                <w:ilvl w:val="0"/>
                <w:numId w:val="14"/>
              </w:numPr>
              <w:spacing w:lineRule="atLeast" w:line="240"/>
              <w:ind w:hanging="360" w:start="360" w:end="40"/>
              <w:rPr>
                <w:rFonts w:ascii="Comic Sans MS" w:hAnsi="Comic Sans MS" w:cs="Comic Sans MS"/>
              </w:rPr>
            </w:pPr>
            <w:r>
              <w:rPr>
                <w:rFonts w:cs="Comic Sans MS" w:ascii="Comic Sans MS" w:hAnsi="Comic Sans MS"/>
              </w:rPr>
              <w:t>Product Type should read: “US Credit Dflt”, i.e. not “US Cr Dflt Swap”</w:t>
            </w:r>
          </w:p>
          <w:p>
            <w:pPr>
              <w:pStyle w:val="Normal"/>
              <w:numPr>
                <w:ilvl w:val="0"/>
                <w:numId w:val="14"/>
              </w:numPr>
              <w:spacing w:lineRule="atLeast" w:line="240"/>
              <w:ind w:hanging="360" w:start="360" w:end="40"/>
              <w:rPr>
                <w:rFonts w:ascii="Comic Sans MS" w:hAnsi="Comic Sans MS" w:cs="Comic Sans MS"/>
              </w:rPr>
            </w:pPr>
            <w:r>
              <w:rPr>
                <w:rFonts w:cs="Comic Sans MS" w:ascii="Comic Sans MS" w:hAnsi="Comic Sans MS"/>
              </w:rPr>
              <w:t>Upload Underlying Credits (Ref. Entities) abbreviation according to Raj’s List.</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Elena Kapralova/Mark Dilworth</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6"/>
              </w:numPr>
              <w:spacing w:lineRule="atLeast" w:line="240"/>
              <w:ind w:hanging="360" w:start="360" w:end="40"/>
              <w:rPr>
                <w:rFonts w:ascii="Comic Sans MS" w:hAnsi="Comic Sans MS" w:cs="Comic Sans MS"/>
              </w:rPr>
            </w:pPr>
            <w:r>
              <w:rPr>
                <w:rFonts w:cs="Comic Sans MS" w:ascii="Comic Sans MS" w:hAnsi="Comic Sans MS"/>
              </w:rPr>
              <w:t>Online Test</w:t>
            </w:r>
          </w:p>
          <w:p>
            <w:pPr>
              <w:pStyle w:val="Normal"/>
              <w:keepNext w:val="true"/>
              <w:spacing w:lineRule="atLeast" w:line="240"/>
              <w:ind w:end="40"/>
              <w:rPr>
                <w:rFonts w:ascii="Comic Sans MS" w:hAnsi="Comic Sans MS" w:cs="Comic Sans MS"/>
              </w:rPr>
            </w:pPr>
            <w:r>
              <w:rPr>
                <w:rFonts w:cs="Comic Sans MS" w:ascii="Comic Sans MS" w:hAnsi="Comic Sans MS"/>
              </w:rPr>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Set up Cr. Derivatives in the Test environment and make test trades.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Bryan Seyfried and Cr. Deriv. traders</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6"/>
              </w:numPr>
              <w:spacing w:lineRule="atLeast" w:line="240"/>
              <w:ind w:hanging="360" w:start="360" w:end="40"/>
              <w:rPr>
                <w:rFonts w:ascii="Comic Sans MS" w:hAnsi="Comic Sans MS" w:cs="Comic Sans MS"/>
              </w:rPr>
            </w:pPr>
            <w:r>
              <w:rPr>
                <w:rFonts w:cs="Comic Sans MS" w:ascii="Comic Sans MS" w:hAnsi="Comic Sans MS"/>
              </w:rPr>
              <w:t>Set up New Database</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If decision on placing Cr. Derivatives as a separate page is final, start working on coding a separate Cr. Derivatives Database.</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Mark Dilworth to co-ordinate with IT</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6"/>
              </w:numPr>
              <w:spacing w:lineRule="atLeast" w:line="240"/>
              <w:ind w:hanging="360" w:start="360" w:end="40"/>
              <w:rPr>
                <w:rFonts w:ascii="Comic Sans MS" w:hAnsi="Comic Sans MS" w:cs="Comic Sans MS"/>
              </w:rPr>
            </w:pPr>
            <w:r>
              <w:rPr>
                <w:rFonts w:cs="Comic Sans MS" w:ascii="Comic Sans MS" w:hAnsi="Comic Sans MS"/>
              </w:rPr>
              <w:t>Sigma Factors</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Set-up Sigma factors on the Product Type level.</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Mark Dilworth to co-ordinate with Credit</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6"/>
              </w:numPr>
              <w:spacing w:lineRule="atLeast" w:line="240"/>
              <w:ind w:hanging="360" w:start="360" w:end="40"/>
              <w:rPr>
                <w:rFonts w:ascii="Comic Sans MS" w:hAnsi="Comic Sans MS" w:cs="Comic Sans MS"/>
              </w:rPr>
            </w:pPr>
            <w:r>
              <w:rPr>
                <w:rFonts w:cs="Comic Sans MS" w:ascii="Comic Sans MS" w:hAnsi="Comic Sans MS"/>
              </w:rPr>
              <w:t>Risk Calculation</w:t>
            </w:r>
          </w:p>
        </w:tc>
        <w:tc>
          <w:tcPr>
            <w:tcW w:w="60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rPr>
            </w:pPr>
            <w:r>
              <w:rPr>
                <w:rFonts w:cs="Comic Sans MS" w:ascii="Comic Sans MS" w:hAnsi="Comic Sans MS"/>
              </w:rPr>
              <w:t>Set-up methodology for risk calculation on underlying Ref. Entities.</w:t>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end="40"/>
              <w:rPr>
                <w:rFonts w:ascii="Comic Sans MS" w:hAnsi="Comic Sans MS" w:cs="Comic Sans MS"/>
                <w:color w:val="000000"/>
                <w:lang w:val="en-GB" w:eastAsia="en-US"/>
              </w:rPr>
            </w:pPr>
            <w:r>
              <w:rPr>
                <w:rFonts w:cs="Comic Sans MS" w:ascii="Comic Sans MS" w:hAnsi="Comic Sans MS"/>
                <w:color w:val="000000"/>
                <w:lang w:val="en-GB" w:eastAsia="en-US"/>
              </w:rPr>
              <w:t>Mark Dilworth to co-ordinate with RAC</w:t>
            </w:r>
          </w:p>
        </w:tc>
      </w:tr>
    </w:tbl>
    <w:p>
      <w:pPr>
        <w:pStyle w:val="Heading"/>
        <w:jc w:val="start"/>
        <w:rPr>
          <w:rFonts w:ascii="Comic Sans MS" w:hAnsi="Comic Sans MS" w:cs="Comic Sans MS"/>
          <w:sz w:val="20"/>
        </w:rPr>
      </w:pPr>
      <w:r>
        <w:rPr>
          <w:rFonts w:cs="Comic Sans MS" w:ascii="Comic Sans MS" w:hAnsi="Comic Sans MS"/>
          <w:sz w:val="20"/>
        </w:rPr>
      </w:r>
    </w:p>
    <w:p>
      <w:pPr>
        <w:pStyle w:val="Heading"/>
        <w:jc w:val="start"/>
        <w:rPr>
          <w:rFonts w:ascii="Comic Sans MS" w:hAnsi="Comic Sans MS" w:cs="Comic Sans MS"/>
          <w:sz w:val="20"/>
        </w:rPr>
      </w:pPr>
      <w:r>
        <w:rPr>
          <w:rFonts w:cs="Comic Sans MS" w:ascii="Comic Sans MS" w:hAnsi="Comic Sans MS"/>
          <w:sz w:val="20"/>
        </w:rPr>
      </w:r>
    </w:p>
    <w:p>
      <w:pPr>
        <w:pStyle w:val="Heading"/>
        <w:rPr>
          <w:rFonts w:ascii="Comic Sans MS" w:hAnsi="Comic Sans MS" w:cs="Comic Sans MS"/>
        </w:rPr>
      </w:pPr>
      <w:r>
        <w:rPr>
          <w:rFonts w:cs="Comic Sans MS" w:ascii="Comic Sans MS" w:hAnsi="Comic Sans MS"/>
        </w:rPr>
        <w:t>Legal Deliverables – Credit Derivatives</w:t>
      </w:r>
    </w:p>
    <w:p>
      <w:pPr>
        <w:pStyle w:val="Heading"/>
        <w:rPr>
          <w:rFonts w:ascii="Comic Sans MS" w:hAnsi="Comic Sans MS" w:cs="Comic Sans MS"/>
        </w:rPr>
      </w:pPr>
      <w:r>
        <w:rPr>
          <w:rFonts w:cs="Comic Sans MS" w:ascii="Comic Sans MS" w:hAnsi="Comic Sans MS"/>
        </w:rPr>
      </w:r>
    </w:p>
    <w:p>
      <w:pPr>
        <w:pStyle w:val="Normal"/>
        <w:spacing w:lineRule="atLeast" w:line="240"/>
        <w:rPr>
          <w:rFonts w:ascii="Tms Rmn;Times New Roman" w:hAnsi="Tms Rmn;Times New Roman" w:cs="Tms Rmn;Times New Roman"/>
          <w:sz w:val="24"/>
          <w:lang w:val="en-GB" w:eastAsia="en-US"/>
        </w:rPr>
      </w:pPr>
      <w:r>
        <w:rPr>
          <w:rFonts w:cs="Tms Rmn;Times New Roman" w:ascii="Tms Rmn;Times New Roman" w:hAnsi="Tms Rmn;Times New Roman"/>
          <w:sz w:val="24"/>
          <w:lang w:val="en-GB" w:eastAsia="en-US"/>
        </w:rPr>
      </w:r>
    </w:p>
    <w:tbl>
      <w:tblPr>
        <w:tblW w:w="14885" w:type="dxa"/>
        <w:jc w:val="start"/>
        <w:tblInd w:w="-669" w:type="dxa"/>
        <w:tblLayout w:type="fixed"/>
        <w:tblCellMar>
          <w:top w:w="0" w:type="dxa"/>
          <w:start w:w="40" w:type="dxa"/>
          <w:bottom w:w="0" w:type="dxa"/>
          <w:end w:w="40" w:type="dxa"/>
        </w:tblCellMar>
      </w:tblPr>
      <w:tblGrid>
        <w:gridCol w:w="4395"/>
        <w:gridCol w:w="5245"/>
        <w:gridCol w:w="1559"/>
        <w:gridCol w:w="992"/>
        <w:gridCol w:w="2694"/>
      </w:tblGrid>
      <w:tr>
        <w:trPr/>
        <w:tc>
          <w:tcPr>
            <w:tcW w:w="439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 xml:space="preserve">Deliverable </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Jurisdiction</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 xml:space="preserve">Delivery Date </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Status</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Delivered by</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lang w:val="en-GB" w:eastAsia="en-US"/>
              </w:rPr>
            </w:pPr>
            <w:r>
              <w:rPr>
                <w:rFonts w:cs="Comic Sans MS" w:ascii="Comic Sans MS" w:hAnsi="Comic Sans MS"/>
                <w:lang w:val="en-GB" w:eastAsia="en-US"/>
              </w:rPr>
              <w:t xml:space="preserve">GTCs </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 xml:space="preserve">All </w:t>
            </w:r>
          </w:p>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center"/>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Slaughter&amp;May</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lang w:val="en-GB" w:eastAsia="en-US"/>
              </w:rPr>
            </w:pPr>
            <w:r>
              <w:rPr>
                <w:rFonts w:cs="Comic Sans MS" w:ascii="Comic Sans MS" w:hAnsi="Comic Sans MS"/>
                <w:lang w:val="en-GB" w:eastAsia="en-US"/>
              </w:rPr>
              <w:t>Long Product Descriptions Validation</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All</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Edmund Cooper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Translation of Norwegian and Swiss GTCs into German and Norwegian if necessary</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Norway, Switzerland</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Slaughter&amp;May</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Paper Confirmations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All</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Edmund Cooper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Translation of Norwegian and Swiss confirmations into German and Norwegian if necessary</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Norway, Switzerland</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Slaughter&amp;May</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color w:val="000000"/>
                <w:lang w:val="en-GB" w:eastAsia="en-US"/>
              </w:rPr>
            </w:pPr>
            <w:r>
              <w:rPr>
                <w:rFonts w:cs="Comic Sans MS" w:ascii="Comic Sans MS" w:hAnsi="Comic Sans MS"/>
                <w:color w:val="000000"/>
                <w:lang w:val="en-GB" w:eastAsia="en-US"/>
              </w:rPr>
              <w:t>Consent Paragraph in the Marketing Letter</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All</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color w:val="FF0000"/>
                <w:lang w:val="en-GB" w:eastAsia="en-US"/>
              </w:rPr>
            </w:pPr>
            <w:r>
              <w:rPr>
                <w:rFonts w:cs="Comic Sans MS" w:ascii="Comic Sans MS" w:hAnsi="Comic Sans MS"/>
                <w:b/>
                <w:color w:val="FF0000"/>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color w:val="000000"/>
                <w:lang w:val="en-GB" w:eastAsia="en-US"/>
              </w:rPr>
            </w:pPr>
            <w:r>
              <w:rPr>
                <w:rFonts w:cs="Comic Sans MS" w:ascii="Comic Sans MS" w:hAnsi="Comic Sans MS"/>
                <w:b/>
                <w:color w:val="000000"/>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t>Paul Simons/ Edmund Cooper</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lang w:val="en-GB" w:eastAsia="en-US"/>
              </w:rPr>
            </w:pPr>
            <w:r>
              <w:rPr>
                <w:rFonts w:cs="Comic Sans MS" w:ascii="Comic Sans MS" w:hAnsi="Comic Sans MS"/>
                <w:lang w:val="en-GB" w:eastAsia="en-US"/>
              </w:rPr>
              <w:t>Confidentiality Procedures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lang w:val="en-GB" w:eastAsia="en-US"/>
              </w:rPr>
            </w:pPr>
            <w:r>
              <w:rPr>
                <w:rFonts w:cs="Comic Sans MS" w:ascii="Comic Sans MS" w:hAnsi="Comic Sans MS"/>
                <w:lang w:val="en-GB" w:eastAsia="en-US"/>
              </w:rPr>
              <w:t>N/A</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lang w:val="en-GB" w:eastAsia="en-US"/>
              </w:rPr>
            </w:pPr>
            <w:r>
              <w:rPr>
                <w:rFonts w:cs="Comic Sans MS" w:ascii="Comic Sans MS" w:hAnsi="Comic Sans MS"/>
                <w:b/>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lang w:val="en-GB" w:eastAsia="en-US"/>
              </w:rPr>
            </w:pPr>
            <w:r>
              <w:rPr>
                <w:rFonts w:cs="Comic Sans MS" w:ascii="Comic Sans MS" w:hAnsi="Comic Sans MS"/>
                <w:b/>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lang w:val="en-GB" w:eastAsia="en-US"/>
              </w:rPr>
            </w:pPr>
            <w:r>
              <w:rPr>
                <w:rFonts w:cs="Comic Sans MS" w:ascii="Comic Sans MS" w:hAnsi="Comic Sans MS"/>
                <w:color w:val="000000"/>
                <w:lang w:val="en-GB" w:eastAsia="en-US"/>
              </w:rPr>
              <w:t>Paul Simons</w:t>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spacing w:lineRule="atLeast" w:line="240"/>
              <w:ind w:hanging="360" w:start="360" w:end="40"/>
              <w:rPr>
                <w:rFonts w:ascii="Comic Sans MS" w:hAnsi="Comic Sans MS" w:cs="Comic Sans MS"/>
                <w:lang w:val="en-GB" w:eastAsia="en-US"/>
              </w:rPr>
            </w:pPr>
            <w:r>
              <w:rPr>
                <w:rFonts w:cs="Comic Sans MS" w:ascii="Comic Sans MS" w:hAnsi="Comic Sans MS"/>
                <w:lang w:val="en-GB" w:eastAsia="en-US"/>
              </w:rPr>
              <w:t>Further info on Canadian and German companies as Ref. Entities</w:t>
            </w:r>
          </w:p>
        </w:tc>
        <w:tc>
          <w:tcPr>
            <w:tcW w:w="5245"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lang w:val="en-GB" w:eastAsia="en-US"/>
              </w:rPr>
            </w:pPr>
            <w:r>
              <w:rPr>
                <w:rFonts w:cs="Comic Sans MS" w:ascii="Comic Sans MS" w:hAnsi="Comic Sans MS"/>
                <w:lang w:val="en-GB" w:eastAsia="en-US"/>
              </w:rPr>
              <w:t>Canada, Germany</w:t>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lang w:val="en-GB" w:eastAsia="en-US"/>
              </w:rPr>
            </w:pPr>
            <w:r>
              <w:rPr>
                <w:rFonts w:cs="Comic Sans MS" w:ascii="Comic Sans MS" w:hAnsi="Comic Sans MS"/>
                <w:b/>
                <w:lang w:val="en-GB" w:eastAsia="en-U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b/>
                <w:lang w:val="en-GB" w:eastAsia="en-US"/>
              </w:rPr>
            </w:pPr>
            <w:r>
              <w:rPr>
                <w:rFonts w:cs="Comic Sans MS" w:ascii="Comic Sans MS" w:hAnsi="Comic Sans MS"/>
                <w:b/>
                <w:lang w:val="en-GB" w:eastAsia="en-US"/>
              </w:rPr>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lang w:val="en-GB" w:eastAsia="en-US"/>
              </w:rPr>
            </w:pPr>
            <w:r>
              <w:rPr>
                <w:rFonts w:cs="Comic Sans MS" w:ascii="Comic Sans MS" w:hAnsi="Comic Sans MS"/>
                <w:color w:val="000000"/>
                <w:lang w:val="en-GB" w:eastAsia="en-US"/>
              </w:rPr>
              <w:t>Paul Simons/ Edmund Cooper</w:t>
            </w:r>
          </w:p>
        </w:tc>
      </w:tr>
    </w:tbl>
    <w:p>
      <w:pPr>
        <w:pStyle w:val="Heading"/>
        <w:jc w:val="start"/>
        <w:rPr>
          <w:rFonts w:ascii="Comic Sans MS" w:hAnsi="Comic Sans MS" w:cs="Comic Sans MS"/>
          <w:sz w:val="20"/>
        </w:rPr>
      </w:pPr>
      <w:r>
        <w:rPr>
          <w:rFonts w:cs="Comic Sans MS" w:ascii="Comic Sans MS" w:hAnsi="Comic Sans MS"/>
          <w:sz w:val="20"/>
        </w:rPr>
      </w:r>
    </w:p>
    <w:p>
      <w:pPr>
        <w:pStyle w:val="Heading"/>
        <w:jc w:val="start"/>
        <w:rPr>
          <w:rFonts w:ascii="Comic Sans MS" w:hAnsi="Comic Sans MS" w:cs="Comic Sans MS"/>
          <w:sz w:val="20"/>
        </w:rPr>
      </w:pPr>
      <w:r>
        <w:rPr>
          <w:rFonts w:cs="Comic Sans MS" w:ascii="Comic Sans MS" w:hAnsi="Comic Sans MS"/>
          <w:sz w:val="20"/>
        </w:rPr>
      </w:r>
    </w:p>
    <w:p>
      <w:pPr>
        <w:pStyle w:val="Heading"/>
        <w:jc w:val="start"/>
        <w:rPr>
          <w:rFonts w:ascii="Comic Sans MS" w:hAnsi="Comic Sans MS" w:cs="Comic Sans MS"/>
          <w:sz w:val="20"/>
        </w:rPr>
      </w:pPr>
      <w:r>
        <w:rPr>
          <w:rFonts w:cs="Comic Sans MS" w:ascii="Comic Sans MS" w:hAnsi="Comic Sans MS"/>
          <w:sz w:val="20"/>
        </w:rPr>
      </w:r>
    </w:p>
    <w:p>
      <w:pPr>
        <w:pStyle w:val="Heading"/>
        <w:rPr>
          <w:rFonts w:ascii="Comic Sans MS" w:hAnsi="Comic Sans MS" w:cs="Comic Sans MS"/>
        </w:rPr>
      </w:pPr>
      <w:r>
        <w:rPr>
          <w:rFonts w:cs="Comic Sans MS" w:ascii="Comic Sans MS" w:hAnsi="Comic Sans MS"/>
        </w:rPr>
        <w:t>Credit Derivatives – Resolved Issues</w:t>
      </w:r>
    </w:p>
    <w:p>
      <w:pPr>
        <w:pStyle w:val="Heading"/>
        <w:rPr>
          <w:rFonts w:ascii="Comic Sans MS" w:hAnsi="Comic Sans MS" w:cs="Comic Sans MS"/>
          <w:sz w:val="20"/>
        </w:rPr>
      </w:pPr>
      <w:r>
        <w:rPr>
          <w:rFonts w:cs="Comic Sans MS" w:ascii="Comic Sans MS" w:hAnsi="Comic Sans MS"/>
          <w:sz w:val="20"/>
        </w:rPr>
      </w:r>
    </w:p>
    <w:tbl>
      <w:tblPr>
        <w:tblW w:w="14034" w:type="dxa"/>
        <w:jc w:val="start"/>
        <w:tblInd w:w="-669" w:type="dxa"/>
        <w:tblLayout w:type="fixed"/>
        <w:tblCellMar>
          <w:top w:w="0" w:type="dxa"/>
          <w:start w:w="40" w:type="dxa"/>
          <w:bottom w:w="0" w:type="dxa"/>
          <w:end w:w="40" w:type="dxa"/>
        </w:tblCellMar>
      </w:tblPr>
      <w:tblGrid>
        <w:gridCol w:w="4395"/>
        <w:gridCol w:w="6379"/>
        <w:gridCol w:w="992"/>
        <w:gridCol w:w="2268"/>
      </w:tblGrid>
      <w:tr>
        <w:trPr/>
        <w:tc>
          <w:tcPr>
            <w:tcW w:w="4395" w:type="dxa"/>
            <w:tcBorders>
              <w:top w:val="single" w:sz="4" w:space="0" w:color="000000"/>
              <w:start w:val="single" w:sz="4" w:space="0" w:color="000000"/>
              <w:bottom w:val="single" w:sz="4" w:space="0" w:color="000000"/>
              <w:end w:val="single" w:sz="4" w:space="0" w:color="000000"/>
            </w:tcBorders>
          </w:tcPr>
          <w:p>
            <w:pPr>
              <w:pStyle w:val="Heading2"/>
              <w:rPr/>
            </w:pPr>
            <w:r>
              <w:rPr/>
              <w:t>Resolved Credit Derivatives Issues</w:t>
            </w:r>
          </w:p>
          <w:p>
            <w:pPr>
              <w:pStyle w:val="Normal"/>
              <w:rPr/>
            </w:pPr>
            <w:r>
              <w:rPr/>
            </w:r>
          </w:p>
        </w:tc>
        <w:tc>
          <w:tcPr>
            <w:tcW w:w="6379" w:type="dxa"/>
            <w:tcBorders>
              <w:top w:val="single" w:sz="4" w:space="0" w:color="000000"/>
              <w:start w:val="single" w:sz="4" w:space="0" w:color="000000"/>
              <w:bottom w:val="single" w:sz="4" w:space="0" w:color="000000"/>
              <w:end w:val="single" w:sz="4" w:space="0" w:color="000000"/>
            </w:tcBorders>
          </w:tcPr>
          <w:p>
            <w:pPr>
              <w:pStyle w:val="Heading2"/>
              <w:rPr/>
            </w:pPr>
            <w:r>
              <w:rPr/>
              <w:t>Action</w:t>
            </w:r>
          </w:p>
        </w:tc>
        <w:tc>
          <w:tcPr>
            <w:tcW w:w="992" w:type="dxa"/>
            <w:tcBorders>
              <w:top w:val="single" w:sz="4" w:space="0" w:color="000000"/>
              <w:start w:val="single" w:sz="4" w:space="0" w:color="000000"/>
              <w:bottom w:val="single" w:sz="4" w:space="0" w:color="000000"/>
              <w:end w:val="single" w:sz="4" w:space="0" w:color="000000"/>
            </w:tcBorders>
          </w:tcPr>
          <w:p>
            <w:pPr>
              <w:pStyle w:val="Heading3"/>
              <w:rPr/>
            </w:pPr>
            <w:r>
              <w:rPr/>
              <w:t>Status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40" w:end="40"/>
              <w:rPr>
                <w:rFonts w:ascii="Comic Sans MS" w:hAnsi="Comic Sans MS" w:cs="Comic Sans MS"/>
                <w:b/>
                <w:i/>
                <w:i/>
                <w:color w:val="000000"/>
                <w:sz w:val="24"/>
                <w:lang w:val="en-GB" w:eastAsia="en-US"/>
              </w:rPr>
            </w:pPr>
            <w:r>
              <w:rPr>
                <w:rFonts w:cs="Comic Sans MS" w:ascii="Comic Sans MS" w:hAnsi="Comic Sans MS"/>
                <w:b/>
                <w:i/>
                <w:color w:val="000000"/>
                <w:sz w:val="24"/>
                <w:lang w:val="en-GB" w:eastAsia="en-US"/>
              </w:rPr>
              <w:t>Resolved by</w:t>
            </w:r>
          </w:p>
        </w:tc>
      </w:tr>
      <w:tr>
        <w:trPr>
          <w:trHeight w:val="289" w:hRule="atLeast"/>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3"/>
              </w:numPr>
              <w:snapToGrid w:val="false"/>
              <w:spacing w:lineRule="atLeast" w:line="240"/>
              <w:ind w:hanging="360" w:start="360" w:end="40"/>
              <w:rPr>
                <w:rFonts w:ascii="Comic Sans MS" w:hAnsi="Comic Sans MS" w:cs="Comic Sans MS"/>
              </w:rPr>
            </w:pPr>
            <w:r>
              <w:rPr>
                <w:rFonts w:cs="Comic Sans MS" w:ascii="Comic Sans MS" w:hAnsi="Comic Sans MS"/>
                <w:b/>
                <w:i/>
                <w:color w:val="000000"/>
                <w:sz w:val="24"/>
                <w:lang w:val="en-GB" w:eastAsia="en-US"/>
              </w:rPr>
            </w:r>
          </w:p>
        </w:tc>
        <w:tc>
          <w:tcPr>
            <w:tcW w:w="63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rPr>
            </w:pPr>
            <w:r>
              <w:rPr>
                <w:rFonts w:cs="Comic Sans MS" w:ascii="Comic Sans MS" w:hAnsi="Comic Sans M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center"/>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3"/>
              </w:numPr>
              <w:snapToGrid w:val="false"/>
              <w:spacing w:lineRule="atLeast" w:line="240"/>
              <w:ind w:hanging="360" w:start="360" w:end="40"/>
              <w:rPr>
                <w:rFonts w:ascii="Comic Sans MS" w:hAnsi="Comic Sans MS" w:cs="Comic Sans MS"/>
              </w:rPr>
            </w:pPr>
            <w:r>
              <w:rPr>
                <w:rFonts w:cs="Comic Sans MS" w:ascii="Comic Sans MS" w:hAnsi="Comic Sans MS"/>
                <w:color w:val="000000"/>
                <w:lang w:val="en-GB" w:eastAsia="en-US"/>
              </w:rPr>
            </w:r>
          </w:p>
        </w:tc>
        <w:tc>
          <w:tcPr>
            <w:tcW w:w="63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rPr>
            </w:pPr>
            <w:r>
              <w:rPr>
                <w:rFonts w:cs="Comic Sans MS" w:ascii="Comic Sans MS" w:hAnsi="Comic Sans M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center"/>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r>
      <w:tr>
        <w:trPr/>
        <w:tc>
          <w:tcPr>
            <w:tcW w:w="4395"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13"/>
              </w:numPr>
              <w:snapToGrid w:val="false"/>
              <w:spacing w:lineRule="atLeast" w:line="240"/>
              <w:ind w:hanging="360" w:start="360" w:end="40"/>
              <w:rPr>
                <w:rFonts w:ascii="Comic Sans MS" w:hAnsi="Comic Sans MS" w:cs="Comic Sans MS"/>
              </w:rPr>
            </w:pPr>
            <w:r>
              <w:rPr>
                <w:rFonts w:cs="Comic Sans MS" w:ascii="Comic Sans MS" w:hAnsi="Comic Sans MS"/>
                <w:color w:val="000000"/>
                <w:lang w:val="en-GB" w:eastAsia="en-US"/>
              </w:rPr>
            </w:r>
          </w:p>
        </w:tc>
        <w:tc>
          <w:tcPr>
            <w:tcW w:w="637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rPr>
            </w:pPr>
            <w:r>
              <w:rPr>
                <w:rFonts w:cs="Comic Sans MS" w:ascii="Comic Sans MS" w:hAnsi="Comic Sans MS"/>
              </w:rPr>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jc w:val="center"/>
              <w:rPr>
                <w:rFonts w:ascii="Comic Sans MS" w:hAnsi="Comic Sans MS" w:cs="Comic Sans MS"/>
                <w:color w:val="000000"/>
                <w:lang w:val="en-GB" w:eastAsia="en-US"/>
              </w:rPr>
            </w:pPr>
            <w:r>
              <w:rPr>
                <w:rFonts w:cs="Comic Sans MS" w:ascii="Comic Sans MS" w:hAnsi="Comic Sans MS"/>
                <w:color w:val="000000"/>
                <w:lang w:val="en-GB" w:eastAsia="en-US"/>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start="40" w:end="40"/>
              <w:rPr>
                <w:rFonts w:ascii="Comic Sans MS" w:hAnsi="Comic Sans MS" w:cs="Comic Sans MS"/>
                <w:color w:val="000000"/>
                <w:lang w:val="en-GB" w:eastAsia="en-US"/>
              </w:rPr>
            </w:pPr>
            <w:r>
              <w:rPr>
                <w:rFonts w:cs="Comic Sans MS" w:ascii="Comic Sans MS" w:hAnsi="Comic Sans MS"/>
                <w:color w:val="000000"/>
                <w:lang w:val="en-GB" w:eastAsia="en-US"/>
              </w:rPr>
            </w:r>
          </w:p>
        </w:tc>
      </w:tr>
    </w:tbl>
    <w:p>
      <w:pPr>
        <w:pStyle w:val="Heading"/>
        <w:jc w:val="start"/>
        <w:rPr>
          <w:rFonts w:ascii="Comic Sans MS" w:hAnsi="Comic Sans MS" w:cs="Comic Sans MS"/>
          <w:sz w:val="20"/>
        </w:rPr>
      </w:pPr>
      <w:r>
        <w:rPr>
          <w:rFonts w:cs="Comic Sans MS" w:ascii="Comic Sans MS" w:hAnsi="Comic Sans MS"/>
          <w:sz w:val="20"/>
        </w:rPr>
      </w:r>
    </w:p>
    <w:sectPr>
      <w:headerReference w:type="default" r:id="rId2"/>
      <w:footerReference w:type="default" r:id="rId3"/>
      <w:type w:val="nextPage"/>
      <w:pgSz w:orient="landscape" w:w="15840" w:h="12240"/>
      <w:pgMar w:left="1440" w:right="1440"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2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ab/>
      <w:tab/>
    </w:r>
    <w:r>
      <w:rPr/>
      <w:fldChar w:fldCharType="begin"/>
    </w:r>
    <w:r>
      <w:rPr/>
      <w:instrText xml:space="preserve"> DATE \@"dd\/MM\/yy" </w:instrText>
    </w:r>
    <w:r>
      <w:rPr/>
      <w:fldChar w:fldCharType="separate"/>
    </w:r>
    <w:r>
      <w:rPr/>
      <w:t>28/09/25</w:t>
    </w:r>
    <w:r>
      <w:rPr/>
      <w:fldChar w:fldCharType="end"/>
    </w:r>
    <w:r>
      <w:rPr/>
      <w:t xml:space="preserve">, </w:t>
    </w:r>
    <w:r>
      <w:rPr/>
      <w:fldChar w:fldCharType="begin"/>
    </w:r>
    <w:r>
      <w:rPr/>
      <w:instrText xml:space="preserve"> TIME \@"HH:mm" </w:instrText>
    </w:r>
    <w:r>
      <w:rPr/>
      <w:fldChar w:fldCharType="separate"/>
    </w:r>
    <w:r>
      <w:rPr/>
      <w:t>09:02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7"/>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3"/>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tLeast" w:line="240"/>
      <w:ind w:hanging="0" w:start="0" w:end="40"/>
      <w:outlineLvl w:val="1"/>
    </w:pPr>
    <w:rPr>
      <w:rFonts w:ascii="Comic Sans MS" w:hAnsi="Comic Sans MS" w:cs="Comic Sans MS"/>
      <w:b/>
      <w:i/>
      <w:color w:val="000000"/>
      <w:sz w:val="24"/>
      <w:lang w:val="en-GB" w:eastAsia="en-US"/>
    </w:rPr>
  </w:style>
  <w:style w:type="paragraph" w:styleId="Heading3">
    <w:name w:val="heading 3"/>
    <w:basedOn w:val="Normal"/>
    <w:next w:val="Normal"/>
    <w:qFormat/>
    <w:pPr>
      <w:keepNext w:val="true"/>
      <w:numPr>
        <w:ilvl w:val="2"/>
        <w:numId w:val="1"/>
      </w:numPr>
      <w:spacing w:lineRule="atLeast" w:line="240"/>
      <w:ind w:hanging="0" w:start="40" w:end="40"/>
      <w:jc w:val="center"/>
      <w:outlineLvl w:val="2"/>
    </w:pPr>
    <w:rPr>
      <w:rFonts w:ascii="Comic Sans MS" w:hAnsi="Comic Sans MS" w:cs="Comic Sans MS"/>
      <w:b/>
      <w:i/>
      <w:color w:val="000000"/>
      <w:sz w:val="24"/>
      <w:lang w:val="en-GB"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spacing w:lineRule="atLeast" w:line="240"/>
      <w:ind w:hanging="0" w:start="0" w:end="40"/>
    </w:pPr>
    <w:rPr>
      <w:rFonts w:ascii="Comic Sans MS" w:hAnsi="Comic Sans MS" w:cs="Comic Sans M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cs="Arial"/>
      <w:color w:val="000080"/>
    </w:rPr>
  </w:style>
  <w:style w:type="paragraph" w:styleId="Subtitle">
    <w:name w:val="Subtitle"/>
    <w:basedOn w:val="Normal"/>
    <w:next w:val="BodyText"/>
    <w:qFormat/>
    <w:pPr>
      <w:keepNext w:val="true"/>
      <w:spacing w:lineRule="atLeast" w:line="240"/>
      <w:ind w:hanging="0" w:start="0" w:end="40"/>
    </w:pPr>
    <w:rPr>
      <w:rFonts w:ascii="Comic Sans MS" w:hAnsi="Comic Sans MS" w:cs="Comic Sans MS"/>
      <w:b/>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2000-01-17T11:03:00Z</dcterms:created>
  <dc:creator>Elena Kapralova</dc:creator>
  <dc:description/>
  <dc:language>en-CA</dc:language>
  <cp:lastModifiedBy>Administrator</cp:lastModifiedBy>
  <cp:lastPrinted>2000-01-17T16:02:00Z</cp:lastPrinted>
  <dcterms:modified xsi:type="dcterms:W3CDTF">2000-01-17T15:29:00Z</dcterms:modified>
  <cp:revision>7</cp:revision>
  <dc:subject/>
  <dc:title>Legal Deliverables - Europe</dc:title>
</cp:coreProperties>
</file>