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880" w:type="dxa"/>
        <w:jc w:val="start"/>
        <w:tblInd w:w="14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9990"/>
      </w:tblGrid>
      <w:tr>
        <w:trPr/>
        <w:tc>
          <w:tcPr>
            <w:tcW w:w="1890" w:type="dxa"/>
            <w:tcBorders/>
          </w:tcPr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drawing>
                <wp:inline distT="0" distB="0" distL="0" distR="0">
                  <wp:extent cx="952500" cy="942975"/>
                  <wp:effectExtent l="0" t="0" r="0" b="0"/>
                  <wp:docPr id="1" name="enelogo8wh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elogo8wh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8" t="-38" r="-38" b="-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0" w:type="dxa"/>
            <w:tcBorders/>
          </w:tcPr>
          <w:p>
            <w:pPr>
              <w:pStyle w:val="Heading"/>
              <w:jc w:val="end"/>
              <w:rPr>
                <w:sz w:val="22"/>
              </w:rPr>
            </w:pPr>
            <w:r>
              <w:rPr>
                <w:sz w:val="22"/>
              </w:rPr>
              <w:t>EWS LEGAL</w:t>
            </w:r>
          </w:p>
          <w:p>
            <w:pPr>
              <w:pStyle w:val="Heading"/>
              <w:jc w:val="end"/>
              <w:rPr/>
            </w:pPr>
            <w:r>
              <w:rPr>
                <w:sz w:val="22"/>
              </w:rPr>
              <w:t xml:space="preserve">PUBLIC FOLDERS STRUCTURE </w:t>
            </w:r>
            <w:r>
              <w:rPr>
                <w:color w:val="FF0000"/>
                <w:sz w:val="22"/>
              </w:rPr>
              <w:t>*</w:t>
            </w:r>
          </w:p>
          <w:p>
            <w:pPr>
              <w:pStyle w:val="Heading"/>
              <w:jc w:val="end"/>
              <w:rPr>
                <w:sz w:val="22"/>
              </w:rPr>
            </w:pPr>
            <w:r>
              <w:rPr>
                <w:sz w:val="22"/>
              </w:rPr>
              <w:t>OUTLOOK MIGRATION</w:t>
            </w:r>
          </w:p>
          <w:p>
            <w:pPr>
              <w:pStyle w:val="Heading"/>
              <w:jc w:val="end"/>
              <w:rPr>
                <w:i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June 7, 2001</w:t>
            </w:r>
          </w:p>
          <w:p>
            <w:pPr>
              <w:pStyle w:val="Heading"/>
              <w:rPr>
                <w:i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360" w:leader="none"/>
        </w:tabs>
        <w:spacing w:lineRule="exact" w:line="180"/>
        <w:ind w:start="1440" w:end="0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  <w:tab w:val="right" w:pos="360" w:leader="none"/>
        </w:tabs>
        <w:spacing w:lineRule="exact" w:line="180"/>
        <w:ind w:start="1440" w:end="0"/>
        <w:rPr>
          <w:sz w:val="22"/>
        </w:rPr>
      </w:pPr>
      <w:r>
        <w:rPr>
          <w:sz w:val="22"/>
        </w:rPr>
      </w:r>
    </w:p>
    <w:tbl>
      <w:tblPr>
        <w:tblW w:w="12593" w:type="dxa"/>
        <w:jc w:val="start"/>
        <w:tblInd w:w="14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2405"/>
        <w:gridCol w:w="3175"/>
        <w:gridCol w:w="2610"/>
        <w:gridCol w:w="2405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First Level</w:t>
            </w:r>
          </w:p>
        </w:tc>
        <w:tc>
          <w:tcPr>
            <w:tcW w:w="2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Second Level</w:t>
            </w:r>
          </w:p>
        </w:tc>
        <w:tc>
          <w:tcPr>
            <w:tcW w:w="3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Third Level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8000"/>
                <w:sz w:val="22"/>
              </w:rPr>
            </w:pPr>
            <w:r>
              <w:rPr>
                <w:b/>
                <w:bCs/>
                <w:color w:val="008000"/>
                <w:sz w:val="22"/>
              </w:rPr>
              <w:t>Fourth Level</w:t>
            </w:r>
          </w:p>
        </w:tc>
        <w:tc>
          <w:tcPr>
            <w:tcW w:w="2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highlight w:val="yellow"/>
              </w:rPr>
              <w:t>Initial Access</w:t>
            </w:r>
          </w:p>
        </w:tc>
      </w:tr>
    </w:tbl>
    <w:p>
      <w:pPr>
        <w:pStyle w:val="Normal"/>
        <w:ind w:start="1440" w:end="0"/>
        <w:rPr>
          <w:sz w:val="20"/>
        </w:rPr>
      </w:pPr>
      <w:r>
        <w:rPr>
          <w:sz w:val="20"/>
        </w:rPr>
      </w:r>
    </w:p>
    <w:p>
      <w:pPr>
        <w:pStyle w:val="Heading5"/>
        <w:ind w:firstLine="180" w:end="0"/>
        <w:rPr/>
      </w:pPr>
      <w:r>
        <w:rPr/>
        <w:t xml:space="preserve">EWS LEGAL </w:t>
      </w:r>
      <w:r>
        <w:rPr>
          <w:b w:val="false"/>
          <w:bCs w:val="false"/>
          <w:color w:val="000000"/>
        </w:rPr>
        <w:t>(rename existing “Legal” folder to “EWS Legal”)</w:t>
      </w:r>
    </w:p>
    <w:p>
      <w:pPr>
        <w:pStyle w:val="Header"/>
        <w:tabs>
          <w:tab w:val="clear" w:pos="4320"/>
          <w:tab w:val="clear" w:pos="8640"/>
        </w:tabs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ind w:firstLine="720" w:start="2160" w:end="0"/>
        <w:rPr>
          <w:b/>
          <w:bCs/>
          <w:sz w:val="20"/>
        </w:rPr>
      </w:pPr>
      <w:r>
        <w:rPr>
          <w:sz w:val="20"/>
        </w:rPr>
        <w:tab/>
      </w:r>
      <w:r>
        <w:rPr>
          <w:b/>
          <w:bCs/>
          <w:color w:val="FF0000"/>
          <w:sz w:val="20"/>
        </w:rPr>
        <w:t xml:space="preserve">EWS Executive </w:t>
        <w:tab/>
        <w:tab/>
        <w:tab/>
        <w:tab/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Mark Haedicke</w:t>
      </w:r>
    </w:p>
    <w:p>
      <w:pPr>
        <w:pStyle w:val="Normal"/>
        <w:ind w:firstLine="720" w:start="2160" w:end="0"/>
        <w:rPr>
          <w:b/>
          <w:bCs/>
          <w:color w:val="FF0000"/>
          <w:sz w:val="20"/>
        </w:rPr>
      </w:pPr>
      <w:r>
        <w:rPr>
          <w:b/>
          <w:bCs/>
          <w:sz w:val="20"/>
        </w:rPr>
        <w:tab/>
        <w:tab/>
        <w:tab/>
        <w:tab/>
        <w:tab/>
        <w:tab/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Janette Elbertson</w:t>
      </w:r>
    </w:p>
    <w:p>
      <w:pPr>
        <w:pStyle w:val="Normal"/>
        <w:ind w:firstLine="720" w:start="1440" w:end="0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ind w:firstLine="720" w:start="2880" w:end="0"/>
        <w:rPr>
          <w:b/>
          <w:bCs/>
          <w:color w:val="FF0000"/>
          <w:sz w:val="20"/>
        </w:rPr>
      </w:pPr>
      <w:r>
        <w:rPr>
          <w:b/>
          <w:bCs/>
          <w:color w:val="FF0000"/>
          <w:sz w:val="20"/>
        </w:rPr>
        <w:t xml:space="preserve">ENA </w:t>
      </w:r>
    </w:p>
    <w:p>
      <w:pPr>
        <w:pStyle w:val="Normal"/>
        <w:tabs>
          <w:tab w:val="clear" w:pos="720"/>
          <w:tab w:val="left" w:pos="6120" w:leader="none"/>
        </w:tabs>
        <w:ind w:firstLine="720" w:start="3600" w:end="0"/>
        <w:rPr>
          <w:b/>
          <w:bCs/>
          <w:sz w:val="20"/>
        </w:rPr>
      </w:pPr>
      <w:r>
        <w:rPr>
          <w:sz w:val="20"/>
        </w:rPr>
        <w:tab/>
      </w:r>
      <w:r>
        <w:rPr>
          <w:b/>
          <w:bCs/>
          <w:sz w:val="20"/>
        </w:rPr>
        <w:t xml:space="preserve">West Origination </w:t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Sheila Tweed</w:t>
      </w:r>
    </w:p>
    <w:p>
      <w:pPr>
        <w:pStyle w:val="Normal"/>
        <w:tabs>
          <w:tab w:val="clear" w:pos="720"/>
          <w:tab w:val="left" w:pos="6120" w:leader="none"/>
        </w:tabs>
        <w:ind w:firstLine="720" w:start="3600" w:end="0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Suzanne Adams</w:t>
      </w:r>
    </w:p>
    <w:p>
      <w:pPr>
        <w:pStyle w:val="Normal"/>
        <w:tabs>
          <w:tab w:val="clear" w:pos="720"/>
          <w:tab w:val="left" w:pos="6120" w:leader="none"/>
        </w:tabs>
        <w:ind w:firstLine="720" w:start="3600" w:end="0"/>
        <w:rPr>
          <w:b/>
          <w:bCs/>
          <w:sz w:val="20"/>
        </w:rPr>
      </w:pPr>
      <w:r>
        <w:rPr>
          <w:b/>
          <w:bCs/>
          <w:sz w:val="20"/>
        </w:rPr>
        <w:tab/>
        <w:t>East &amp; Upstream Origination</w:t>
        <w:tab/>
        <w:tab/>
        <w:tab/>
        <w:tab/>
      </w:r>
      <w:r>
        <w:rPr>
          <w:b/>
          <w:bCs/>
          <w:sz w:val="20"/>
          <w:highlight w:val="yellow"/>
        </w:rPr>
        <w:t>Jeff Hodge</w:t>
      </w:r>
    </w:p>
    <w:p>
      <w:pPr>
        <w:pStyle w:val="Normal"/>
        <w:tabs>
          <w:tab w:val="clear" w:pos="720"/>
          <w:tab w:val="left" w:pos="6120" w:leader="none"/>
        </w:tabs>
        <w:ind w:firstLine="720" w:start="3600" w:end="0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Barbara Gray</w:t>
      </w:r>
    </w:p>
    <w:p>
      <w:pPr>
        <w:pStyle w:val="Normal"/>
        <w:tabs>
          <w:tab w:val="clear" w:pos="720"/>
          <w:tab w:val="left" w:pos="6120" w:leader="none"/>
        </w:tabs>
        <w:ind w:firstLine="720" w:start="3600" w:end="0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Keegan Farrel</w:t>
      </w:r>
    </w:p>
    <w:p>
      <w:pPr>
        <w:pStyle w:val="Normal"/>
        <w:tabs>
          <w:tab w:val="clear" w:pos="720"/>
          <w:tab w:val="left" w:pos="6120" w:leader="none"/>
        </w:tabs>
        <w:ind w:firstLine="720" w:start="3600" w:end="0"/>
        <w:rPr>
          <w:b/>
          <w:bCs/>
          <w:sz w:val="20"/>
        </w:rPr>
      </w:pPr>
      <w:r>
        <w:rPr>
          <w:b/>
          <w:bCs/>
          <w:sz w:val="20"/>
        </w:rPr>
        <w:tab/>
        <w:t xml:space="preserve">M&amp;A / Investments  </w:t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Lance Schuler</w:t>
      </w:r>
    </w:p>
    <w:p>
      <w:pPr>
        <w:pStyle w:val="Normal"/>
        <w:tabs>
          <w:tab w:val="clear" w:pos="720"/>
          <w:tab w:val="left" w:pos="6120" w:leader="none"/>
        </w:tabs>
        <w:ind w:firstLine="720" w:start="3600" w:end="0"/>
        <w:rPr>
          <w:b/>
          <w:bCs/>
          <w:sz w:val="20"/>
        </w:rPr>
      </w:pPr>
      <w:r>
        <w:rPr>
          <w:b/>
          <w:bCs/>
          <w:sz w:val="20"/>
        </w:rPr>
        <w:tab/>
        <w:t>Financial Trading</w:t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Mark Taylor</w:t>
      </w:r>
    </w:p>
    <w:p>
      <w:pPr>
        <w:pStyle w:val="Normal"/>
        <w:tabs>
          <w:tab w:val="clear" w:pos="720"/>
          <w:tab w:val="left" w:pos="6120" w:leader="none"/>
        </w:tabs>
        <w:ind w:firstLine="720" w:start="3600" w:end="0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Holly Keiser</w:t>
      </w:r>
    </w:p>
    <w:p>
      <w:pPr>
        <w:pStyle w:val="Normal"/>
        <w:tabs>
          <w:tab w:val="clear" w:pos="720"/>
          <w:tab w:val="left" w:pos="6120" w:leader="none"/>
        </w:tabs>
        <w:ind w:firstLine="720" w:start="3600" w:end="0"/>
        <w:rPr>
          <w:b/>
          <w:bCs/>
          <w:sz w:val="20"/>
        </w:rPr>
      </w:pPr>
      <w:r>
        <w:rPr>
          <w:b/>
          <w:bCs/>
          <w:sz w:val="20"/>
        </w:rPr>
        <w:tab/>
        <w:t>Power Trading</w:t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Elizabeth Sager</w:t>
      </w:r>
    </w:p>
    <w:p>
      <w:pPr>
        <w:pStyle w:val="Normal"/>
        <w:tabs>
          <w:tab w:val="clear" w:pos="720"/>
          <w:tab w:val="left" w:pos="6120" w:leader="none"/>
        </w:tabs>
        <w:ind w:firstLine="720" w:start="3600" w:end="0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Alice Wright</w:t>
      </w:r>
    </w:p>
    <w:p>
      <w:pPr>
        <w:pStyle w:val="Normal"/>
        <w:tabs>
          <w:tab w:val="clear" w:pos="720"/>
          <w:tab w:val="left" w:pos="6120" w:leader="none"/>
        </w:tabs>
        <w:ind w:firstLine="720" w:start="3600" w:end="0"/>
        <w:rPr>
          <w:b/>
          <w:bCs/>
          <w:sz w:val="20"/>
        </w:rPr>
      </w:pPr>
      <w:r>
        <w:rPr>
          <w:b/>
          <w:bCs/>
          <w:sz w:val="20"/>
        </w:rPr>
        <w:tab/>
        <w:t>Labor &amp; Employment Law</w:t>
        <w:tab/>
        <w:tab/>
        <w:tab/>
        <w:tab/>
        <w:tab/>
      </w:r>
      <w:r>
        <w:rPr>
          <w:b/>
          <w:bCs/>
          <w:sz w:val="20"/>
          <w:highlight w:val="yellow"/>
        </w:rPr>
        <w:t>Michelle Cash</w:t>
      </w:r>
    </w:p>
    <w:p>
      <w:pPr>
        <w:pStyle w:val="Normal"/>
        <w:tabs>
          <w:tab w:val="clear" w:pos="720"/>
          <w:tab w:val="left" w:pos="6120" w:leader="none"/>
        </w:tabs>
        <w:ind w:firstLine="720" w:start="3600" w:end="0"/>
        <w:rPr>
          <w:b/>
          <w:bCs/>
          <w:sz w:val="20"/>
        </w:rPr>
      </w:pPr>
      <w:r>
        <w:rPr>
          <w:b/>
          <w:bCs/>
          <w:sz w:val="20"/>
        </w:rPr>
        <w:tab/>
        <w:tab/>
        <w:tab/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Twanda Sweet</w:t>
      </w:r>
    </w:p>
    <w:p>
      <w:pPr>
        <w:pStyle w:val="Normal"/>
        <w:tabs>
          <w:tab w:val="clear" w:pos="720"/>
          <w:tab w:val="left" w:pos="6120" w:leader="none"/>
        </w:tabs>
        <w:ind w:firstLine="720" w:start="3600" w:end="0"/>
        <w:rPr>
          <w:b/>
          <w:bCs/>
          <w:sz w:val="20"/>
        </w:rPr>
      </w:pPr>
      <w:r>
        <w:rPr>
          <w:b/>
          <w:bCs/>
          <w:sz w:val="20"/>
        </w:rPr>
        <w:tab/>
        <w:t>Litigation</w:t>
        <w:tab/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Richard Sanders</w:t>
      </w:r>
    </w:p>
    <w:p>
      <w:pPr>
        <w:pStyle w:val="Normal"/>
        <w:tabs>
          <w:tab w:val="clear" w:pos="720"/>
          <w:tab w:val="left" w:pos="6120" w:leader="none"/>
        </w:tabs>
        <w:ind w:firstLine="720" w:start="3600" w:end="0"/>
        <w:rPr>
          <w:sz w:val="20"/>
        </w:rPr>
      </w:pPr>
      <w:r>
        <w:rPr>
          <w:b/>
          <w:bCs/>
          <w:sz w:val="20"/>
        </w:rPr>
        <w:tab/>
        <w:tab/>
        <w:tab/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Twanda Sweet</w:t>
      </w:r>
    </w:p>
    <w:p>
      <w:pPr>
        <w:pStyle w:val="Normal"/>
        <w:ind w:firstLine="720" w:start="1440" w:end="0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ind w:firstLine="720" w:start="2880" w:end="0"/>
        <w:rPr>
          <w:b/>
          <w:bCs/>
          <w:color w:val="FF0000"/>
          <w:sz w:val="20"/>
        </w:rPr>
      </w:pPr>
      <w:r>
        <w:rPr>
          <w:b/>
          <w:bCs/>
          <w:color w:val="FF0000"/>
          <w:sz w:val="20"/>
        </w:rPr>
        <w:t>Enron Net Works</w:t>
        <w:tab/>
        <w:tab/>
        <w:tab/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Mark Taylor</w:t>
      </w:r>
    </w:p>
    <w:p>
      <w:pPr>
        <w:pStyle w:val="Normal"/>
        <w:ind w:firstLine="720" w:start="2880" w:end="0"/>
        <w:rPr>
          <w:b/>
          <w:bCs/>
          <w:sz w:val="20"/>
        </w:rPr>
      </w:pPr>
      <w:r>
        <w:rPr>
          <w:b/>
          <w:bCs/>
          <w:color w:val="FF0000"/>
          <w:sz w:val="20"/>
        </w:rPr>
        <w:tab/>
        <w:tab/>
        <w:tab/>
        <w:tab/>
        <w:tab/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Hollie Keiser</w:t>
      </w:r>
    </w:p>
    <w:p>
      <w:pPr>
        <w:pStyle w:val="Normal"/>
        <w:tabs>
          <w:tab w:val="clear" w:pos="720"/>
          <w:tab w:val="left" w:pos="6120" w:leader="none"/>
        </w:tabs>
        <w:ind w:firstLine="720" w:start="4320" w:end="0"/>
        <w:rPr/>
      </w:pPr>
      <w:r>
        <w:rPr>
          <w:sz w:val="20"/>
        </w:rPr>
        <w:tab/>
      </w:r>
      <w:r>
        <w:rPr>
          <w:b/>
          <w:bCs/>
          <w:sz w:val="20"/>
        </w:rPr>
        <w:t>EnronOnline</w:t>
      </w:r>
    </w:p>
    <w:p>
      <w:pPr>
        <w:pStyle w:val="Heading7"/>
        <w:rPr/>
      </w:pPr>
      <w:r>
        <w:rPr/>
        <w:tab/>
        <w:t>Enron Credit</w:t>
      </w:r>
    </w:p>
    <w:p>
      <w:pPr>
        <w:pStyle w:val="Heading7"/>
        <w:rPr/>
      </w:pPr>
      <w:r>
        <w:rPr/>
        <w:tab/>
        <w:t>CommodityLogic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ab/>
        <w:tab/>
        <w:tab/>
        <w:tab/>
      </w:r>
    </w:p>
    <w:p>
      <w:pPr>
        <w:pStyle w:val="Normal"/>
        <w:ind w:start="1440" w:end="0"/>
        <w:rPr>
          <w:b/>
          <w:bCs/>
          <w:color w:val="FF0000"/>
          <w:sz w:val="20"/>
        </w:rPr>
      </w:pPr>
      <w:r>
        <w:rPr>
          <w:b/>
          <w:bCs/>
          <w:color w:val="FF0000"/>
          <w:sz w:val="20"/>
        </w:rPr>
      </w:r>
    </w:p>
    <w:p>
      <w:pPr>
        <w:pStyle w:val="Normal"/>
        <w:ind w:hanging="270" w:start="1710" w:end="0"/>
        <w:rPr>
          <w:sz w:val="20"/>
        </w:rPr>
      </w:pPr>
      <w:r>
        <w:rPr>
          <w:b/>
          <w:bCs/>
          <w:color w:val="FF0000"/>
          <w:sz w:val="20"/>
        </w:rPr>
        <w:t xml:space="preserve">*   </w:t>
      </w:r>
      <w:r>
        <w:rPr>
          <w:color w:val="FF0000"/>
          <w:sz w:val="20"/>
        </w:rPr>
        <w:t>The EWS Legal Public folders are for EWS Legal use only.  Other Enron departments should not have access to these folders.</w:t>
      </w:r>
    </w:p>
    <w:p>
      <w:pPr>
        <w:pStyle w:val="Normal"/>
        <w:ind w:start="1620" w:end="0"/>
        <w:rPr>
          <w:b/>
          <w:bCs/>
          <w:color w:val="000080"/>
          <w:sz w:val="20"/>
        </w:rPr>
      </w:pPr>
      <w:r>
        <w:rPr>
          <w:b/>
          <w:bCs/>
          <w:color w:val="000080"/>
          <w:sz w:val="20"/>
        </w:rPr>
      </w:r>
    </w:p>
    <w:p>
      <w:pPr>
        <w:pStyle w:val="Normal"/>
        <w:ind w:firstLine="720" w:start="2880" w:end="0"/>
        <w:rPr>
          <w:b/>
          <w:bCs/>
          <w:color w:val="FF0000"/>
          <w:sz w:val="20"/>
        </w:rPr>
      </w:pPr>
      <w:r>
        <w:rPr>
          <w:b/>
          <w:bCs/>
          <w:color w:val="FF0000"/>
          <w:sz w:val="20"/>
        </w:rPr>
      </w:r>
    </w:p>
    <w:p>
      <w:pPr>
        <w:pStyle w:val="Normal"/>
        <w:ind w:firstLine="720" w:start="2880" w:end="0"/>
        <w:rPr>
          <w:b/>
          <w:bCs/>
          <w:color w:val="FF0000"/>
          <w:sz w:val="20"/>
        </w:rPr>
      </w:pPr>
      <w:r>
        <w:rPr>
          <w:b/>
          <w:bCs/>
          <w:color w:val="FF0000"/>
          <w:sz w:val="20"/>
        </w:rPr>
      </w:r>
    </w:p>
    <w:tbl>
      <w:tblPr>
        <w:tblW w:w="11880" w:type="dxa"/>
        <w:jc w:val="start"/>
        <w:tblInd w:w="14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9990"/>
      </w:tblGrid>
      <w:tr>
        <w:trPr/>
        <w:tc>
          <w:tcPr>
            <w:tcW w:w="1890" w:type="dxa"/>
            <w:tcBorders/>
          </w:tcPr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drawing>
                <wp:inline distT="0" distB="0" distL="0" distR="0">
                  <wp:extent cx="952500" cy="942975"/>
                  <wp:effectExtent l="0" t="0" r="0" b="0"/>
                  <wp:docPr id="2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38" t="-38" r="-38" b="-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0" w:type="dxa"/>
            <w:tcBorders/>
          </w:tcPr>
          <w:p>
            <w:pPr>
              <w:pStyle w:val="Heading"/>
              <w:jc w:val="end"/>
              <w:rPr>
                <w:sz w:val="22"/>
              </w:rPr>
            </w:pPr>
            <w:r>
              <w:rPr>
                <w:sz w:val="22"/>
              </w:rPr>
              <w:t>EWS LEGAL</w:t>
            </w:r>
          </w:p>
          <w:p>
            <w:pPr>
              <w:pStyle w:val="Heading"/>
              <w:jc w:val="end"/>
              <w:rPr/>
            </w:pPr>
            <w:r>
              <w:rPr>
                <w:sz w:val="22"/>
              </w:rPr>
              <w:t xml:space="preserve">PUBLIC FOLDERS STRUCTURE </w:t>
            </w:r>
            <w:r>
              <w:rPr>
                <w:color w:val="FF0000"/>
                <w:sz w:val="22"/>
              </w:rPr>
              <w:t>*</w:t>
            </w:r>
          </w:p>
          <w:p>
            <w:pPr>
              <w:pStyle w:val="Heading"/>
              <w:jc w:val="end"/>
              <w:rPr>
                <w:sz w:val="22"/>
              </w:rPr>
            </w:pPr>
            <w:r>
              <w:rPr>
                <w:sz w:val="22"/>
              </w:rPr>
              <w:t>OUTLOOK MIGRATION</w:t>
            </w:r>
          </w:p>
          <w:p>
            <w:pPr>
              <w:pStyle w:val="Heading"/>
              <w:jc w:val="end"/>
              <w:rPr>
                <w:i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June 7, 2001</w:t>
            </w:r>
          </w:p>
          <w:p>
            <w:pPr>
              <w:pStyle w:val="Heading"/>
              <w:rPr>
                <w:i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360" w:leader="none"/>
        </w:tabs>
        <w:spacing w:lineRule="exact" w:line="180"/>
        <w:ind w:start="1440" w:end="0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  <w:tab w:val="right" w:pos="360" w:leader="none"/>
        </w:tabs>
        <w:spacing w:lineRule="exact" w:line="180"/>
        <w:ind w:start="1440" w:end="0"/>
        <w:rPr>
          <w:sz w:val="22"/>
        </w:rPr>
      </w:pPr>
      <w:r>
        <w:rPr>
          <w:sz w:val="22"/>
        </w:rPr>
      </w:r>
    </w:p>
    <w:tbl>
      <w:tblPr>
        <w:tblW w:w="12593" w:type="dxa"/>
        <w:jc w:val="start"/>
        <w:tblInd w:w="14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2405"/>
        <w:gridCol w:w="3175"/>
        <w:gridCol w:w="2610"/>
        <w:gridCol w:w="2405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First Level</w:t>
            </w:r>
          </w:p>
        </w:tc>
        <w:tc>
          <w:tcPr>
            <w:tcW w:w="2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Second Level</w:t>
            </w:r>
          </w:p>
        </w:tc>
        <w:tc>
          <w:tcPr>
            <w:tcW w:w="3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Third Level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8000"/>
                <w:sz w:val="22"/>
              </w:rPr>
            </w:pPr>
            <w:r>
              <w:rPr>
                <w:b/>
                <w:bCs/>
                <w:color w:val="008000"/>
                <w:sz w:val="22"/>
              </w:rPr>
              <w:t>Fourth Level</w:t>
            </w:r>
          </w:p>
        </w:tc>
        <w:tc>
          <w:tcPr>
            <w:tcW w:w="24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highlight w:val="yellow"/>
              </w:rPr>
              <w:t>Initial Access</w:t>
            </w:r>
          </w:p>
        </w:tc>
      </w:tr>
    </w:tbl>
    <w:p>
      <w:pPr>
        <w:pStyle w:val="Normal"/>
        <w:ind w:start="1440" w:end="0"/>
        <w:rPr>
          <w:sz w:val="20"/>
        </w:rPr>
      </w:pPr>
      <w:r>
        <w:rPr>
          <w:sz w:val="20"/>
        </w:rPr>
      </w:r>
    </w:p>
    <w:p>
      <w:pPr>
        <w:pStyle w:val="Normal"/>
        <w:ind w:start="1350" w:end="0"/>
        <w:rPr/>
      </w:pPr>
      <w:r>
        <w:rPr>
          <w:color w:val="0000FF"/>
          <w:sz w:val="22"/>
        </w:rPr>
        <w:t>E</w:t>
      </w:r>
      <w:r>
        <w:rPr>
          <w:b/>
          <w:bCs/>
          <w:color w:val="0000FF"/>
          <w:sz w:val="22"/>
        </w:rPr>
        <w:t>WS LEGAL</w:t>
      </w:r>
    </w:p>
    <w:p>
      <w:pPr>
        <w:pStyle w:val="Normal"/>
        <w:ind w:firstLine="720" w:start="2880" w:end="0"/>
        <w:rPr>
          <w:b/>
          <w:bCs/>
          <w:sz w:val="20"/>
        </w:rPr>
      </w:pPr>
      <w:r>
        <w:rPr>
          <w:b/>
          <w:bCs/>
          <w:color w:val="FF0000"/>
          <w:sz w:val="20"/>
        </w:rPr>
        <w:t>Enron Industrial Markets</w:t>
        <w:tab/>
        <w:tab/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Julia Murray</w:t>
      </w:r>
    </w:p>
    <w:p>
      <w:pPr>
        <w:pStyle w:val="Normal"/>
        <w:ind w:firstLine="720" w:start="2880" w:end="0"/>
        <w:rPr>
          <w:b/>
          <w:bCs/>
          <w:sz w:val="20"/>
        </w:rPr>
      </w:pPr>
      <w:r>
        <w:rPr>
          <w:b/>
          <w:bCs/>
          <w:color w:val="FF0000"/>
          <w:sz w:val="20"/>
        </w:rPr>
        <w:tab/>
        <w:tab/>
        <w:tab/>
        <w:tab/>
        <w:tab/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Carolyn George</w:t>
      </w:r>
    </w:p>
    <w:p>
      <w:pPr>
        <w:pStyle w:val="Normal"/>
        <w:tabs>
          <w:tab w:val="clear" w:pos="720"/>
          <w:tab w:val="left" w:pos="6120" w:leader="none"/>
        </w:tabs>
        <w:ind w:firstLine="720" w:start="2880" w:end="0"/>
        <w:rPr/>
      </w:pPr>
      <w:r>
        <w:rPr>
          <w:sz w:val="20"/>
        </w:rPr>
        <w:tab/>
      </w:r>
      <w:r>
        <w:rPr>
          <w:b/>
          <w:bCs/>
          <w:sz w:val="20"/>
        </w:rPr>
        <w:t>Lumber</w:t>
        <w:tab/>
        <w:tab/>
        <w:tab/>
        <w:tab/>
      </w:r>
      <w:r>
        <w:rPr>
          <w:b/>
          <w:bCs/>
          <w:color w:val="008000"/>
          <w:sz w:val="20"/>
        </w:rPr>
        <w:t>Trading</w:t>
      </w:r>
    </w:p>
    <w:p>
      <w:pPr>
        <w:pStyle w:val="Normal"/>
        <w:tabs>
          <w:tab w:val="clear" w:pos="720"/>
          <w:tab w:val="left" w:pos="6120" w:leader="none"/>
        </w:tabs>
        <w:ind w:firstLine="720" w:end="0"/>
        <w:rPr/>
      </w:pPr>
      <w:r>
        <w:rPr>
          <w:sz w:val="20"/>
        </w:rPr>
        <w:tab/>
      </w:r>
      <w:r>
        <w:rPr>
          <w:b/>
          <w:bCs/>
          <w:sz w:val="20"/>
        </w:rPr>
        <w:tab/>
        <w:tab/>
        <w:tab/>
        <w:tab/>
        <w:tab/>
      </w:r>
      <w:r>
        <w:rPr>
          <w:b/>
          <w:bCs/>
          <w:color w:val="008000"/>
          <w:sz w:val="20"/>
        </w:rPr>
        <w:t>Origination</w:t>
      </w:r>
    </w:p>
    <w:p>
      <w:pPr>
        <w:pStyle w:val="Heading9"/>
        <w:rPr/>
      </w:pPr>
      <w:r>
        <w:rPr/>
        <w:t>Pulp &amp; Paper</w:t>
        <w:tab/>
        <w:tab/>
        <w:tab/>
      </w:r>
      <w:r>
        <w:rPr>
          <w:color w:val="008000"/>
        </w:rPr>
        <w:t>(same as above)</w:t>
      </w:r>
    </w:p>
    <w:p>
      <w:pPr>
        <w:pStyle w:val="Heading9"/>
        <w:rPr/>
      </w:pPr>
      <w:r>
        <w:rPr/>
        <w:t>Steel</w:t>
        <w:tab/>
        <w:tab/>
        <w:tab/>
        <w:tab/>
      </w:r>
      <w:r>
        <w:rPr>
          <w:color w:val="008000"/>
        </w:rPr>
        <w:t>(same as above)</w:t>
      </w:r>
    </w:p>
    <w:p>
      <w:pPr>
        <w:pStyle w:val="Heading6"/>
        <w:tabs>
          <w:tab w:val="clear" w:pos="720"/>
          <w:tab w:val="left" w:pos="6120" w:leader="none"/>
        </w:tabs>
        <w:ind w:firstLine="360" w:end="0"/>
        <w:rPr/>
      </w:pPr>
      <w:r>
        <w:rPr/>
        <w:t>Special Projects</w:t>
      </w:r>
    </w:p>
    <w:p>
      <w:pPr>
        <w:pStyle w:val="Normal"/>
        <w:ind w:firstLine="720" w:start="720" w:end="0"/>
        <w:rPr>
          <w:sz w:val="20"/>
        </w:rPr>
      </w:pPr>
      <w:r>
        <w:rPr>
          <w:sz w:val="20"/>
        </w:rPr>
        <w:tab/>
        <w:tab/>
        <w:tab/>
      </w:r>
    </w:p>
    <w:p>
      <w:pPr>
        <w:pStyle w:val="Normal"/>
        <w:ind w:firstLine="720" w:start="2880" w:end="0"/>
        <w:rPr>
          <w:b/>
          <w:bCs/>
          <w:sz w:val="20"/>
        </w:rPr>
      </w:pPr>
      <w:r>
        <w:rPr>
          <w:b/>
          <w:bCs/>
          <w:color w:val="FF0000"/>
          <w:sz w:val="20"/>
        </w:rPr>
        <w:t>Enron Global Markets</w:t>
        <w:tab/>
        <w:tab/>
        <w:tab/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Alan Aronowitz</w:t>
      </w:r>
    </w:p>
    <w:p>
      <w:pPr>
        <w:pStyle w:val="Normal"/>
        <w:ind w:firstLine="720" w:start="2880" w:end="0"/>
        <w:rPr>
          <w:b/>
          <w:bCs/>
          <w:sz w:val="20"/>
        </w:rPr>
      </w:pPr>
      <w:r>
        <w:rPr>
          <w:b/>
          <w:bCs/>
          <w:color w:val="FF0000"/>
          <w:sz w:val="20"/>
        </w:rPr>
        <w:tab/>
        <w:tab/>
        <w:tab/>
        <w:tab/>
        <w:tab/>
        <w:tab/>
        <w:tab/>
        <w:tab/>
        <w:tab/>
        <w:tab/>
        <w:tab/>
      </w:r>
      <w:r>
        <w:rPr>
          <w:b/>
          <w:bCs/>
          <w:sz w:val="20"/>
          <w:highlight w:val="yellow"/>
        </w:rPr>
        <w:t>Nita Garcia</w:t>
      </w:r>
    </w:p>
    <w:p>
      <w:pPr>
        <w:pStyle w:val="Normal"/>
        <w:tabs>
          <w:tab w:val="clear" w:pos="720"/>
          <w:tab w:val="left" w:pos="6120" w:leader="none"/>
        </w:tabs>
        <w:ind w:firstLine="720" w:end="0"/>
        <w:rPr/>
      </w:pPr>
      <w:r>
        <w:rPr>
          <w:sz w:val="20"/>
        </w:rPr>
        <w:tab/>
      </w:r>
      <w:r>
        <w:rPr>
          <w:b/>
          <w:bCs/>
          <w:sz w:val="20"/>
        </w:rPr>
        <w:t>Agriculture</w:t>
      </w:r>
    </w:p>
    <w:p>
      <w:pPr>
        <w:pStyle w:val="Heading8"/>
        <w:tabs>
          <w:tab w:val="clear" w:pos="6030"/>
          <w:tab w:val="left" w:pos="6120" w:leader="none"/>
        </w:tabs>
        <w:rPr/>
      </w:pPr>
      <w:r>
        <w:rPr/>
        <w:tab/>
        <w:t>Coal</w:t>
      </w:r>
    </w:p>
    <w:p>
      <w:pPr>
        <w:pStyle w:val="Heading8"/>
        <w:tabs>
          <w:tab w:val="clear" w:pos="6030"/>
          <w:tab w:val="left" w:pos="6120" w:leader="none"/>
        </w:tabs>
        <w:rPr/>
      </w:pPr>
      <w:r>
        <w:rPr/>
        <w:tab/>
        <w:t>Competitive Analysis</w:t>
      </w:r>
    </w:p>
    <w:p>
      <w:pPr>
        <w:pStyle w:val="Normal"/>
        <w:tabs>
          <w:tab w:val="clear" w:pos="720"/>
          <w:tab w:val="left" w:pos="6120" w:leader="none"/>
        </w:tabs>
        <w:ind w:firstLine="720" w:end="0"/>
        <w:rPr>
          <w:b/>
          <w:bCs/>
          <w:sz w:val="20"/>
        </w:rPr>
      </w:pPr>
      <w:r>
        <w:rPr>
          <w:b/>
          <w:bCs/>
          <w:sz w:val="20"/>
        </w:rPr>
        <w:tab/>
        <w:t>Clean Energy</w:t>
      </w:r>
    </w:p>
    <w:p>
      <w:pPr>
        <w:pStyle w:val="Normal"/>
        <w:tabs>
          <w:tab w:val="clear" w:pos="720"/>
          <w:tab w:val="left" w:pos="6120" w:leader="none"/>
        </w:tabs>
        <w:ind w:firstLine="720" w:end="0"/>
        <w:rPr>
          <w:b/>
          <w:bCs/>
          <w:sz w:val="20"/>
        </w:rPr>
      </w:pPr>
      <w:r>
        <w:rPr>
          <w:b/>
          <w:bCs/>
          <w:sz w:val="20"/>
        </w:rPr>
        <w:tab/>
        <w:t>Emissions</w:t>
      </w:r>
    </w:p>
    <w:p>
      <w:pPr>
        <w:pStyle w:val="Normal"/>
        <w:tabs>
          <w:tab w:val="clear" w:pos="720"/>
          <w:tab w:val="left" w:pos="6120" w:leader="none"/>
        </w:tabs>
        <w:ind w:firstLine="720" w:end="0"/>
        <w:rPr>
          <w:b/>
          <w:bCs/>
          <w:sz w:val="20"/>
        </w:rPr>
      </w:pPr>
      <w:r>
        <w:rPr>
          <w:b/>
          <w:bCs/>
          <w:sz w:val="20"/>
        </w:rPr>
        <w:tab/>
        <w:t>Equity</w:t>
      </w:r>
    </w:p>
    <w:p>
      <w:pPr>
        <w:pStyle w:val="Normal"/>
        <w:tabs>
          <w:tab w:val="clear" w:pos="720"/>
          <w:tab w:val="left" w:pos="6120" w:leader="none"/>
        </w:tabs>
        <w:ind w:firstLine="720" w:end="0"/>
        <w:rPr>
          <w:b/>
          <w:bCs/>
          <w:sz w:val="20"/>
        </w:rPr>
      </w:pPr>
      <w:r>
        <w:rPr>
          <w:b/>
          <w:bCs/>
          <w:sz w:val="20"/>
        </w:rPr>
        <w:tab/>
        <w:t>Freight Markets</w:t>
      </w:r>
    </w:p>
    <w:p>
      <w:pPr>
        <w:pStyle w:val="Normal"/>
        <w:tabs>
          <w:tab w:val="clear" w:pos="720"/>
          <w:tab w:val="left" w:pos="6120" w:leader="none"/>
        </w:tabs>
        <w:ind w:firstLine="720" w:end="0"/>
        <w:rPr>
          <w:b/>
          <w:bCs/>
          <w:sz w:val="20"/>
        </w:rPr>
      </w:pPr>
      <w:r>
        <w:rPr>
          <w:b/>
          <w:bCs/>
          <w:sz w:val="20"/>
        </w:rPr>
        <w:tab/>
        <w:t>Global Risk Markets</w:t>
      </w:r>
    </w:p>
    <w:p>
      <w:pPr>
        <w:pStyle w:val="Normal"/>
        <w:tabs>
          <w:tab w:val="clear" w:pos="720"/>
          <w:tab w:val="left" w:pos="6120" w:leader="none"/>
        </w:tabs>
        <w:ind w:firstLine="720" w:end="0"/>
        <w:rPr>
          <w:b/>
          <w:bCs/>
          <w:sz w:val="20"/>
        </w:rPr>
      </w:pPr>
      <w:r>
        <w:rPr>
          <w:b/>
          <w:bCs/>
          <w:sz w:val="20"/>
        </w:rPr>
        <w:tab/>
        <w:t>LNG</w:t>
      </w:r>
    </w:p>
    <w:p>
      <w:pPr>
        <w:pStyle w:val="Normal"/>
        <w:ind w:firstLine="720" w:start="720" w:end="0"/>
        <w:rPr/>
      </w:pPr>
      <w:r>
        <w:rPr>
          <w:sz w:val="20"/>
        </w:rPr>
        <w:tab/>
        <w:tab/>
        <w:tab/>
        <w:tab/>
        <w:tab/>
        <w:tab/>
        <w:tab/>
        <w:tab/>
        <w:tab/>
        <w:tab/>
        <w:tab/>
      </w:r>
      <w:r>
        <w:rPr>
          <w:b/>
          <w:bCs/>
          <w:color w:val="008000"/>
          <w:sz w:val="20"/>
        </w:rPr>
        <w:t>Bahamas</w:t>
      </w:r>
    </w:p>
    <w:p>
      <w:pPr>
        <w:pStyle w:val="Normal"/>
        <w:ind w:firstLine="720" w:start="720" w:end="0"/>
        <w:rPr>
          <w:b/>
          <w:bCs/>
          <w:color w:val="008000"/>
          <w:sz w:val="20"/>
        </w:rPr>
      </w:pPr>
      <w:r>
        <w:rPr>
          <w:b/>
          <w:bCs/>
          <w:color w:val="008000"/>
          <w:sz w:val="20"/>
        </w:rPr>
        <w:tab/>
        <w:tab/>
        <w:tab/>
        <w:tab/>
        <w:tab/>
        <w:tab/>
        <w:tab/>
        <w:tab/>
        <w:tab/>
        <w:tab/>
        <w:tab/>
        <w:t>Pakistan</w:t>
      </w:r>
    </w:p>
    <w:p>
      <w:pPr>
        <w:pStyle w:val="Normal"/>
        <w:tabs>
          <w:tab w:val="clear" w:pos="720"/>
          <w:tab w:val="left" w:pos="6120" w:leader="none"/>
        </w:tabs>
        <w:ind w:firstLine="720" w:start="720" w:end="0"/>
        <w:rPr/>
      </w:pPr>
      <w:r>
        <w:rPr>
          <w:sz w:val="20"/>
        </w:rPr>
        <w:tab/>
      </w:r>
      <w:r>
        <w:rPr>
          <w:b/>
          <w:bCs/>
          <w:sz w:val="20"/>
        </w:rPr>
        <w:t>Liquids</w:t>
      </w:r>
    </w:p>
    <w:p>
      <w:pPr>
        <w:pStyle w:val="Normal"/>
        <w:tabs>
          <w:tab w:val="clear" w:pos="720"/>
          <w:tab w:val="left" w:pos="6120" w:leader="none"/>
        </w:tabs>
        <w:ind w:firstLine="720" w:start="720" w:end="0"/>
        <w:rPr/>
      </w:pPr>
      <w:r>
        <w:rPr>
          <w:sz w:val="20"/>
        </w:rPr>
        <w:tab/>
        <w:tab/>
        <w:tab/>
        <w:tab/>
        <w:tab/>
        <w:tab/>
      </w:r>
      <w:r>
        <w:rPr>
          <w:b/>
          <w:bCs/>
          <w:color w:val="008000"/>
          <w:sz w:val="20"/>
        </w:rPr>
        <w:t>Australia</w:t>
      </w:r>
    </w:p>
    <w:p>
      <w:pPr>
        <w:pStyle w:val="Normal"/>
        <w:tabs>
          <w:tab w:val="clear" w:pos="720"/>
          <w:tab w:val="left" w:pos="6120" w:leader="none"/>
        </w:tabs>
        <w:ind w:firstLine="720" w:start="720" w:end="0"/>
        <w:rPr>
          <w:b/>
          <w:bCs/>
          <w:color w:val="008000"/>
          <w:sz w:val="20"/>
        </w:rPr>
      </w:pPr>
      <w:r>
        <w:rPr>
          <w:b/>
          <w:bCs/>
          <w:color w:val="008000"/>
          <w:sz w:val="20"/>
        </w:rPr>
        <w:tab/>
        <w:tab/>
        <w:tab/>
        <w:tab/>
        <w:tab/>
        <w:tab/>
        <w:t>Japan</w:t>
      </w:r>
    </w:p>
    <w:p>
      <w:pPr>
        <w:pStyle w:val="Normal"/>
        <w:tabs>
          <w:tab w:val="clear" w:pos="720"/>
          <w:tab w:val="left" w:pos="6120" w:leader="none"/>
        </w:tabs>
        <w:ind w:firstLine="720" w:start="720" w:end="0"/>
        <w:rPr>
          <w:b/>
          <w:bCs/>
          <w:color w:val="008000"/>
          <w:sz w:val="20"/>
        </w:rPr>
      </w:pPr>
      <w:r>
        <w:rPr>
          <w:b/>
          <w:bCs/>
          <w:color w:val="008000"/>
          <w:sz w:val="20"/>
        </w:rPr>
        <w:tab/>
        <w:tab/>
        <w:tab/>
        <w:tab/>
        <w:tab/>
        <w:tab/>
        <w:t>New York</w:t>
      </w:r>
    </w:p>
    <w:p>
      <w:pPr>
        <w:pStyle w:val="Normal"/>
        <w:tabs>
          <w:tab w:val="clear" w:pos="720"/>
          <w:tab w:val="left" w:pos="6120" w:leader="none"/>
        </w:tabs>
        <w:ind w:firstLine="720" w:start="720" w:end="0"/>
        <w:rPr>
          <w:b/>
          <w:bCs/>
          <w:color w:val="008000"/>
          <w:sz w:val="20"/>
        </w:rPr>
      </w:pPr>
      <w:r>
        <w:rPr>
          <w:b/>
          <w:bCs/>
          <w:color w:val="008000"/>
          <w:sz w:val="20"/>
        </w:rPr>
        <w:tab/>
        <w:tab/>
        <w:tab/>
        <w:tab/>
        <w:tab/>
        <w:tab/>
        <w:t>Panama</w:t>
      </w:r>
    </w:p>
    <w:p>
      <w:pPr>
        <w:pStyle w:val="Normal"/>
        <w:tabs>
          <w:tab w:val="clear" w:pos="720"/>
          <w:tab w:val="left" w:pos="6120" w:leader="none"/>
        </w:tabs>
        <w:ind w:firstLine="720" w:start="720" w:end="0"/>
        <w:rPr>
          <w:color w:val="008000"/>
          <w:sz w:val="20"/>
        </w:rPr>
      </w:pPr>
      <w:r>
        <w:rPr>
          <w:b/>
          <w:bCs/>
          <w:sz w:val="20"/>
        </w:rPr>
        <w:tab/>
        <w:tab/>
        <w:tab/>
        <w:tab/>
        <w:tab/>
        <w:tab/>
      </w:r>
      <w:r>
        <w:rPr>
          <w:b/>
          <w:bCs/>
          <w:color w:val="008000"/>
          <w:sz w:val="20"/>
        </w:rPr>
        <w:t>Singapore</w:t>
      </w:r>
    </w:p>
    <w:p>
      <w:pPr>
        <w:pStyle w:val="Normal"/>
        <w:tabs>
          <w:tab w:val="clear" w:pos="720"/>
          <w:tab w:val="left" w:pos="6120" w:leader="none"/>
        </w:tabs>
        <w:ind w:firstLine="720" w:start="720" w:end="0"/>
        <w:rPr/>
      </w:pPr>
      <w:r>
        <w:rPr>
          <w:sz w:val="20"/>
        </w:rPr>
        <w:tab/>
      </w:r>
      <w:r>
        <w:rPr>
          <w:b/>
          <w:bCs/>
          <w:sz w:val="20"/>
        </w:rPr>
        <w:t>Metals</w:t>
      </w:r>
    </w:p>
    <w:p>
      <w:pPr>
        <w:pStyle w:val="Normal"/>
        <w:tabs>
          <w:tab w:val="clear" w:pos="720"/>
          <w:tab w:val="left" w:pos="6120" w:leader="none"/>
        </w:tabs>
        <w:ind w:firstLine="720" w:start="720" w:end="0"/>
        <w:rPr>
          <w:b/>
          <w:bCs/>
          <w:sz w:val="20"/>
        </w:rPr>
      </w:pPr>
      <w:r>
        <w:rPr>
          <w:b/>
          <w:bCs/>
          <w:sz w:val="20"/>
        </w:rPr>
        <w:tab/>
        <w:t>Middle East</w:t>
      </w:r>
    </w:p>
    <w:p>
      <w:pPr>
        <w:pStyle w:val="Normal"/>
        <w:tabs>
          <w:tab w:val="clear" w:pos="720"/>
          <w:tab w:val="left" w:pos="6120" w:leader="none"/>
        </w:tabs>
        <w:ind w:firstLine="720" w:start="720" w:end="0"/>
        <w:rPr>
          <w:b/>
          <w:bCs/>
          <w:sz w:val="20"/>
        </w:rPr>
      </w:pPr>
      <w:r>
        <w:rPr>
          <w:b/>
          <w:bCs/>
          <w:sz w:val="20"/>
        </w:rPr>
        <w:tab/>
        <w:t>Weather Origination</w:t>
      </w:r>
    </w:p>
    <w:p>
      <w:pPr>
        <w:pStyle w:val="Normal"/>
        <w:tabs>
          <w:tab w:val="clear" w:pos="720"/>
          <w:tab w:val="left" w:pos="6120" w:leader="none"/>
        </w:tabs>
        <w:ind w:firstLine="720" w:start="720" w:end="0"/>
        <w:rPr>
          <w:b/>
          <w:bCs/>
          <w:sz w:val="20"/>
        </w:rPr>
      </w:pPr>
      <w:r>
        <w:rPr>
          <w:b/>
          <w:bCs/>
          <w:sz w:val="20"/>
        </w:rPr>
        <w:tab/>
        <w:t>Special Projects</w:t>
      </w:r>
    </w:p>
    <w:p>
      <w:pPr>
        <w:pStyle w:val="Normal"/>
        <w:ind w:start="144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</w:r>
    </w:p>
    <w:p>
      <w:pPr>
        <w:pStyle w:val="Normal"/>
        <w:ind w:hanging="270" w:start="1710" w:end="0"/>
        <w:rPr/>
      </w:pPr>
      <w:r>
        <w:rPr>
          <w:b/>
          <w:bCs/>
          <w:color w:val="FF0000"/>
          <w:sz w:val="20"/>
        </w:rPr>
        <w:t xml:space="preserve">*   </w:t>
      </w:r>
      <w:r>
        <w:rPr>
          <w:color w:val="FF0000"/>
          <w:sz w:val="20"/>
        </w:rPr>
        <w:t>The EWS Legal Public folders are for EWS Legal use only.  Other Enron departments should not have access to these folders.</w:t>
      </w:r>
    </w:p>
    <w:sectPr>
      <w:footerReference w:type="default" r:id="rId4"/>
      <w:type w:val="nextPage"/>
      <w:pgSz w:orient="landscape" w:w="15840" w:h="12240"/>
      <w:pgMar w:left="1296" w:right="1296" w:gutter="0" w:header="0" w:top="864" w:footer="36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1350" w:end="0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\p </w:instrText>
    </w:r>
    <w:r>
      <w:rPr>
        <w:sz w:val="14"/>
      </w:rPr>
      <w:fldChar w:fldCharType="separate"/>
    </w:r>
    <w:r>
      <w:rPr>
        <w:sz w:val="14"/>
      </w:rPr>
      <w:t>/mnt/main-storage/datasets/enron-docs/doc/Outlook_PFolders.doc</w:t>
    </w:r>
    <w:r>
      <w:rPr>
        <w:sz w:val="14"/>
      </w:rPr>
      <w:fldChar w:fldCharType="end"/>
    </w:r>
  </w:p>
  <w:p>
    <w:pPr>
      <w:pStyle w:val="Footer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120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-108" w:end="0"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1440" w:end="0"/>
      <w:outlineLvl w:val="4"/>
    </w:pPr>
    <w:rPr>
      <w:b/>
      <w:bCs/>
      <w:color w:val="0000FF"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5760" w:end="0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6120" w:leader="none"/>
      </w:tabs>
      <w:ind w:firstLine="720" w:start="2880" w:end="0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6030" w:leader="none"/>
      </w:tabs>
      <w:ind w:firstLine="720" w:start="0" w:end="0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360" w:start="5760" w:end="0"/>
      <w:outlineLvl w:val="8"/>
    </w:pPr>
    <w:rPr>
      <w:b/>
      <w:bCs/>
      <w:sz w:val="20"/>
    </w:rPr>
  </w:style>
  <w:style w:type="character" w:styleId="WW8Num1z0">
    <w:name w:val="WW8Num1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before="40" w:after="40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CommentText">
    <w:name w:val="Comment Text"/>
    <w:basedOn w:val="Normal"/>
    <w:qFormat/>
    <w:pPr/>
    <w:rPr>
      <w:sz w:val="20"/>
    </w:rPr>
  </w:style>
  <w:style w:type="paragraph" w:styleId="EndnoteText">
    <w:name w:val="end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2001-06-07T16:50:00Z</dcterms:created>
  <dc:creator>protmp3</dc:creator>
  <dc:description/>
  <dc:language>en-CA</dc:language>
  <cp:lastModifiedBy>nflores</cp:lastModifiedBy>
  <cp:lastPrinted>2001-06-07T15:47:00Z</cp:lastPrinted>
  <dcterms:modified xsi:type="dcterms:W3CDTF">2001-06-07T18:18:00Z</dcterms:modified>
  <cp:revision>4</cp:revision>
  <dc:subject/>
  <dc:title>ECT LEGAL</dc:title>
</cp:coreProperties>
</file>