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Outline response affidavit June 19 FERC Order</w:t>
      </w:r>
    </w:p>
    <w:p>
      <w:pPr>
        <w:pStyle w:val="Normal"/>
        <w:jc w:val="center"/>
        <w:rPr>
          <w:b/>
          <w:bCs/>
          <w:sz w:val="28"/>
        </w:rPr>
      </w:pPr>
      <w:r>
        <w:rPr>
          <w:b/>
          <w:bCs/>
          <w:sz w:val="28"/>
        </w:rPr>
      </w:r>
    </w:p>
    <w:p>
      <w:pPr>
        <w:pStyle w:val="Normal"/>
        <w:numPr>
          <w:ilvl w:val="0"/>
          <w:numId w:val="1"/>
        </w:numPr>
        <w:rPr/>
      </w:pPr>
      <w:r>
        <w:rPr/>
        <w:t>The June 19</w:t>
      </w:r>
      <w:r>
        <w:rPr>
          <w:vertAlign w:val="superscript"/>
        </w:rPr>
        <w:t>th</w:t>
      </w:r>
      <w:r>
        <w:rPr/>
        <w:t xml:space="preserve"> Order imposes a regulated marginal cost-based automatic mitigation plan. Such a plan is difficult to apply across the West.</w:t>
      </w:r>
    </w:p>
    <w:p>
      <w:pPr>
        <w:pStyle w:val="Normal"/>
        <w:numPr>
          <w:ilvl w:val="1"/>
          <w:numId w:val="1"/>
        </w:numPr>
        <w:rPr/>
      </w:pPr>
      <w:r>
        <w:rPr/>
        <w:t>FERC is right in characterizing the California and WSCC markets as generally the same market.</w:t>
      </w:r>
    </w:p>
    <w:p>
      <w:pPr>
        <w:pStyle w:val="Normal"/>
        <w:numPr>
          <w:ilvl w:val="1"/>
          <w:numId w:val="1"/>
        </w:numPr>
        <w:rPr/>
      </w:pPr>
      <w:r>
        <w:rPr/>
        <w:t>Cannot really cap just California – as power will flow to elsewhere in the WSCC.</w:t>
      </w:r>
    </w:p>
    <w:p>
      <w:pPr>
        <w:pStyle w:val="Normal"/>
        <w:numPr>
          <w:ilvl w:val="1"/>
          <w:numId w:val="1"/>
        </w:numPr>
        <w:rPr/>
      </w:pPr>
      <w:r>
        <w:rPr/>
        <w:t>Difficulty in applying the mitigation plan arises as although the West is one connected market – albeit with transmission constraints that are occasionally binding – it has two market mechanisms</w:t>
      </w:r>
    </w:p>
    <w:p>
      <w:pPr>
        <w:pStyle w:val="Normal"/>
        <w:numPr>
          <w:ilvl w:val="1"/>
          <w:numId w:val="1"/>
        </w:numPr>
        <w:rPr/>
      </w:pPr>
      <w:r>
        <w:rPr/>
        <w:t>California ISO spot market is a clearing auction, the remainder of the West is not. Mitigation rules that may work well for one system (e.g. the clearing auction) are difficult to implement in another context.</w:t>
      </w:r>
    </w:p>
    <w:p>
      <w:pPr>
        <w:pStyle w:val="Normal"/>
        <w:numPr>
          <w:ilvl w:val="1"/>
          <w:numId w:val="1"/>
        </w:numPr>
        <w:rPr/>
      </w:pPr>
      <w:r>
        <w:rPr/>
        <w:t>Commission must be careful that measures to create lower prices in California do not damage market performance and reliability in the remainder of the West.</w:t>
      </w:r>
    </w:p>
    <w:p>
      <w:pPr>
        <w:pStyle w:val="Normal"/>
        <w:numPr>
          <w:ilvl w:val="1"/>
          <w:numId w:val="1"/>
        </w:numPr>
        <w:rPr/>
      </w:pPr>
      <w:r>
        <w:rPr/>
        <w:t>This requires some careful consideration of how power is actually traded in the rest of the West. This consideration is not present in the June 19</w:t>
      </w:r>
      <w:r>
        <w:rPr>
          <w:vertAlign w:val="superscript"/>
        </w:rPr>
        <w:t>th</w:t>
      </w:r>
      <w:r>
        <w:rPr/>
        <w:t xml:space="preserve"> Order.</w:t>
      </w:r>
    </w:p>
    <w:p>
      <w:pPr>
        <w:pStyle w:val="Normal"/>
        <w:numPr>
          <w:ilvl w:val="0"/>
          <w:numId w:val="1"/>
        </w:numPr>
        <w:rPr/>
      </w:pPr>
      <w:r>
        <w:rPr/>
        <w:t>Characteristics of the WSCC market</w:t>
      </w:r>
    </w:p>
    <w:p>
      <w:pPr>
        <w:pStyle w:val="Normal"/>
        <w:numPr>
          <w:ilvl w:val="1"/>
          <w:numId w:val="1"/>
        </w:numPr>
        <w:rPr/>
      </w:pPr>
      <w:r>
        <w:rPr/>
        <w:t>Large number of parties interacting through bilateral contracts, even in real-time or close to it. There is no clearing auction in which all offers are matched. Nor is it possible for the Cal ISO’s auction to be used in this way for the entire WSCC. The Cal ISO doesn’t control the transmission across the West and calculates prices only in California.</w:t>
      </w:r>
    </w:p>
    <w:p>
      <w:pPr>
        <w:pStyle w:val="Normal"/>
        <w:numPr>
          <w:ilvl w:val="1"/>
          <w:numId w:val="1"/>
        </w:numPr>
        <w:rPr/>
      </w:pPr>
      <w:r>
        <w:rPr/>
        <w:t>Unlike California, the effective market maker (the Cal ISO) does not control the transmission assets and scheduling. Scheduling of energy and transmission is conducted simultaneously and separately. Liquidity and price discovery is developed by interactions of many participants, not through a centralized auction.</w:t>
      </w:r>
    </w:p>
    <w:p>
      <w:pPr>
        <w:pStyle w:val="Normal"/>
        <w:numPr>
          <w:ilvl w:val="1"/>
          <w:numId w:val="1"/>
        </w:numPr>
        <w:rPr/>
      </w:pPr>
      <w:r>
        <w:rPr/>
        <w:t>Given the actual market structure, information is critical. All price information is not centralized as it is in the Cal ISO or the eastern ISOs. Market participants have to find and use information to get power to the right places, and hence preserve reliability.</w:t>
      </w:r>
    </w:p>
    <w:p>
      <w:pPr>
        <w:pStyle w:val="Normal"/>
        <w:numPr>
          <w:ilvl w:val="1"/>
          <w:numId w:val="1"/>
        </w:numPr>
        <w:rPr/>
      </w:pPr>
      <w:r>
        <w:rPr/>
        <w:t xml:space="preserve">The Commission has concluded that it cannot address California’s problems outside of the Western context. However, it should also recognize that its proposed solution could create problems for the rest of the West too. This has a potential political cost and could further undermine the proposal to integrate California into a Western RTO. </w:t>
      </w:r>
    </w:p>
    <w:p>
      <w:pPr>
        <w:pStyle w:val="Normal"/>
        <w:numPr>
          <w:ilvl w:val="0"/>
          <w:numId w:val="1"/>
        </w:numPr>
        <w:rPr/>
      </w:pPr>
      <w:r>
        <w:rPr/>
        <w:t xml:space="preserve">Marketers play a key role in the Western market. </w:t>
      </w:r>
    </w:p>
    <w:p>
      <w:pPr>
        <w:pStyle w:val="Normal"/>
        <w:numPr>
          <w:ilvl w:val="1"/>
          <w:numId w:val="1"/>
        </w:numPr>
        <w:rPr/>
      </w:pPr>
      <w:r>
        <w:rPr/>
        <w:t>Marketers like Enron have a substantial role to play even in the real-time and spot markets that are covered in the June 19</w:t>
      </w:r>
      <w:r>
        <w:rPr>
          <w:vertAlign w:val="superscript"/>
        </w:rPr>
        <w:t>th</w:t>
      </w:r>
      <w:r>
        <w:rPr/>
        <w:t xml:space="preserve"> Order. They provide liquidity and price discovery, which is key for efficiency and reliability.</w:t>
      </w:r>
    </w:p>
    <w:p>
      <w:pPr>
        <w:pStyle w:val="Normal"/>
        <w:numPr>
          <w:ilvl w:val="1"/>
          <w:numId w:val="1"/>
        </w:numPr>
        <w:rPr/>
      </w:pPr>
      <w:r>
        <w:rPr/>
        <w:t>Critically, marketers effectively act as “scheduling coordinators”, matching up supply and demand (even ins pot time frames), and help organize transmission. At present, marketers provide much of the “infrastructure” for organizing flows of energy and associated transmission that might in the future be conducted by a Western RTO. However, that RTO does not yet exist, and the FERC must recognize that any policy that blunts the effectiveness of the WSCC’s existing “infrastructure” will have impacts on reliability.</w:t>
      </w:r>
    </w:p>
    <w:p>
      <w:pPr>
        <w:pStyle w:val="Normal"/>
        <w:numPr>
          <w:ilvl w:val="1"/>
          <w:numId w:val="1"/>
        </w:numPr>
        <w:rPr/>
      </w:pPr>
      <w:r>
        <w:rPr/>
        <w:t xml:space="preserve">Some practical examples/statistics of how marketers like Enron/Enron Online provide a useful service. </w:t>
      </w:r>
    </w:p>
    <w:p>
      <w:pPr>
        <w:pStyle w:val="Normal"/>
        <w:numPr>
          <w:ilvl w:val="0"/>
          <w:numId w:val="1"/>
        </w:numPr>
        <w:rPr/>
      </w:pPr>
      <w:r>
        <w:rPr/>
        <w:t xml:space="preserve">The FERC Order undermines the effectiveness of marketers in providing these services, and damages the WSCC “infrastructure”. </w:t>
      </w:r>
    </w:p>
    <w:p>
      <w:pPr>
        <w:pStyle w:val="Normal"/>
        <w:numPr>
          <w:ilvl w:val="1"/>
          <w:numId w:val="1"/>
        </w:numPr>
        <w:rPr/>
      </w:pPr>
      <w:r>
        <w:rPr/>
        <w:t xml:space="preserve">It may run counter to existing contractual obligations that require the marketer to provide firm energy, no matter what the cost. </w:t>
      </w:r>
    </w:p>
    <w:p>
      <w:pPr>
        <w:pStyle w:val="Normal"/>
        <w:numPr>
          <w:ilvl w:val="1"/>
          <w:numId w:val="1"/>
        </w:numPr>
        <w:rPr/>
      </w:pPr>
      <w:r>
        <w:rPr/>
        <w:t xml:space="preserve">It may run counter to differing reliability objectives between control areas. </w:t>
      </w:r>
    </w:p>
    <w:p>
      <w:pPr>
        <w:pStyle w:val="Normal"/>
        <w:numPr>
          <w:ilvl w:val="1"/>
          <w:numId w:val="1"/>
        </w:numPr>
        <w:rPr/>
      </w:pPr>
      <w:r>
        <w:rPr/>
        <w:t xml:space="preserve">The spot market price cap is not known at the time a deal is confirmed. </w:t>
      </w:r>
    </w:p>
    <w:p>
      <w:pPr>
        <w:pStyle w:val="Normal"/>
        <w:numPr>
          <w:ilvl w:val="1"/>
          <w:numId w:val="1"/>
        </w:numPr>
        <w:rPr/>
      </w:pPr>
      <w:r>
        <w:rPr/>
        <w:t xml:space="preserve">A range of transactions (scheduling coordinator, tolling and options) that fall under the Order that are not strictly marketer transactions. </w:t>
      </w:r>
    </w:p>
    <w:p>
      <w:pPr>
        <w:pStyle w:val="Normal"/>
        <w:numPr>
          <w:ilvl w:val="0"/>
          <w:numId w:val="1"/>
        </w:numPr>
        <w:rPr/>
      </w:pPr>
      <w:r>
        <w:rPr/>
        <w:t>To remedy these defects, marketers should be allowed some additional scope for operations:</w:t>
      </w:r>
    </w:p>
    <w:p>
      <w:pPr>
        <w:pStyle w:val="Normal"/>
        <w:numPr>
          <w:ilvl w:val="1"/>
          <w:numId w:val="1"/>
        </w:numPr>
        <w:rPr/>
      </w:pPr>
      <w:r>
        <w:rPr/>
        <w:t>Marketers should be allowed to make sales above the cap with justification.</w:t>
      </w:r>
    </w:p>
    <w:p>
      <w:pPr>
        <w:pStyle w:val="Normal"/>
        <w:numPr>
          <w:ilvl w:val="1"/>
          <w:numId w:val="1"/>
        </w:numPr>
        <w:rPr/>
      </w:pPr>
      <w:r>
        <w:rPr/>
        <w:t>Marketers should be allowed to pass-through certain costs in organizing spot transactions (e.g. transmission) to make sure power can flow where it is needed.</w:t>
      </w:r>
    </w:p>
    <w:p>
      <w:pPr>
        <w:pStyle w:val="Normal"/>
        <w:numPr>
          <w:ilvl w:val="1"/>
          <w:numId w:val="1"/>
        </w:numPr>
        <w:rPr/>
      </w:pPr>
      <w:r>
        <w:rPr/>
        <w:t>Most importantly, Commission needs to figure out how to get the entire market out of the current regulatory proposal as soon as possible, probably through a workable Western RTO.</w:t>
      </w:r>
    </w:p>
    <w:p>
      <w:pPr>
        <w:pStyle w:val="Normal"/>
        <w:numPr>
          <w:ilvl w:val="1"/>
          <w:numId w:val="1"/>
        </w:numPr>
        <w:rPr/>
      </w:pPr>
      <w:r>
        <w:rPr/>
        <w:t>Even if the West-wide mitigation proposal contained in the June 19</w:t>
      </w:r>
      <w:r>
        <w:rPr>
          <w:vertAlign w:val="superscript"/>
        </w:rPr>
        <w:t>th</w:t>
      </w:r>
      <w:r>
        <w:rPr/>
        <w:t xml:space="preserve"> Order is justifiable as a temporary and emergency measure, it is simply not sustainable for long. Should not be seen as anything more than a band-aid.</w:t>
      </w:r>
    </w:p>
    <w:p>
      <w:pPr>
        <w:pStyle w:val="Normal"/>
        <w:spacing w:before="0" w:after="240"/>
        <w:rPr/>
      </w:pPr>
      <w:r>
        <w:rPr/>
      </w:r>
    </w:p>
    <w:sectPr>
      <w:footerReference w:type="default" r:id="rId2"/>
      <w:type w:val="nextPage"/>
      <w:pgSz w:w="12240" w:h="15840"/>
      <w:pgMar w:left="1800" w:right="180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center"/>
      <w:rPr>
        <w:b/>
        <w:bCs/>
        <w:i/>
        <w:i/>
        <w:iCs/>
      </w:rPr>
    </w:pPr>
    <w:r>
      <w:rPr>
        <w:b/>
        <w:bCs/>
        <w:i/>
        <w:iCs/>
      </w:rPr>
      <w:t>Privileged and Confidential</w:t>
    </w:r>
  </w:p>
  <w:p>
    <w:pPr>
      <w:pStyle w:val="Footer"/>
      <w:spacing w:before="0" w:after="0"/>
      <w:jc w:val="center"/>
      <w:rPr>
        <w:b/>
        <w:bCs/>
        <w:i/>
        <w:i/>
        <w:iCs/>
      </w:rPr>
    </w:pPr>
    <w:r>
      <w:rPr>
        <w:b/>
        <w:bCs/>
        <w:i/>
        <w:iCs/>
      </w:rPr>
      <w:t>Attorney/Client Work Product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Book Antiqua" w:hAnsi="Book Antiqua" w:eastAsia="Times New Roman" w:cs="Book Antiqua"/>
      <w:color w:val="auto"/>
      <w:sz w:val="22"/>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gal">
    <w:name w:val="Legal"/>
    <w:basedOn w:val="Normal"/>
    <w:qFormat/>
    <w:pPr>
      <w:spacing w:lineRule="auto" w:line="4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2001-07-13T12:09:00Z</dcterms:created>
  <dc:creator>Sabine F. Schnittger</dc:creator>
  <dc:description/>
  <dc:language>en-CA</dc:language>
  <cp:lastModifiedBy>Seabron Adamson</cp:lastModifiedBy>
  <dcterms:modified xsi:type="dcterms:W3CDTF">2001-07-13T12:09:00Z</dcterms:modified>
  <cp:revision>2</cp:revision>
  <dc:subject/>
  <dc:title>Outline response June 19 FERC Order</dc:title>
</cp:coreProperties>
</file>