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spacing w:lineRule="auto" w:line="360"/>
        <w:rPr>
          <w:sz w:val="22"/>
          <w:u w:val="none"/>
        </w:rPr>
      </w:pPr>
      <w:r>
        <w:rPr>
          <w:sz w:val="22"/>
          <w:u w:val="none"/>
        </w:rPr>
        <w:t>OUTLINE OF SPEAKING POINTS</w:t>
      </w:r>
    </w:p>
    <w:p>
      <w:pPr>
        <w:pStyle w:val="Heading"/>
        <w:spacing w:lineRule="auto" w:line="360"/>
        <w:rPr>
          <w:sz w:val="22"/>
          <w:u w:val="none"/>
        </w:rPr>
      </w:pPr>
      <w:r>
        <w:rPr>
          <w:sz w:val="22"/>
          <w:u w:val="none"/>
        </w:rPr>
        <w:t>Ken Lay/John Lavorato</w:t>
      </w:r>
    </w:p>
    <w:p>
      <w:pPr>
        <w:pStyle w:val="Heading"/>
        <w:spacing w:lineRule="auto" w:line="360"/>
        <w:rPr>
          <w:sz w:val="22"/>
          <w:u w:val="none"/>
        </w:rPr>
      </w:pPr>
      <w:r>
        <w:rPr>
          <w:sz w:val="22"/>
          <w:u w:val="none"/>
        </w:rPr>
      </w:r>
    </w:p>
    <w:p>
      <w:pPr>
        <w:pStyle w:val="Heading"/>
        <w:spacing w:lineRule="auto" w:line="360"/>
        <w:rPr>
          <w:sz w:val="22"/>
          <w:u w:val="none"/>
        </w:rPr>
      </w:pPr>
      <w:r>
        <w:rPr>
          <w:sz w:val="22"/>
          <w:u w:val="none"/>
        </w:rPr>
        <w:t>Toronto, Ontario</w:t>
      </w:r>
    </w:p>
    <w:p>
      <w:pPr>
        <w:pStyle w:val="Heading"/>
        <w:spacing w:lineRule="auto" w:line="360"/>
        <w:rPr>
          <w:sz w:val="22"/>
          <w:u w:val="none"/>
        </w:rPr>
      </w:pPr>
      <w:r>
        <w:rPr>
          <w:sz w:val="22"/>
          <w:u w:val="none"/>
        </w:rPr>
        <w:t>June 19, 2001</w:t>
      </w:r>
    </w:p>
    <w:p>
      <w:pPr>
        <w:pStyle w:val="Heading"/>
        <w:spacing w:lineRule="auto" w:line="360"/>
        <w:jc w:val="start"/>
        <w:rPr>
          <w:b w:val="false"/>
          <w:bCs w:val="false"/>
          <w:sz w:val="22"/>
          <w:u w:val="none"/>
        </w:rPr>
      </w:pPr>
      <w:r>
        <w:rPr>
          <w:b w:val="false"/>
          <w:bCs w:val="false"/>
          <w:sz w:val="22"/>
          <w:u w:val="none"/>
        </w:rPr>
      </w:r>
    </w:p>
    <w:p>
      <w:pPr>
        <w:pStyle w:val="Heading"/>
        <w:spacing w:lineRule="auto" w:line="360"/>
        <w:jc w:val="start"/>
        <w:rPr>
          <w:b w:val="false"/>
          <w:bCs w:val="false"/>
          <w:sz w:val="22"/>
          <w:u w:val="none"/>
        </w:rPr>
      </w:pPr>
      <w:r>
        <w:rPr>
          <w:b w:val="false"/>
          <w:bCs w:val="false"/>
          <w:sz w:val="22"/>
          <w:u w:val="none"/>
        </w:rPr>
      </w:r>
    </w:p>
    <w:p>
      <w:pPr>
        <w:pStyle w:val="Heading"/>
        <w:spacing w:lineRule="auto" w:line="360"/>
        <w:jc w:val="start"/>
        <w:rPr>
          <w:b w:val="false"/>
          <w:bCs w:val="false"/>
          <w:sz w:val="22"/>
          <w:u w:val="none"/>
        </w:rPr>
      </w:pPr>
      <w:r>
        <w:rPr>
          <w:sz w:val="22"/>
          <w:u w:val="none"/>
        </w:rPr>
        <w:t>1.</w:t>
        <w:tab/>
        <w:t>Brief Introduction re:  Enron/Enron Canada</w:t>
      </w:r>
    </w:p>
    <w:p>
      <w:pPr>
        <w:pStyle w:val="Heading"/>
        <w:spacing w:lineRule="auto" w:line="360"/>
        <w:ind w:start="720" w:end="0"/>
        <w:jc w:val="start"/>
        <w:rPr>
          <w:b w:val="false"/>
          <w:bCs w:val="false"/>
          <w:i/>
          <w:i/>
          <w:iCs/>
          <w:sz w:val="22"/>
          <w:u w:val="none"/>
        </w:rPr>
      </w:pPr>
      <w:r>
        <w:rPr>
          <w:b w:val="false"/>
          <w:bCs w:val="false"/>
          <w:i/>
          <w:iCs/>
          <w:sz w:val="22"/>
          <w:u w:val="none"/>
        </w:rPr>
        <w:t>(we can’t assume that Premier Harris will have a good understanding of Enron and its business).</w:t>
      </w:r>
    </w:p>
    <w:p>
      <w:pPr>
        <w:pStyle w:val="Heading"/>
        <w:spacing w:lineRule="auto" w:line="360"/>
        <w:ind w:start="720" w:end="0"/>
        <w:jc w:val="start"/>
        <w:rPr>
          <w:b w:val="false"/>
          <w:bCs w:val="false"/>
          <w:i/>
          <w:i/>
          <w:iCs/>
          <w:sz w:val="22"/>
          <w:u w:val="none"/>
        </w:rPr>
      </w:pPr>
      <w:r>
        <w:rPr>
          <w:b w:val="false"/>
          <w:bCs w:val="false"/>
          <w:i/>
          <w:iCs/>
          <w:sz w:val="22"/>
          <w:u w:val="none"/>
        </w:rPr>
      </w:r>
    </w:p>
    <w:p>
      <w:pPr>
        <w:pStyle w:val="Heading"/>
        <w:numPr>
          <w:ilvl w:val="0"/>
          <w:numId w:val="2"/>
        </w:numPr>
        <w:spacing w:lineRule="auto" w:line="360"/>
        <w:jc w:val="both"/>
        <w:rPr>
          <w:b w:val="false"/>
          <w:bCs w:val="false"/>
          <w:sz w:val="22"/>
          <w:u w:val="none"/>
        </w:rPr>
      </w:pPr>
      <w:r>
        <w:rPr>
          <w:b w:val="false"/>
          <w:bCs w:val="false"/>
          <w:sz w:val="22"/>
          <w:u w:val="none"/>
        </w:rPr>
        <w:t>Enron has been at the forefront of opening natural gas and electricity markets in North America and Europe for the last 15 years</w:t>
      </w:r>
    </w:p>
    <w:p>
      <w:pPr>
        <w:pStyle w:val="Heading"/>
        <w:spacing w:lineRule="auto" w:line="360"/>
        <w:jc w:val="both"/>
        <w:rPr>
          <w:b w:val="false"/>
          <w:bCs w:val="false"/>
          <w:sz w:val="22"/>
          <w:u w:val="none"/>
        </w:rPr>
      </w:pPr>
      <w:r>
        <w:rPr>
          <w:b w:val="false"/>
          <w:bCs w:val="false"/>
          <w:sz w:val="22"/>
          <w:u w:val="none"/>
        </w:rPr>
      </w:r>
    </w:p>
    <w:p>
      <w:pPr>
        <w:pStyle w:val="Heading"/>
        <w:numPr>
          <w:ilvl w:val="0"/>
          <w:numId w:val="2"/>
        </w:numPr>
        <w:spacing w:lineRule="auto" w:line="360"/>
        <w:jc w:val="both"/>
        <w:rPr>
          <w:b w:val="false"/>
          <w:bCs w:val="false"/>
          <w:sz w:val="22"/>
          <w:u w:val="none"/>
        </w:rPr>
      </w:pPr>
      <w:r>
        <w:rPr>
          <w:b w:val="false"/>
          <w:bCs w:val="false"/>
          <w:sz w:val="22"/>
          <w:u w:val="none"/>
        </w:rPr>
        <w:t>Currently, we are the largest buyer and seller of these commodities in North America and Europe</w:t>
      </w:r>
    </w:p>
    <w:p>
      <w:pPr>
        <w:pStyle w:val="Heading"/>
        <w:spacing w:lineRule="auto" w:line="360"/>
        <w:jc w:val="both"/>
        <w:rPr>
          <w:b w:val="false"/>
          <w:bCs w:val="false"/>
          <w:sz w:val="22"/>
          <w:u w:val="none"/>
        </w:rPr>
      </w:pPr>
      <w:r>
        <w:rPr>
          <w:b w:val="false"/>
          <w:bCs w:val="false"/>
          <w:sz w:val="22"/>
          <w:u w:val="none"/>
        </w:rPr>
      </w:r>
    </w:p>
    <w:p>
      <w:pPr>
        <w:pStyle w:val="Heading"/>
        <w:numPr>
          <w:ilvl w:val="0"/>
          <w:numId w:val="2"/>
        </w:numPr>
        <w:spacing w:lineRule="auto" w:line="360"/>
        <w:jc w:val="both"/>
        <w:rPr>
          <w:b w:val="false"/>
          <w:bCs w:val="false"/>
          <w:sz w:val="22"/>
          <w:u w:val="none"/>
        </w:rPr>
      </w:pPr>
      <w:r>
        <w:rPr>
          <w:b w:val="false"/>
          <w:bCs w:val="false"/>
          <w:sz w:val="22"/>
          <w:u w:val="none"/>
        </w:rPr>
        <w:t>About 60% of our merchant business now takes place on line via the Internet.  Our electronic trading platform, EnronOnline, is now the world’s largest e-commerce site.  It has traded approximately $500 billion (U.S.) in its first 17 months of operations.  [Note to draft:  AD checking figures as of May 31]</w:t>
      </w:r>
    </w:p>
    <w:p>
      <w:pPr>
        <w:pStyle w:val="Heading"/>
        <w:spacing w:lineRule="auto" w:line="360"/>
        <w:jc w:val="both"/>
        <w:rPr>
          <w:b w:val="false"/>
          <w:bCs w:val="false"/>
          <w:sz w:val="22"/>
          <w:u w:val="none"/>
        </w:rPr>
      </w:pPr>
      <w:r>
        <w:rPr>
          <w:b w:val="false"/>
          <w:bCs w:val="false"/>
          <w:sz w:val="22"/>
          <w:u w:val="none"/>
        </w:rPr>
      </w:r>
    </w:p>
    <w:p>
      <w:pPr>
        <w:pStyle w:val="Heading"/>
        <w:numPr>
          <w:ilvl w:val="0"/>
          <w:numId w:val="2"/>
        </w:numPr>
        <w:spacing w:lineRule="auto" w:line="360"/>
        <w:jc w:val="both"/>
        <w:rPr>
          <w:b w:val="false"/>
          <w:bCs w:val="false"/>
          <w:sz w:val="22"/>
          <w:u w:val="none"/>
        </w:rPr>
      </w:pPr>
      <w:r>
        <w:rPr>
          <w:b w:val="false"/>
          <w:bCs w:val="false"/>
          <w:sz w:val="22"/>
          <w:u w:val="none"/>
        </w:rPr>
        <w:t xml:space="preserve">Enron is a neutrally positioned market maker.  We offer hundreds of customized risk products with natural gas and electricity.  We buy power as much as we sell it.  We have no preference for high prices over low prices.  Accordingly, Enron supports a liquid, transparent market that works well for producers, transporters, wholesalers, retailers, </w:t>
      </w:r>
      <w:r>
        <w:rPr>
          <w:b w:val="false"/>
          <w:bCs w:val="false"/>
          <w:sz w:val="22"/>
        </w:rPr>
        <w:t>and their customers</w:t>
      </w:r>
    </w:p>
    <w:p>
      <w:pPr>
        <w:pStyle w:val="Heading"/>
        <w:spacing w:lineRule="auto" w:line="360"/>
        <w:ind w:start="360" w:end="0"/>
        <w:jc w:val="both"/>
        <w:rPr>
          <w:b w:val="false"/>
          <w:bCs w:val="false"/>
          <w:sz w:val="22"/>
          <w:u w:val="none"/>
        </w:rPr>
      </w:pPr>
      <w:r>
        <w:rPr>
          <w:b w:val="false"/>
          <w:bCs w:val="false"/>
          <w:sz w:val="22"/>
          <w:u w:val="none"/>
        </w:rPr>
      </w:r>
    </w:p>
    <w:p>
      <w:pPr>
        <w:pStyle w:val="Heading"/>
        <w:numPr>
          <w:ilvl w:val="0"/>
          <w:numId w:val="7"/>
        </w:numPr>
        <w:spacing w:lineRule="auto" w:line="360"/>
        <w:jc w:val="both"/>
        <w:rPr>
          <w:b w:val="false"/>
          <w:bCs w:val="false"/>
          <w:sz w:val="22"/>
          <w:u w:val="none"/>
        </w:rPr>
      </w:pPr>
      <w:r>
        <w:rPr>
          <w:b w:val="false"/>
          <w:bCs w:val="false"/>
          <w:sz w:val="22"/>
          <w:u w:val="none"/>
        </w:rPr>
        <w:t>Enron Canada is responsible for Enron’s activities in the Canadian energy sector, particularly gas and power trading, marketing, services and finance</w:t>
      </w:r>
    </w:p>
    <w:p>
      <w:pPr>
        <w:pStyle w:val="Heading"/>
        <w:spacing w:lineRule="auto" w:line="360"/>
        <w:ind w:start="360" w:end="0"/>
        <w:jc w:val="both"/>
        <w:rPr>
          <w:b w:val="false"/>
          <w:bCs w:val="false"/>
          <w:sz w:val="22"/>
          <w:u w:val="none"/>
        </w:rPr>
      </w:pPr>
      <w:r>
        <w:rPr>
          <w:b w:val="false"/>
          <w:bCs w:val="false"/>
          <w:sz w:val="22"/>
          <w:u w:val="none"/>
        </w:rPr>
      </w:r>
    </w:p>
    <w:p>
      <w:pPr>
        <w:pStyle w:val="Heading"/>
        <w:numPr>
          <w:ilvl w:val="0"/>
          <w:numId w:val="7"/>
        </w:numPr>
        <w:spacing w:lineRule="auto" w:line="360"/>
        <w:jc w:val="both"/>
        <w:rPr>
          <w:b w:val="false"/>
          <w:bCs w:val="false"/>
          <w:sz w:val="22"/>
          <w:u w:val="none"/>
        </w:rPr>
      </w:pPr>
      <w:r>
        <w:rPr>
          <w:b w:val="false"/>
          <w:bCs w:val="false"/>
          <w:sz w:val="22"/>
          <w:u w:val="none"/>
        </w:rPr>
        <w:t xml:space="preserve">It started operations in 1991 and now has offices in both Toronto and Calgary </w:t>
      </w:r>
    </w:p>
    <w:p>
      <w:pPr>
        <w:pStyle w:val="Heading"/>
        <w:spacing w:lineRule="auto" w:line="360"/>
        <w:jc w:val="both"/>
        <w:rPr>
          <w:b w:val="false"/>
          <w:bCs w:val="false"/>
          <w:sz w:val="22"/>
          <w:u w:val="none"/>
        </w:rPr>
      </w:pPr>
      <w:r>
        <w:rPr>
          <w:b w:val="false"/>
          <w:bCs w:val="false"/>
          <w:sz w:val="22"/>
          <w:u w:val="none"/>
        </w:rPr>
      </w:r>
    </w:p>
    <w:p>
      <w:pPr>
        <w:pStyle w:val="Heading"/>
        <w:numPr>
          <w:ilvl w:val="0"/>
          <w:numId w:val="7"/>
        </w:numPr>
        <w:spacing w:lineRule="auto" w:line="360"/>
        <w:jc w:val="both"/>
        <w:rPr>
          <w:b w:val="false"/>
          <w:bCs w:val="false"/>
          <w:sz w:val="22"/>
          <w:u w:val="none"/>
        </w:rPr>
      </w:pPr>
      <w:r>
        <w:rPr>
          <w:b w:val="false"/>
          <w:bCs w:val="false"/>
          <w:sz w:val="22"/>
          <w:u w:val="none"/>
        </w:rPr>
        <w:t>It employs 115 people, 20 of whom are in Toronto</w:t>
      </w:r>
    </w:p>
    <w:p>
      <w:pPr>
        <w:pStyle w:val="Heading"/>
        <w:numPr>
          <w:ilvl w:val="0"/>
          <w:numId w:val="7"/>
        </w:numPr>
        <w:spacing w:lineRule="auto" w:line="360"/>
        <w:jc w:val="both"/>
        <w:rPr>
          <w:b w:val="false"/>
          <w:bCs w:val="false"/>
          <w:sz w:val="22"/>
          <w:u w:val="none"/>
        </w:rPr>
      </w:pPr>
      <w:r>
        <w:rPr>
          <w:b w:val="false"/>
          <w:bCs w:val="false"/>
          <w:sz w:val="22"/>
          <w:u w:val="none"/>
        </w:rPr>
        <w:t>The company is the largest buyer and seller of natural gas in Canada</w:t>
      </w:r>
    </w:p>
    <w:p>
      <w:pPr>
        <w:pStyle w:val="Heading"/>
        <w:spacing w:lineRule="auto" w:line="360"/>
        <w:jc w:val="both"/>
        <w:rPr>
          <w:b w:val="false"/>
          <w:bCs w:val="false"/>
          <w:sz w:val="22"/>
          <w:u w:val="none"/>
        </w:rPr>
      </w:pPr>
      <w:r>
        <w:rPr>
          <w:b w:val="false"/>
          <w:bCs w:val="false"/>
          <w:sz w:val="22"/>
          <w:u w:val="none"/>
        </w:rPr>
      </w:r>
    </w:p>
    <w:p>
      <w:pPr>
        <w:pStyle w:val="Heading"/>
        <w:numPr>
          <w:ilvl w:val="0"/>
          <w:numId w:val="7"/>
        </w:numPr>
        <w:spacing w:lineRule="auto" w:line="360"/>
        <w:jc w:val="both"/>
        <w:rPr>
          <w:b w:val="false"/>
          <w:bCs w:val="false"/>
          <w:sz w:val="22"/>
          <w:u w:val="none"/>
        </w:rPr>
      </w:pPr>
      <w:r>
        <w:rPr>
          <w:b w:val="false"/>
          <w:bCs w:val="false"/>
          <w:sz w:val="22"/>
          <w:u w:val="none"/>
        </w:rPr>
        <w:t>The company is increasingly active in the power sector</w:t>
      </w:r>
    </w:p>
    <w:p>
      <w:pPr>
        <w:pStyle w:val="Heading"/>
        <w:spacing w:lineRule="auto" w:line="360"/>
        <w:jc w:val="both"/>
        <w:rPr>
          <w:b w:val="false"/>
          <w:bCs w:val="false"/>
          <w:sz w:val="22"/>
          <w:u w:val="none"/>
        </w:rPr>
      </w:pPr>
      <w:r>
        <w:rPr>
          <w:b w:val="false"/>
          <w:bCs w:val="false"/>
          <w:sz w:val="22"/>
          <w:u w:val="none"/>
        </w:rPr>
      </w:r>
    </w:p>
    <w:p>
      <w:pPr>
        <w:pStyle w:val="Heading"/>
        <w:numPr>
          <w:ilvl w:val="0"/>
          <w:numId w:val="6"/>
        </w:numPr>
        <w:tabs>
          <w:tab w:val="left" w:pos="720" w:leader="none"/>
        </w:tabs>
        <w:spacing w:lineRule="auto" w:line="360"/>
        <w:ind w:hanging="360" w:start="720" w:end="0"/>
        <w:jc w:val="both"/>
        <w:rPr>
          <w:b w:val="false"/>
          <w:bCs w:val="false"/>
          <w:sz w:val="22"/>
          <w:u w:val="none"/>
        </w:rPr>
      </w:pPr>
      <w:r>
        <w:rPr>
          <w:b w:val="false"/>
          <w:bCs w:val="false"/>
          <w:sz w:val="22"/>
          <w:u w:val="none"/>
        </w:rPr>
        <w:t>In Ontario, Enron Canada has been a very active participant in the efforts to restructure the Ontario power Market and to help our customers get ready for the opening of the Market</w:t>
      </w:r>
    </w:p>
    <w:p>
      <w:pPr>
        <w:pStyle w:val="Heading"/>
        <w:spacing w:lineRule="auto" w:line="360"/>
        <w:jc w:val="both"/>
        <w:rPr>
          <w:b w:val="false"/>
          <w:bCs w:val="false"/>
          <w:sz w:val="22"/>
          <w:u w:val="none"/>
        </w:rPr>
      </w:pPr>
      <w:r>
        <w:rPr>
          <w:b w:val="false"/>
          <w:bCs w:val="false"/>
          <w:sz w:val="22"/>
          <w:u w:val="none"/>
        </w:rPr>
      </w:r>
    </w:p>
    <w:p>
      <w:pPr>
        <w:pStyle w:val="Heading"/>
        <w:numPr>
          <w:ilvl w:val="0"/>
          <w:numId w:val="7"/>
        </w:numPr>
        <w:spacing w:lineRule="auto" w:line="360"/>
        <w:jc w:val="both"/>
        <w:rPr>
          <w:b w:val="false"/>
          <w:bCs w:val="false"/>
          <w:sz w:val="22"/>
          <w:u w:val="none"/>
        </w:rPr>
      </w:pPr>
      <w:r>
        <w:rPr>
          <w:b w:val="false"/>
          <w:bCs w:val="false"/>
          <w:sz w:val="22"/>
          <w:u w:val="none"/>
        </w:rPr>
        <w:t>The Toronto office is investing heavily in the information and the business systems which Enron and its customers will need in the new Ontario marketplace</w:t>
      </w:r>
    </w:p>
    <w:p>
      <w:pPr>
        <w:pStyle w:val="Heading"/>
        <w:spacing w:lineRule="auto" w:line="360"/>
        <w:jc w:val="both"/>
        <w:rPr>
          <w:b w:val="false"/>
          <w:bCs w:val="false"/>
          <w:sz w:val="22"/>
          <w:u w:val="none"/>
        </w:rPr>
      </w:pPr>
      <w:r>
        <w:rPr>
          <w:b w:val="false"/>
          <w:bCs w:val="false"/>
          <w:sz w:val="22"/>
          <w:u w:val="none"/>
        </w:rPr>
      </w:r>
    </w:p>
    <w:p>
      <w:pPr>
        <w:pStyle w:val="Heading"/>
        <w:numPr>
          <w:ilvl w:val="0"/>
          <w:numId w:val="7"/>
        </w:numPr>
        <w:spacing w:lineRule="auto" w:line="360"/>
        <w:jc w:val="both"/>
        <w:rPr>
          <w:b w:val="false"/>
          <w:bCs w:val="false"/>
          <w:sz w:val="22"/>
          <w:u w:val="none"/>
        </w:rPr>
      </w:pPr>
      <w:r>
        <w:rPr>
          <w:b w:val="false"/>
          <w:bCs w:val="false"/>
          <w:sz w:val="22"/>
          <w:u w:val="none"/>
        </w:rPr>
        <w:t>Through ENERconnect, Enron Canada is providing wholesale and retail settlement services to over 40 distributors in the Province</w:t>
      </w:r>
    </w:p>
    <w:p>
      <w:pPr>
        <w:pStyle w:val="Heading"/>
        <w:spacing w:lineRule="auto" w:line="360"/>
        <w:jc w:val="both"/>
        <w:rPr>
          <w:b w:val="false"/>
          <w:bCs w:val="false"/>
          <w:sz w:val="22"/>
          <w:u w:val="none"/>
        </w:rPr>
      </w:pPr>
      <w:r>
        <w:rPr>
          <w:b w:val="false"/>
          <w:bCs w:val="false"/>
          <w:sz w:val="22"/>
          <w:u w:val="none"/>
        </w:rPr>
      </w:r>
    </w:p>
    <w:p>
      <w:pPr>
        <w:pStyle w:val="Heading"/>
        <w:numPr>
          <w:ilvl w:val="0"/>
          <w:numId w:val="7"/>
        </w:numPr>
        <w:spacing w:lineRule="auto" w:line="360"/>
        <w:jc w:val="both"/>
        <w:rPr>
          <w:b w:val="false"/>
          <w:bCs w:val="false"/>
          <w:sz w:val="22"/>
          <w:u w:val="none"/>
        </w:rPr>
      </w:pPr>
      <w:r>
        <w:rPr>
          <w:b w:val="false"/>
          <w:bCs w:val="false"/>
          <w:sz w:val="22"/>
          <w:u w:val="none"/>
        </w:rPr>
        <w:t>We are also providing risk management, energy commodity, and related services to industrial customers – we have already completed contracts and helped customers lock in prices in advance of Market opening</w:t>
      </w:r>
    </w:p>
    <w:p>
      <w:pPr>
        <w:pStyle w:val="Heading"/>
        <w:spacing w:lineRule="auto" w:line="360"/>
        <w:jc w:val="both"/>
        <w:rPr>
          <w:b w:val="false"/>
          <w:bCs w:val="false"/>
          <w:sz w:val="22"/>
          <w:u w:val="none"/>
        </w:rPr>
      </w:pPr>
      <w:r>
        <w:rPr>
          <w:b w:val="false"/>
          <w:bCs w:val="false"/>
          <w:sz w:val="22"/>
          <w:u w:val="none"/>
        </w:rPr>
      </w:r>
    </w:p>
    <w:p>
      <w:pPr>
        <w:pStyle w:val="Heading"/>
        <w:numPr>
          <w:ilvl w:val="0"/>
          <w:numId w:val="7"/>
        </w:numPr>
        <w:spacing w:lineRule="auto" w:line="360"/>
        <w:jc w:val="both"/>
        <w:rPr>
          <w:b w:val="false"/>
          <w:bCs w:val="false"/>
          <w:sz w:val="22"/>
          <w:u w:val="none"/>
        </w:rPr>
      </w:pPr>
      <w:r>
        <w:rPr>
          <w:b w:val="false"/>
          <w:bCs w:val="false"/>
          <w:sz w:val="22"/>
          <w:u w:val="none"/>
        </w:rPr>
        <w:t>The Ontario Electricity Finance Corporation has also recently awarded Enron Canada, through an RFP process, the responsibility for assisting OEFC in the management of the non-utility generation contracts formerly held by Ontario Hydro</w:t>
      </w:r>
    </w:p>
    <w:p>
      <w:pPr>
        <w:pStyle w:val="Heading"/>
        <w:spacing w:lineRule="auto" w:line="360"/>
        <w:jc w:val="both"/>
        <w:rPr>
          <w:b w:val="false"/>
          <w:bCs w:val="false"/>
          <w:sz w:val="22"/>
          <w:u w:val="none"/>
        </w:rPr>
      </w:pPr>
      <w:r>
        <w:rPr>
          <w:b w:val="false"/>
          <w:bCs w:val="false"/>
          <w:sz w:val="22"/>
          <w:u w:val="none"/>
        </w:rPr>
      </w:r>
    </w:p>
    <w:p>
      <w:pPr>
        <w:pStyle w:val="Heading"/>
        <w:numPr>
          <w:ilvl w:val="0"/>
          <w:numId w:val="7"/>
        </w:numPr>
        <w:spacing w:lineRule="auto" w:line="360"/>
        <w:jc w:val="both"/>
        <w:rPr>
          <w:b w:val="false"/>
          <w:bCs w:val="false"/>
          <w:sz w:val="22"/>
          <w:u w:val="none"/>
        </w:rPr>
      </w:pPr>
      <w:r>
        <w:rPr>
          <w:b w:val="false"/>
          <w:bCs w:val="false"/>
          <w:sz w:val="22"/>
          <w:u w:val="none"/>
        </w:rPr>
        <w:t>Enron Canada has also initiated the development and permitting of a peaking power generation facility and related transmission facilities to be built in Southwestern Ontario</w:t>
      </w:r>
    </w:p>
    <w:p>
      <w:pPr>
        <w:pStyle w:val="Heading"/>
        <w:spacing w:lineRule="auto" w:line="360"/>
        <w:jc w:val="both"/>
        <w:rPr>
          <w:b w:val="false"/>
          <w:bCs w:val="false"/>
          <w:sz w:val="22"/>
          <w:u w:val="none"/>
        </w:rPr>
      </w:pPr>
      <w:r>
        <w:rPr>
          <w:b w:val="false"/>
          <w:bCs w:val="false"/>
          <w:sz w:val="22"/>
          <w:u w:val="none"/>
        </w:rPr>
      </w:r>
    </w:p>
    <w:p>
      <w:pPr>
        <w:pStyle w:val="Heading"/>
        <w:numPr>
          <w:ilvl w:val="0"/>
          <w:numId w:val="7"/>
        </w:numPr>
        <w:spacing w:lineRule="auto" w:line="360"/>
        <w:jc w:val="both"/>
        <w:rPr>
          <w:b w:val="false"/>
          <w:bCs w:val="false"/>
          <w:sz w:val="22"/>
          <w:u w:val="none"/>
        </w:rPr>
      </w:pPr>
      <w:r>
        <w:rPr>
          <w:b w:val="false"/>
          <w:bCs w:val="false"/>
          <w:sz w:val="22"/>
          <w:u w:val="none"/>
        </w:rPr>
        <w:t>The company had originally intended to have that project up and running by June of 2001 but obviously had to put it on hold because of the delay in and uncertainty around Market opening</w:t>
      </w:r>
    </w:p>
    <w:p>
      <w:pPr>
        <w:pStyle w:val="Heading"/>
        <w:spacing w:lineRule="auto" w:line="360"/>
        <w:jc w:val="both"/>
        <w:rPr>
          <w:b w:val="false"/>
          <w:bCs w:val="false"/>
          <w:sz w:val="22"/>
          <w:u w:val="none"/>
        </w:rPr>
      </w:pPr>
      <w:r>
        <w:rPr>
          <w:b w:val="false"/>
          <w:bCs w:val="false"/>
          <w:sz w:val="22"/>
          <w:u w:val="none"/>
        </w:rPr>
      </w:r>
    </w:p>
    <w:p>
      <w:pPr>
        <w:pStyle w:val="Heading"/>
        <w:numPr>
          <w:ilvl w:val="0"/>
          <w:numId w:val="7"/>
        </w:numPr>
        <w:spacing w:lineRule="auto" w:line="360"/>
        <w:jc w:val="both"/>
        <w:rPr>
          <w:b w:val="false"/>
          <w:bCs w:val="false"/>
          <w:sz w:val="22"/>
          <w:u w:val="none"/>
        </w:rPr>
      </w:pPr>
      <w:r>
        <w:rPr>
          <w:b w:val="false"/>
          <w:bCs w:val="false"/>
          <w:sz w:val="22"/>
          <w:u w:val="none"/>
        </w:rPr>
        <w:t>The project – upon completion – would represent an investment of about $250 million in the Province</w:t>
      </w:r>
    </w:p>
    <w:p>
      <w:pPr>
        <w:pStyle w:val="Heading"/>
        <w:spacing w:lineRule="auto" w:line="360"/>
        <w:jc w:val="both"/>
        <w:rPr>
          <w:b w:val="false"/>
          <w:bCs w:val="false"/>
          <w:sz w:val="22"/>
          <w:u w:val="none"/>
        </w:rPr>
      </w:pPr>
      <w:r>
        <w:rPr>
          <w:b w:val="false"/>
          <w:bCs w:val="false"/>
          <w:sz w:val="22"/>
          <w:u w:val="none"/>
        </w:rPr>
      </w:r>
    </w:p>
    <w:p>
      <w:pPr>
        <w:pStyle w:val="Heading"/>
        <w:numPr>
          <w:ilvl w:val="1"/>
          <w:numId w:val="11"/>
        </w:numPr>
        <w:spacing w:lineRule="auto" w:line="360"/>
        <w:jc w:val="both"/>
        <w:rPr>
          <w:b w:val="false"/>
          <w:bCs w:val="false"/>
          <w:sz w:val="22"/>
          <w:u w:val="none"/>
        </w:rPr>
      </w:pPr>
      <w:r>
        <w:rPr>
          <w:b w:val="false"/>
          <w:bCs w:val="false"/>
          <w:sz w:val="22"/>
          <w:u w:val="none"/>
        </w:rPr>
        <w:t>If the Market is put off until the Spring, the project will need to be reassessed from an investment perspective against the other projects that Enron has on its plate.</w:t>
      </w:r>
    </w:p>
    <w:p>
      <w:pPr>
        <w:pStyle w:val="Heading"/>
        <w:spacing w:lineRule="auto" w:line="360"/>
        <w:ind w:hanging="720" w:start="720" w:end="0"/>
        <w:jc w:val="both"/>
        <w:rPr>
          <w:b w:val="false"/>
          <w:bCs w:val="false"/>
          <w:sz w:val="22"/>
          <w:u w:val="none"/>
        </w:rPr>
      </w:pPr>
      <w:r>
        <w:rPr>
          <w:b w:val="false"/>
          <w:bCs w:val="false"/>
          <w:sz w:val="22"/>
          <w:u w:val="none"/>
        </w:rPr>
      </w:r>
    </w:p>
    <w:p>
      <w:pPr>
        <w:pStyle w:val="Heading"/>
        <w:spacing w:lineRule="auto" w:line="360"/>
        <w:ind w:hanging="720" w:start="720" w:end="0"/>
        <w:jc w:val="both"/>
        <w:rPr>
          <w:b w:val="false"/>
          <w:bCs w:val="false"/>
          <w:sz w:val="22"/>
          <w:u w:val="none"/>
        </w:rPr>
      </w:pPr>
      <w:r>
        <w:rPr>
          <w:sz w:val="22"/>
          <w:u w:val="none"/>
        </w:rPr>
        <w:t>2.</w:t>
        <w:tab/>
        <w:t>Ontario should be in a position to move forward with Market opening in November 2001.</w:t>
      </w:r>
    </w:p>
    <w:p>
      <w:pPr>
        <w:pStyle w:val="Heading"/>
        <w:spacing w:lineRule="auto" w:line="360"/>
        <w:ind w:hanging="720" w:start="720" w:end="0"/>
        <w:jc w:val="both"/>
        <w:rPr>
          <w:b w:val="false"/>
          <w:bCs w:val="false"/>
          <w:sz w:val="22"/>
          <w:u w:val="none"/>
        </w:rPr>
      </w:pPr>
      <w:r>
        <w:rPr>
          <w:b w:val="false"/>
          <w:bCs w:val="false"/>
          <w:sz w:val="22"/>
          <w:u w:val="none"/>
        </w:rPr>
      </w:r>
    </w:p>
    <w:p>
      <w:pPr>
        <w:pStyle w:val="Heading"/>
        <w:numPr>
          <w:ilvl w:val="0"/>
          <w:numId w:val="6"/>
        </w:numPr>
        <w:tabs>
          <w:tab w:val="left" w:pos="720" w:leader="none"/>
        </w:tabs>
        <w:spacing w:lineRule="auto" w:line="360"/>
        <w:ind w:hanging="360" w:start="720" w:end="0"/>
        <w:jc w:val="both"/>
        <w:rPr>
          <w:b w:val="false"/>
          <w:bCs w:val="false"/>
          <w:sz w:val="22"/>
          <w:u w:val="none"/>
        </w:rPr>
      </w:pPr>
      <w:r>
        <w:rPr>
          <w:b w:val="false"/>
          <w:bCs w:val="false"/>
          <w:sz w:val="22"/>
          <w:u w:val="none"/>
        </w:rPr>
        <w:t>The Government has announced that the Ontario power Market will open to competition by a May 2002 “deadline” and possibly sooner if the necessary conditions are satisfied.</w:t>
      </w:r>
    </w:p>
    <w:p>
      <w:pPr>
        <w:pStyle w:val="Heading"/>
        <w:spacing w:lineRule="auto" w:line="360"/>
        <w:ind w:start="360" w:end="0"/>
        <w:jc w:val="both"/>
        <w:rPr>
          <w:b w:val="false"/>
          <w:bCs w:val="false"/>
          <w:sz w:val="22"/>
          <w:u w:val="none"/>
        </w:rPr>
      </w:pPr>
      <w:r>
        <w:rPr>
          <w:b w:val="false"/>
          <w:bCs w:val="false"/>
          <w:sz w:val="22"/>
          <w:u w:val="none"/>
        </w:rPr>
      </w:r>
    </w:p>
    <w:p>
      <w:pPr>
        <w:pStyle w:val="Heading"/>
        <w:numPr>
          <w:ilvl w:val="0"/>
          <w:numId w:val="6"/>
        </w:numPr>
        <w:tabs>
          <w:tab w:val="left" w:pos="720" w:leader="none"/>
        </w:tabs>
        <w:spacing w:lineRule="auto" w:line="360"/>
        <w:ind w:hanging="360" w:start="720" w:end="0"/>
        <w:jc w:val="both"/>
        <w:rPr>
          <w:b w:val="false"/>
          <w:bCs w:val="false"/>
          <w:sz w:val="22"/>
          <w:u w:val="none"/>
        </w:rPr>
      </w:pPr>
      <w:r>
        <w:rPr>
          <w:b w:val="false"/>
          <w:bCs w:val="false"/>
          <w:sz w:val="22"/>
          <w:u w:val="none"/>
        </w:rPr>
        <w:t>There should be no need to wait for the Spring of 2002.</w:t>
      </w:r>
    </w:p>
    <w:p>
      <w:pPr>
        <w:pStyle w:val="Heading"/>
        <w:spacing w:lineRule="auto" w:line="360"/>
        <w:jc w:val="both"/>
        <w:rPr>
          <w:b w:val="false"/>
          <w:bCs w:val="false"/>
          <w:sz w:val="22"/>
          <w:u w:val="none"/>
        </w:rPr>
      </w:pPr>
      <w:r>
        <w:rPr>
          <w:b w:val="false"/>
          <w:bCs w:val="false"/>
          <w:sz w:val="22"/>
          <w:u w:val="none"/>
        </w:rPr>
      </w:r>
    </w:p>
    <w:p>
      <w:pPr>
        <w:pStyle w:val="Heading"/>
        <w:numPr>
          <w:ilvl w:val="0"/>
          <w:numId w:val="6"/>
        </w:numPr>
        <w:tabs>
          <w:tab w:val="left" w:pos="720" w:leader="none"/>
        </w:tabs>
        <w:spacing w:lineRule="auto" w:line="360"/>
        <w:ind w:hanging="360" w:start="720" w:end="0"/>
        <w:jc w:val="both"/>
        <w:rPr>
          <w:b w:val="false"/>
          <w:bCs w:val="false"/>
          <w:sz w:val="22"/>
          <w:u w:val="none"/>
        </w:rPr>
      </w:pPr>
      <w:r>
        <w:rPr>
          <w:b w:val="false"/>
          <w:bCs w:val="false"/>
          <w:sz w:val="22"/>
          <w:u w:val="none"/>
        </w:rPr>
        <w:t>The Government should continue to move forward to Market opening in November 2001, in accordance with the Market Readiness Plan adopted by the Ontario Energy Board (OEB) and the Independent Market Operator (IMO).</w:t>
      </w:r>
    </w:p>
    <w:p>
      <w:pPr>
        <w:pStyle w:val="Heading"/>
        <w:spacing w:lineRule="auto" w:line="360"/>
        <w:jc w:val="both"/>
        <w:rPr>
          <w:b w:val="false"/>
          <w:bCs w:val="false"/>
          <w:sz w:val="22"/>
          <w:u w:val="none"/>
        </w:rPr>
      </w:pPr>
      <w:r>
        <w:rPr>
          <w:b w:val="false"/>
          <w:bCs w:val="false"/>
          <w:sz w:val="22"/>
          <w:u w:val="none"/>
        </w:rPr>
      </w:r>
    </w:p>
    <w:p>
      <w:pPr>
        <w:pStyle w:val="Heading"/>
        <w:numPr>
          <w:ilvl w:val="0"/>
          <w:numId w:val="6"/>
        </w:numPr>
        <w:tabs>
          <w:tab w:val="left" w:pos="720" w:leader="none"/>
        </w:tabs>
        <w:spacing w:lineRule="auto" w:line="360"/>
        <w:ind w:hanging="360" w:start="720" w:end="0"/>
        <w:jc w:val="both"/>
        <w:rPr>
          <w:b w:val="false"/>
          <w:bCs w:val="false"/>
          <w:sz w:val="22"/>
          <w:u w:val="none"/>
        </w:rPr>
      </w:pPr>
      <w:r>
        <w:rPr>
          <w:b w:val="false"/>
          <w:bCs w:val="false"/>
          <w:sz w:val="22"/>
          <w:u w:val="none"/>
        </w:rPr>
        <w:t>That Plan targets the systems, processes and other requirements of the wholesale and retail markets to be ready for a Market opening in early November 2001.</w:t>
      </w:r>
    </w:p>
    <w:p>
      <w:pPr>
        <w:pStyle w:val="Heading"/>
        <w:spacing w:lineRule="auto" w:line="360"/>
        <w:jc w:val="both"/>
        <w:rPr>
          <w:b w:val="false"/>
          <w:bCs w:val="false"/>
          <w:sz w:val="22"/>
          <w:u w:val="none"/>
        </w:rPr>
      </w:pPr>
      <w:r>
        <w:rPr>
          <w:b w:val="false"/>
          <w:bCs w:val="false"/>
          <w:sz w:val="22"/>
          <w:u w:val="none"/>
        </w:rPr>
      </w:r>
    </w:p>
    <w:p>
      <w:pPr>
        <w:pStyle w:val="Heading"/>
        <w:numPr>
          <w:ilvl w:val="0"/>
          <w:numId w:val="6"/>
        </w:numPr>
        <w:tabs>
          <w:tab w:val="left" w:pos="720" w:leader="none"/>
        </w:tabs>
        <w:spacing w:lineRule="auto" w:line="360"/>
        <w:ind w:hanging="360" w:start="720" w:end="0"/>
        <w:jc w:val="both"/>
        <w:rPr>
          <w:b w:val="false"/>
          <w:bCs w:val="false"/>
          <w:sz w:val="22"/>
          <w:u w:val="none"/>
        </w:rPr>
      </w:pPr>
      <w:r>
        <w:rPr>
          <w:b w:val="false"/>
          <w:bCs w:val="false"/>
          <w:sz w:val="22"/>
          <w:u w:val="none"/>
        </w:rPr>
        <w:t>The Plan is realistic and achievable.</w:t>
      </w:r>
    </w:p>
    <w:p>
      <w:pPr>
        <w:pStyle w:val="Heading"/>
        <w:spacing w:lineRule="auto" w:line="360"/>
        <w:jc w:val="both"/>
        <w:rPr>
          <w:b w:val="false"/>
          <w:bCs w:val="false"/>
          <w:sz w:val="22"/>
          <w:u w:val="none"/>
        </w:rPr>
      </w:pPr>
      <w:r>
        <w:rPr>
          <w:b w:val="false"/>
          <w:bCs w:val="false"/>
          <w:sz w:val="22"/>
          <w:u w:val="none"/>
        </w:rPr>
      </w:r>
    </w:p>
    <w:p>
      <w:pPr>
        <w:pStyle w:val="Heading"/>
        <w:numPr>
          <w:ilvl w:val="0"/>
          <w:numId w:val="6"/>
        </w:numPr>
        <w:tabs>
          <w:tab w:val="left" w:pos="720" w:leader="none"/>
        </w:tabs>
        <w:spacing w:lineRule="auto" w:line="360"/>
        <w:ind w:hanging="360" w:start="720" w:end="0"/>
        <w:jc w:val="both"/>
        <w:rPr>
          <w:b w:val="false"/>
          <w:bCs w:val="false"/>
          <w:sz w:val="22"/>
          <w:u w:val="none"/>
        </w:rPr>
      </w:pPr>
      <w:r>
        <w:rPr>
          <w:b w:val="false"/>
          <w:bCs w:val="false"/>
          <w:sz w:val="22"/>
          <w:u w:val="none"/>
        </w:rPr>
        <w:t>The Plan contemplates that the OEB and IMO will deliver Market Readiness Status Reports to the Minister of Energy in September 2001.</w:t>
      </w:r>
    </w:p>
    <w:p>
      <w:pPr>
        <w:pStyle w:val="Heading"/>
        <w:spacing w:lineRule="auto" w:line="360"/>
        <w:jc w:val="both"/>
        <w:rPr>
          <w:b w:val="false"/>
          <w:bCs w:val="false"/>
          <w:sz w:val="22"/>
          <w:u w:val="none"/>
        </w:rPr>
      </w:pPr>
      <w:r>
        <w:rPr>
          <w:b w:val="false"/>
          <w:bCs w:val="false"/>
          <w:sz w:val="22"/>
          <w:u w:val="none"/>
        </w:rPr>
      </w:r>
    </w:p>
    <w:p>
      <w:pPr>
        <w:pStyle w:val="Heading"/>
        <w:numPr>
          <w:ilvl w:val="0"/>
          <w:numId w:val="6"/>
        </w:numPr>
        <w:tabs>
          <w:tab w:val="left" w:pos="720" w:leader="none"/>
        </w:tabs>
        <w:spacing w:lineRule="auto" w:line="360"/>
        <w:ind w:hanging="360" w:start="720" w:end="0"/>
        <w:jc w:val="both"/>
        <w:rPr>
          <w:b w:val="false"/>
          <w:bCs w:val="false"/>
          <w:sz w:val="22"/>
          <w:u w:val="none"/>
        </w:rPr>
      </w:pPr>
      <w:r>
        <w:rPr>
          <w:b w:val="false"/>
          <w:bCs w:val="false"/>
          <w:sz w:val="22"/>
          <w:u w:val="none"/>
        </w:rPr>
        <w:t>At this stage, we are confident that the IMO and OEB reports will indicate that the wholesale and retail markets are ready.</w:t>
      </w:r>
    </w:p>
    <w:p>
      <w:pPr>
        <w:pStyle w:val="Heading"/>
        <w:spacing w:lineRule="auto" w:line="360"/>
        <w:jc w:val="both"/>
        <w:rPr>
          <w:b w:val="false"/>
          <w:bCs w:val="false"/>
          <w:sz w:val="22"/>
          <w:u w:val="none"/>
        </w:rPr>
      </w:pPr>
      <w:r>
        <w:rPr>
          <w:b w:val="false"/>
          <w:bCs w:val="false"/>
          <w:sz w:val="22"/>
          <w:u w:val="none"/>
        </w:rPr>
      </w:r>
    </w:p>
    <w:p>
      <w:pPr>
        <w:pStyle w:val="Heading"/>
        <w:numPr>
          <w:ilvl w:val="0"/>
          <w:numId w:val="6"/>
        </w:numPr>
        <w:tabs>
          <w:tab w:val="left" w:pos="720" w:leader="none"/>
        </w:tabs>
        <w:spacing w:lineRule="auto" w:line="360"/>
        <w:ind w:hanging="360" w:start="720" w:end="0"/>
        <w:jc w:val="both"/>
        <w:rPr>
          <w:b w:val="false"/>
          <w:bCs w:val="false"/>
          <w:sz w:val="22"/>
          <w:u w:val="none"/>
        </w:rPr>
      </w:pPr>
      <w:r>
        <w:rPr>
          <w:b w:val="false"/>
          <w:bCs w:val="false"/>
          <w:sz w:val="22"/>
          <w:u w:val="none"/>
        </w:rPr>
        <w:t>Assuming that the IMO and OEB reports are “positive”, the Government should be in a position to authorize the IMO to proceed with the last phase of IMO systems testing in late September and to open the wholesale and retail markets in November 2001.</w:t>
      </w:r>
    </w:p>
    <w:p>
      <w:pPr>
        <w:pStyle w:val="Heading"/>
        <w:spacing w:lineRule="auto" w:line="360"/>
        <w:jc w:val="both"/>
        <w:rPr>
          <w:b w:val="false"/>
          <w:bCs w:val="false"/>
          <w:sz w:val="22"/>
          <w:u w:val="none"/>
        </w:rPr>
      </w:pPr>
      <w:r>
        <w:rPr>
          <w:b w:val="false"/>
          <w:bCs w:val="false"/>
          <w:sz w:val="22"/>
          <w:u w:val="none"/>
        </w:rPr>
      </w:r>
    </w:p>
    <w:p>
      <w:pPr>
        <w:pStyle w:val="Heading"/>
        <w:numPr>
          <w:ilvl w:val="0"/>
          <w:numId w:val="6"/>
        </w:numPr>
        <w:tabs>
          <w:tab w:val="left" w:pos="720" w:leader="none"/>
        </w:tabs>
        <w:spacing w:lineRule="auto" w:line="360"/>
        <w:ind w:hanging="360" w:start="720" w:end="0"/>
        <w:jc w:val="both"/>
        <w:rPr>
          <w:b w:val="false"/>
          <w:bCs w:val="false"/>
          <w:sz w:val="22"/>
          <w:u w:val="none"/>
        </w:rPr>
      </w:pPr>
      <w:r>
        <w:rPr>
          <w:b w:val="false"/>
          <w:bCs w:val="false"/>
          <w:sz w:val="22"/>
          <w:u w:val="none"/>
        </w:rPr>
        <w:t>We see no considerations that should prevent the Government from moving forward in accordance with that plan and opening the Market in November 2001.</w:t>
      </w:r>
    </w:p>
    <w:p>
      <w:pPr>
        <w:pStyle w:val="Heading"/>
        <w:spacing w:lineRule="auto" w:line="360"/>
        <w:jc w:val="both"/>
        <w:rPr>
          <w:b w:val="false"/>
          <w:bCs w:val="false"/>
          <w:sz w:val="22"/>
          <w:u w:val="none"/>
        </w:rPr>
      </w:pPr>
      <w:r>
        <w:rPr>
          <w:b w:val="false"/>
          <w:bCs w:val="false"/>
          <w:sz w:val="22"/>
          <w:u w:val="none"/>
        </w:rPr>
      </w:r>
    </w:p>
    <w:p>
      <w:pPr>
        <w:pStyle w:val="Heading"/>
        <w:spacing w:lineRule="auto" w:line="360"/>
        <w:ind w:hanging="720" w:start="720" w:end="0"/>
        <w:jc w:val="both"/>
        <w:rPr>
          <w:sz w:val="22"/>
          <w:u w:val="none"/>
        </w:rPr>
      </w:pPr>
      <w:r>
        <w:rPr>
          <w:sz w:val="22"/>
          <w:u w:val="none"/>
        </w:rPr>
        <w:t>3.</w:t>
        <w:tab/>
        <w:t>The Government should have confidence that opening the Market will not expose Ontario concerns to Price Spikes during the Winter 2001-2002.</w:t>
      </w:r>
    </w:p>
    <w:p>
      <w:pPr>
        <w:pStyle w:val="Heading"/>
        <w:spacing w:lineRule="auto" w:line="360"/>
        <w:ind w:hanging="720" w:start="720" w:end="0"/>
        <w:jc w:val="both"/>
        <w:rPr>
          <w:sz w:val="22"/>
          <w:u w:val="none"/>
        </w:rPr>
      </w:pPr>
      <w:r>
        <w:rPr>
          <w:sz w:val="22"/>
          <w:u w:val="none"/>
        </w:rPr>
      </w:r>
    </w:p>
    <w:p>
      <w:pPr>
        <w:pStyle w:val="BodyText"/>
        <w:numPr>
          <w:ilvl w:val="0"/>
          <w:numId w:val="10"/>
        </w:numPr>
        <w:spacing w:lineRule="auto" w:line="360"/>
        <w:rPr>
          <w:b w:val="false"/>
          <w:bCs w:val="false"/>
          <w:i w:val="false"/>
          <w:i w:val="false"/>
          <w:iCs w:val="false"/>
        </w:rPr>
      </w:pPr>
      <w:r>
        <w:rPr>
          <w:b w:val="false"/>
          <w:bCs w:val="false"/>
          <w:i w:val="false"/>
          <w:iCs w:val="false"/>
        </w:rPr>
        <w:t>We understand that some within the Government have raised the concern that, if the Market opens in November 2001, Ontario consumers will see significant price spikes in the Winter 2001-2002 period.</w:t>
      </w:r>
    </w:p>
    <w:p>
      <w:pPr>
        <w:pStyle w:val="BodyText"/>
        <w:spacing w:lineRule="auto" w:line="360"/>
        <w:ind w:start="360" w:end="0"/>
        <w:rPr>
          <w:b w:val="false"/>
          <w:bCs w:val="false"/>
          <w:i w:val="false"/>
          <w:i w:val="false"/>
          <w:iCs w:val="false"/>
        </w:rPr>
      </w:pPr>
      <w:r>
        <w:rPr>
          <w:b w:val="false"/>
          <w:bCs w:val="false"/>
          <w:i w:val="false"/>
          <w:iCs w:val="false"/>
        </w:rPr>
      </w:r>
    </w:p>
    <w:p>
      <w:pPr>
        <w:pStyle w:val="BodyText"/>
        <w:numPr>
          <w:ilvl w:val="0"/>
          <w:numId w:val="10"/>
        </w:numPr>
        <w:spacing w:lineRule="auto" w:line="360"/>
        <w:rPr>
          <w:b w:val="false"/>
          <w:bCs w:val="false"/>
          <w:i w:val="false"/>
          <w:i w:val="false"/>
          <w:iCs w:val="false"/>
        </w:rPr>
      </w:pPr>
      <w:r>
        <w:rPr>
          <w:b w:val="false"/>
          <w:bCs w:val="false"/>
          <w:i w:val="false"/>
          <w:iCs w:val="false"/>
        </w:rPr>
        <w:t xml:space="preserve">In response to that concern, Enron has prepared a comprehensive analysis of Ontario generation resource adequacy and pricing issues in the Winter 2001-2002 period.  </w:t>
      </w:r>
    </w:p>
    <w:p>
      <w:pPr>
        <w:pStyle w:val="BodyText"/>
        <w:spacing w:lineRule="auto" w:line="360"/>
        <w:rPr>
          <w:b w:val="false"/>
          <w:bCs w:val="false"/>
          <w:i w:val="false"/>
          <w:i w:val="false"/>
          <w:iCs w:val="false"/>
        </w:rPr>
      </w:pPr>
      <w:r>
        <w:rPr>
          <w:b w:val="false"/>
          <w:bCs w:val="false"/>
          <w:i w:val="false"/>
          <w:iCs w:val="false"/>
        </w:rPr>
      </w:r>
    </w:p>
    <w:p>
      <w:pPr>
        <w:pStyle w:val="BodyText"/>
        <w:numPr>
          <w:ilvl w:val="0"/>
          <w:numId w:val="10"/>
        </w:numPr>
        <w:spacing w:lineRule="auto" w:line="360"/>
        <w:rPr>
          <w:b w:val="false"/>
          <w:bCs w:val="false"/>
          <w:i w:val="false"/>
          <w:i w:val="false"/>
          <w:iCs w:val="false"/>
        </w:rPr>
      </w:pPr>
      <w:r>
        <w:rPr>
          <w:b w:val="false"/>
          <w:bCs w:val="false"/>
          <w:i w:val="false"/>
          <w:iCs w:val="false"/>
        </w:rPr>
        <w:t xml:space="preserve">That analysis has been presented to senior Government and regulatory officials.  </w:t>
      </w:r>
    </w:p>
    <w:p>
      <w:pPr>
        <w:pStyle w:val="BodyText"/>
        <w:spacing w:lineRule="auto" w:line="360"/>
        <w:rPr>
          <w:b w:val="false"/>
          <w:bCs w:val="false"/>
          <w:i w:val="false"/>
          <w:i w:val="false"/>
          <w:iCs w:val="false"/>
        </w:rPr>
      </w:pPr>
      <w:r>
        <w:rPr>
          <w:b w:val="false"/>
          <w:bCs w:val="false"/>
          <w:i w:val="false"/>
          <w:iCs w:val="false"/>
        </w:rPr>
      </w:r>
    </w:p>
    <w:p>
      <w:pPr>
        <w:pStyle w:val="BodyText"/>
        <w:numPr>
          <w:ilvl w:val="0"/>
          <w:numId w:val="10"/>
        </w:numPr>
        <w:spacing w:lineRule="auto" w:line="360"/>
        <w:rPr>
          <w:b w:val="false"/>
          <w:bCs w:val="false"/>
          <w:i w:val="false"/>
          <w:i w:val="false"/>
          <w:iCs w:val="false"/>
        </w:rPr>
      </w:pPr>
      <w:r>
        <w:rPr>
          <w:b w:val="false"/>
          <w:bCs w:val="false"/>
          <w:i w:val="false"/>
          <w:iCs w:val="false"/>
        </w:rPr>
        <w:t>The key conclusions of that analysis are as follows:</w:t>
      </w:r>
    </w:p>
    <w:p>
      <w:pPr>
        <w:pStyle w:val="BodyText"/>
        <w:spacing w:lineRule="auto" w:line="360"/>
        <w:rPr>
          <w:b w:val="false"/>
          <w:bCs w:val="false"/>
          <w:i w:val="false"/>
          <w:i w:val="false"/>
          <w:iCs w:val="false"/>
        </w:rPr>
      </w:pPr>
      <w:r>
        <w:rPr>
          <w:b w:val="false"/>
          <w:bCs w:val="false"/>
          <w:i w:val="false"/>
          <w:iCs w:val="false"/>
        </w:rPr>
      </w:r>
    </w:p>
    <w:p>
      <w:pPr>
        <w:pStyle w:val="BodyText"/>
        <w:numPr>
          <w:ilvl w:val="1"/>
          <w:numId w:val="10"/>
        </w:numPr>
        <w:spacing w:lineRule="auto" w:line="360"/>
        <w:rPr>
          <w:b w:val="false"/>
          <w:bCs w:val="false"/>
        </w:rPr>
      </w:pPr>
      <w:r>
        <w:rPr>
          <w:b w:val="false"/>
          <w:bCs w:val="false"/>
        </w:rPr>
        <w:t>Ontario has sufficient resources to maintain adequate reserve margins until 2010 under the IMO’s median demand forecast and until Summer 2005 under the IMO’s high demand forecast.</w:t>
      </w:r>
    </w:p>
    <w:p>
      <w:pPr>
        <w:pStyle w:val="BodyText"/>
        <w:spacing w:lineRule="auto" w:line="360"/>
        <w:ind w:start="1080" w:end="0"/>
        <w:rPr>
          <w:b w:val="false"/>
          <w:bCs w:val="false"/>
        </w:rPr>
      </w:pPr>
      <w:r>
        <w:rPr>
          <w:b w:val="false"/>
          <w:bCs w:val="false"/>
        </w:rPr>
      </w:r>
    </w:p>
    <w:p>
      <w:pPr>
        <w:pStyle w:val="BodyText"/>
        <w:numPr>
          <w:ilvl w:val="1"/>
          <w:numId w:val="10"/>
        </w:numPr>
        <w:spacing w:lineRule="auto" w:line="360"/>
        <w:rPr>
          <w:b w:val="false"/>
          <w:bCs w:val="false"/>
        </w:rPr>
      </w:pPr>
      <w:r>
        <w:rPr>
          <w:b w:val="false"/>
          <w:bCs w:val="false"/>
        </w:rPr>
        <w:t>In addition to adequate reserve margins (whether calculated on the basis of installed capacity or NPCC’s energy reserves design criteria), Ontario is hedged against high winter prices because the Eastern Interconnect has a surplus of power in the winter season (about 3900 MW simultaneous transfer import capability with connected markets).</w:t>
      </w:r>
    </w:p>
    <w:p>
      <w:pPr>
        <w:pStyle w:val="BodyText"/>
        <w:spacing w:lineRule="auto" w:line="360"/>
        <w:rPr>
          <w:b w:val="false"/>
          <w:bCs w:val="false"/>
        </w:rPr>
      </w:pPr>
      <w:r>
        <w:rPr>
          <w:b w:val="false"/>
          <w:bCs w:val="false"/>
        </w:rPr>
      </w:r>
    </w:p>
    <w:p>
      <w:pPr>
        <w:pStyle w:val="BodyText"/>
        <w:numPr>
          <w:ilvl w:val="1"/>
          <w:numId w:val="10"/>
        </w:numPr>
        <w:spacing w:lineRule="auto" w:line="360"/>
        <w:rPr>
          <w:b w:val="false"/>
          <w:bCs w:val="false"/>
        </w:rPr>
      </w:pPr>
      <w:r>
        <w:rPr>
          <w:b w:val="false"/>
          <w:bCs w:val="false"/>
        </w:rPr>
        <w:t>In any event, there is no history of significant price spikes in the Eastern Interconnect during the winter months.</w:t>
      </w:r>
    </w:p>
    <w:p>
      <w:pPr>
        <w:pStyle w:val="BodyText"/>
        <w:spacing w:lineRule="auto" w:line="360"/>
        <w:rPr>
          <w:b w:val="false"/>
          <w:bCs w:val="false"/>
        </w:rPr>
      </w:pPr>
      <w:r>
        <w:rPr>
          <w:b w:val="false"/>
          <w:bCs w:val="false"/>
        </w:rPr>
      </w:r>
    </w:p>
    <w:p>
      <w:pPr>
        <w:pStyle w:val="BodyText"/>
        <w:numPr>
          <w:ilvl w:val="1"/>
          <w:numId w:val="10"/>
        </w:numPr>
        <w:spacing w:lineRule="auto" w:line="360"/>
        <w:rPr>
          <w:b w:val="false"/>
          <w:bCs w:val="false"/>
        </w:rPr>
      </w:pPr>
      <w:r>
        <w:rPr>
          <w:b w:val="false"/>
          <w:bCs w:val="false"/>
        </w:rPr>
        <w:t>The 1998 and 1999 price spikes in the Midwest were the product of extreme Summer temperatures, forced outages at times when capacity reserves were below 5%, and serious transmission constraints.</w:t>
      </w:r>
    </w:p>
    <w:p>
      <w:pPr>
        <w:pStyle w:val="BodyText"/>
        <w:spacing w:lineRule="auto" w:line="360"/>
        <w:ind w:start="1080" w:end="0"/>
        <w:rPr>
          <w:b w:val="false"/>
          <w:bCs w:val="false"/>
        </w:rPr>
      </w:pPr>
      <w:r>
        <w:rPr>
          <w:b w:val="false"/>
          <w:bCs w:val="false"/>
        </w:rPr>
      </w:r>
    </w:p>
    <w:p>
      <w:pPr>
        <w:pStyle w:val="BodyText"/>
        <w:numPr>
          <w:ilvl w:val="1"/>
          <w:numId w:val="10"/>
        </w:numPr>
        <w:spacing w:lineRule="auto" w:line="360"/>
        <w:rPr>
          <w:b w:val="false"/>
          <w:bCs w:val="false"/>
        </w:rPr>
      </w:pPr>
      <w:r>
        <w:rPr>
          <w:b w:val="false"/>
          <w:bCs w:val="false"/>
        </w:rPr>
        <w:t>Since 1998 – 1999, significant new generation has been built in the Eastern Interconnect and capacity margins have improved significantly.</w:t>
      </w:r>
    </w:p>
    <w:p>
      <w:pPr>
        <w:pStyle w:val="BodyText"/>
        <w:spacing w:lineRule="auto" w:line="360"/>
        <w:rPr>
          <w:b w:val="false"/>
          <w:bCs w:val="false"/>
        </w:rPr>
      </w:pPr>
      <w:r>
        <w:rPr>
          <w:b w:val="false"/>
          <w:bCs w:val="false"/>
        </w:rPr>
      </w:r>
    </w:p>
    <w:p>
      <w:pPr>
        <w:pStyle w:val="BodyText"/>
        <w:numPr>
          <w:ilvl w:val="2"/>
          <w:numId w:val="10"/>
        </w:numPr>
        <w:spacing w:lineRule="auto" w:line="360"/>
        <w:rPr>
          <w:b w:val="false"/>
          <w:bCs w:val="false"/>
        </w:rPr>
      </w:pPr>
      <w:r>
        <w:rPr>
          <w:b w:val="false"/>
          <w:bCs w:val="false"/>
        </w:rPr>
        <w:t>As noted above, PIRA estimates that capacity additions for the East U.S. by Summer 2001 are about 30,000 MW year over year.</w:t>
      </w:r>
    </w:p>
    <w:p>
      <w:pPr>
        <w:pStyle w:val="BodyText"/>
        <w:spacing w:lineRule="auto" w:line="360"/>
        <w:rPr>
          <w:b w:val="false"/>
          <w:bCs w:val="false"/>
        </w:rPr>
      </w:pPr>
      <w:r>
        <w:rPr>
          <w:b w:val="false"/>
          <w:bCs w:val="false"/>
        </w:rPr>
      </w:r>
    </w:p>
    <w:p>
      <w:pPr>
        <w:pStyle w:val="BodyText"/>
        <w:numPr>
          <w:ilvl w:val="1"/>
          <w:numId w:val="10"/>
        </w:numPr>
        <w:spacing w:lineRule="auto" w:line="360"/>
        <w:rPr>
          <w:b w:val="false"/>
          <w:bCs w:val="false"/>
        </w:rPr>
      </w:pPr>
      <w:r>
        <w:rPr>
          <w:b w:val="false"/>
          <w:bCs w:val="false"/>
        </w:rPr>
        <w:t>Since 1998-1999, the number of transmission constraints impacting Ontario has fallen considerably (as measured by the IMO’s TLR logs).</w:t>
      </w:r>
    </w:p>
    <w:p>
      <w:pPr>
        <w:pStyle w:val="BodyText"/>
        <w:spacing w:lineRule="auto" w:line="360"/>
        <w:rPr>
          <w:b w:val="false"/>
          <w:bCs w:val="false"/>
        </w:rPr>
      </w:pPr>
      <w:r>
        <w:rPr>
          <w:b w:val="false"/>
          <w:bCs w:val="false"/>
        </w:rPr>
      </w:r>
    </w:p>
    <w:p>
      <w:pPr>
        <w:pStyle w:val="BodyText"/>
        <w:numPr>
          <w:ilvl w:val="1"/>
          <w:numId w:val="10"/>
        </w:numPr>
        <w:spacing w:lineRule="auto" w:line="360"/>
        <w:rPr>
          <w:b w:val="false"/>
          <w:bCs w:val="false"/>
        </w:rPr>
      </w:pPr>
      <w:r>
        <w:rPr>
          <w:b w:val="false"/>
          <w:bCs w:val="false"/>
        </w:rPr>
        <w:t>Enron estimates that Ontario’s capacity reserve margin will be 15-17% during the Winter 2001-2002 months.</w:t>
      </w:r>
    </w:p>
    <w:p>
      <w:pPr>
        <w:pStyle w:val="BodyText"/>
        <w:spacing w:lineRule="auto" w:line="360"/>
        <w:rPr>
          <w:b w:val="false"/>
          <w:bCs w:val="false"/>
        </w:rPr>
      </w:pPr>
      <w:r>
        <w:rPr>
          <w:b w:val="false"/>
          <w:bCs w:val="false"/>
        </w:rPr>
      </w:r>
    </w:p>
    <w:p>
      <w:pPr>
        <w:pStyle w:val="BodyText"/>
        <w:numPr>
          <w:ilvl w:val="1"/>
          <w:numId w:val="10"/>
        </w:numPr>
        <w:spacing w:lineRule="auto" w:line="360"/>
        <w:rPr>
          <w:b w:val="false"/>
          <w:bCs w:val="false"/>
        </w:rPr>
      </w:pPr>
      <w:r>
        <w:rPr>
          <w:b w:val="false"/>
          <w:bCs w:val="false"/>
        </w:rPr>
        <w:t>Enron sees no prospect of price spikes in Ontario over the Winter 2001-2002 months.</w:t>
      </w:r>
    </w:p>
    <w:p>
      <w:pPr>
        <w:pStyle w:val="BodyText"/>
        <w:spacing w:lineRule="auto" w:line="360"/>
        <w:rPr>
          <w:b w:val="false"/>
          <w:bCs w:val="false"/>
        </w:rPr>
      </w:pPr>
      <w:r>
        <w:rPr>
          <w:b w:val="false"/>
          <w:bCs w:val="false"/>
        </w:rPr>
      </w:r>
    </w:p>
    <w:p>
      <w:pPr>
        <w:pStyle w:val="BodyText"/>
        <w:numPr>
          <w:ilvl w:val="2"/>
          <w:numId w:val="12"/>
        </w:numPr>
        <w:tabs>
          <w:tab w:val="clear" w:pos="720"/>
        </w:tabs>
        <w:spacing w:lineRule="auto" w:line="360"/>
        <w:ind w:hanging="360" w:start="720" w:end="0"/>
        <w:rPr>
          <w:b w:val="false"/>
          <w:bCs w:val="false"/>
          <w:i w:val="false"/>
          <w:i w:val="false"/>
          <w:iCs w:val="false"/>
        </w:rPr>
      </w:pPr>
      <w:r>
        <w:rPr>
          <w:b w:val="false"/>
          <w:bCs w:val="false"/>
          <w:i w:val="false"/>
          <w:iCs w:val="false"/>
        </w:rPr>
        <w:t>In any event, all Ontario end-use consumers are protected against price spikes by the MPMA “rebate” mechanism.  (However, remember that there are two qualifications to this:  i)  the rebate will be reduced to the extent that OPG “decontrols” assets, and ii)  the rebate is calculated annually and, by some estimates, may not be received by end-use customers until 6 months after the end of the year).</w:t>
      </w:r>
    </w:p>
    <w:p>
      <w:pPr>
        <w:pStyle w:val="BodyText"/>
        <w:spacing w:lineRule="auto" w:line="360"/>
        <w:rPr>
          <w:b w:val="false"/>
          <w:bCs w:val="false"/>
          <w:i w:val="false"/>
          <w:i w:val="false"/>
          <w:iCs w:val="false"/>
        </w:rPr>
      </w:pPr>
      <w:r>
        <w:rPr>
          <w:b w:val="false"/>
          <w:bCs w:val="false"/>
          <w:i w:val="false"/>
          <w:iCs w:val="false"/>
        </w:rPr>
      </w:r>
    </w:p>
    <w:p>
      <w:pPr>
        <w:pStyle w:val="BodyText"/>
        <w:numPr>
          <w:ilvl w:val="2"/>
          <w:numId w:val="12"/>
        </w:numPr>
        <w:tabs>
          <w:tab w:val="clear" w:pos="720"/>
        </w:tabs>
        <w:spacing w:lineRule="auto" w:line="360"/>
        <w:ind w:hanging="360" w:start="720" w:end="0"/>
        <w:rPr>
          <w:b w:val="false"/>
          <w:bCs w:val="false"/>
          <w:i w:val="false"/>
          <w:i w:val="false"/>
          <w:iCs w:val="false"/>
        </w:rPr>
      </w:pPr>
      <w:r>
        <w:rPr>
          <w:b w:val="false"/>
          <w:bCs w:val="false"/>
          <w:i w:val="false"/>
          <w:iCs w:val="false"/>
        </w:rPr>
        <w:t>A significant number of the small volume customers have already signed with retailers and are, accordingly, already hedged against price spikes.</w:t>
      </w:r>
    </w:p>
    <w:p>
      <w:pPr>
        <w:pStyle w:val="BodyText"/>
        <w:spacing w:lineRule="auto" w:line="360"/>
        <w:rPr>
          <w:b w:val="false"/>
          <w:bCs w:val="false"/>
          <w:i w:val="false"/>
          <w:i w:val="false"/>
          <w:iCs w:val="false"/>
        </w:rPr>
      </w:pPr>
      <w:r>
        <w:rPr>
          <w:b w:val="false"/>
          <w:bCs w:val="false"/>
          <w:i w:val="false"/>
          <w:iCs w:val="false"/>
        </w:rPr>
      </w:r>
    </w:p>
    <w:p>
      <w:pPr>
        <w:pStyle w:val="BodyText"/>
        <w:numPr>
          <w:ilvl w:val="4"/>
          <w:numId w:val="12"/>
        </w:numPr>
        <w:tabs>
          <w:tab w:val="clear" w:pos="720"/>
          <w:tab w:val="left" w:pos="1440" w:leader="none"/>
        </w:tabs>
        <w:spacing w:lineRule="auto" w:line="360"/>
        <w:ind w:hanging="360" w:start="1440" w:end="0"/>
        <w:rPr>
          <w:b w:val="false"/>
          <w:bCs w:val="false"/>
          <w:i w:val="false"/>
          <w:i w:val="false"/>
          <w:iCs w:val="false"/>
        </w:rPr>
      </w:pPr>
      <w:r>
        <w:rPr>
          <w:b w:val="false"/>
          <w:bCs w:val="false"/>
          <w:i w:val="false"/>
          <w:iCs w:val="false"/>
        </w:rPr>
        <w:t>Industry estimates are that over 600,000 consumers (out of 4.2 million) have already signed up with competitive retailers, and that in some urban centres, the enrollment rate is about 35 – 40%.  These numbers will grow before market opening.</w:t>
      </w:r>
    </w:p>
    <w:p>
      <w:pPr>
        <w:pStyle w:val="BodyText"/>
        <w:spacing w:lineRule="auto" w:line="360"/>
        <w:rPr>
          <w:b w:val="false"/>
          <w:bCs w:val="false"/>
          <w:i w:val="false"/>
          <w:i w:val="false"/>
          <w:iCs w:val="false"/>
        </w:rPr>
      </w:pPr>
      <w:r>
        <w:rPr>
          <w:b w:val="false"/>
          <w:bCs w:val="false"/>
          <w:i w:val="false"/>
          <w:iCs w:val="false"/>
        </w:rPr>
      </w:r>
    </w:p>
    <w:p>
      <w:pPr>
        <w:pStyle w:val="BodyText"/>
        <w:numPr>
          <w:ilvl w:val="2"/>
          <w:numId w:val="12"/>
        </w:numPr>
        <w:tabs>
          <w:tab w:val="clear" w:pos="720"/>
        </w:tabs>
        <w:spacing w:lineRule="auto" w:line="360"/>
        <w:ind w:hanging="360" w:start="720" w:end="0"/>
        <w:rPr>
          <w:b w:val="false"/>
          <w:bCs w:val="false"/>
          <w:i w:val="false"/>
          <w:i w:val="false"/>
          <w:iCs w:val="false"/>
        </w:rPr>
      </w:pPr>
      <w:r>
        <w:rPr>
          <w:b w:val="false"/>
          <w:bCs w:val="false"/>
          <w:i w:val="false"/>
          <w:iCs w:val="false"/>
        </w:rPr>
        <w:t>Those small volume consumers who do not enroll with a retailer, will receive electricity from their incumbent distributor under a price mechanism that will “smooth out” volatility over the year.</w:t>
      </w:r>
    </w:p>
    <w:p>
      <w:pPr>
        <w:pStyle w:val="BodyText"/>
        <w:spacing w:lineRule="auto" w:line="360"/>
        <w:ind w:start="360" w:end="0"/>
        <w:rPr>
          <w:b w:val="false"/>
          <w:bCs w:val="false"/>
          <w:i w:val="false"/>
          <w:i w:val="false"/>
          <w:iCs w:val="false"/>
        </w:rPr>
      </w:pPr>
      <w:r>
        <w:rPr>
          <w:b w:val="false"/>
          <w:bCs w:val="false"/>
          <w:i w:val="false"/>
          <w:iCs w:val="false"/>
        </w:rPr>
      </w:r>
    </w:p>
    <w:p>
      <w:pPr>
        <w:pStyle w:val="BodyText"/>
        <w:numPr>
          <w:ilvl w:val="2"/>
          <w:numId w:val="12"/>
        </w:numPr>
        <w:tabs>
          <w:tab w:val="clear" w:pos="720"/>
        </w:tabs>
        <w:spacing w:lineRule="auto" w:line="360"/>
        <w:ind w:hanging="360" w:start="720" w:end="0"/>
        <w:rPr>
          <w:b w:val="false"/>
          <w:bCs w:val="false"/>
          <w:i w:val="false"/>
          <w:i w:val="false"/>
          <w:iCs w:val="false"/>
        </w:rPr>
      </w:pPr>
      <w:r>
        <w:rPr>
          <w:b w:val="false"/>
          <w:bCs w:val="false"/>
          <w:i w:val="false"/>
          <w:iCs w:val="false"/>
        </w:rPr>
        <w:t xml:space="preserve">A significant number of the large volume industrial customers are already hedged by the OPG “transitional rates”.  </w:t>
      </w:r>
    </w:p>
    <w:p>
      <w:pPr>
        <w:pStyle w:val="BodyText"/>
        <w:spacing w:lineRule="auto" w:line="360"/>
        <w:rPr>
          <w:b w:val="false"/>
          <w:bCs w:val="false"/>
          <w:i w:val="false"/>
          <w:i w:val="false"/>
          <w:iCs w:val="false"/>
        </w:rPr>
      </w:pPr>
      <w:r>
        <w:rPr>
          <w:b w:val="false"/>
          <w:bCs w:val="false"/>
          <w:i w:val="false"/>
          <w:iCs w:val="false"/>
        </w:rPr>
      </w:r>
    </w:p>
    <w:p>
      <w:pPr>
        <w:pStyle w:val="BodyText"/>
        <w:numPr>
          <w:ilvl w:val="2"/>
          <w:numId w:val="12"/>
        </w:numPr>
        <w:tabs>
          <w:tab w:val="clear" w:pos="720"/>
        </w:tabs>
        <w:spacing w:lineRule="auto" w:line="360"/>
        <w:ind w:hanging="360" w:start="720" w:end="0"/>
        <w:rPr>
          <w:b w:val="false"/>
          <w:bCs w:val="false"/>
          <w:i w:val="false"/>
          <w:i w:val="false"/>
          <w:iCs w:val="false"/>
        </w:rPr>
      </w:pPr>
      <w:r>
        <w:rPr>
          <w:b w:val="false"/>
          <w:bCs w:val="false"/>
          <w:i w:val="false"/>
          <w:iCs w:val="false"/>
        </w:rPr>
        <w:t>Moreover, such large industrial customers have the option of securing further price protection from a provider such as Enron, OPG or Toronto Hydro Energy Services.</w:t>
      </w:r>
    </w:p>
    <w:p>
      <w:pPr>
        <w:pStyle w:val="Heading"/>
        <w:spacing w:lineRule="auto" w:line="360"/>
        <w:jc w:val="both"/>
        <w:rPr>
          <w:b w:val="false"/>
          <w:bCs w:val="false"/>
          <w:i/>
          <w:i/>
          <w:iCs/>
          <w:sz w:val="22"/>
          <w:u w:val="none"/>
        </w:rPr>
      </w:pPr>
      <w:r>
        <w:rPr>
          <w:b w:val="false"/>
          <w:bCs w:val="false"/>
          <w:i/>
          <w:iCs/>
          <w:sz w:val="22"/>
          <w:u w:val="none"/>
        </w:rPr>
      </w:r>
    </w:p>
    <w:p>
      <w:pPr>
        <w:pStyle w:val="Heading"/>
        <w:spacing w:lineRule="auto" w:line="360"/>
        <w:jc w:val="both"/>
        <w:rPr>
          <w:b w:val="false"/>
          <w:bCs w:val="false"/>
          <w:sz w:val="22"/>
          <w:u w:val="none"/>
        </w:rPr>
      </w:pPr>
      <w:r>
        <w:rPr>
          <w:b w:val="false"/>
          <w:bCs w:val="false"/>
          <w:sz w:val="22"/>
          <w:u w:val="none"/>
        </w:rPr>
      </w:r>
    </w:p>
    <w:p>
      <w:pPr>
        <w:pStyle w:val="Heading"/>
        <w:spacing w:lineRule="auto" w:line="360"/>
        <w:ind w:hanging="720" w:start="720" w:end="0"/>
        <w:jc w:val="both"/>
        <w:rPr>
          <w:sz w:val="22"/>
          <w:u w:val="none"/>
        </w:rPr>
      </w:pPr>
      <w:r>
        <w:rPr>
          <w:sz w:val="22"/>
          <w:u w:val="none"/>
        </w:rPr>
        <w:t>4.</w:t>
        <w:tab/>
        <w:t>The Government should have confidence that power prices will not increase significantly after the market opens.</w:t>
      </w:r>
    </w:p>
    <w:p>
      <w:pPr>
        <w:pStyle w:val="Heading"/>
        <w:spacing w:lineRule="auto" w:line="360"/>
        <w:ind w:hanging="720" w:start="720" w:end="0"/>
        <w:jc w:val="both"/>
        <w:rPr>
          <w:b w:val="false"/>
          <w:bCs w:val="false"/>
          <w:sz w:val="22"/>
          <w:u w:val="none"/>
        </w:rPr>
      </w:pPr>
      <w:r>
        <w:rPr>
          <w:b w:val="false"/>
          <w:bCs w:val="false"/>
          <w:sz w:val="22"/>
          <w:u w:val="none"/>
        </w:rPr>
      </w:r>
    </w:p>
    <w:p>
      <w:pPr>
        <w:pStyle w:val="BodyText"/>
        <w:numPr>
          <w:ilvl w:val="0"/>
          <w:numId w:val="4"/>
        </w:numPr>
        <w:tabs>
          <w:tab w:val="clear" w:pos="720"/>
          <w:tab w:val="left" w:pos="1080" w:leader="none"/>
        </w:tabs>
        <w:spacing w:lineRule="auto" w:line="360"/>
        <w:ind w:hanging="360" w:start="1080" w:end="0"/>
        <w:rPr>
          <w:b w:val="false"/>
          <w:bCs w:val="false"/>
          <w:i w:val="false"/>
          <w:i w:val="false"/>
          <w:iCs w:val="false"/>
        </w:rPr>
      </w:pPr>
      <w:r>
        <w:rPr>
          <w:b w:val="false"/>
          <w:bCs w:val="false"/>
          <w:i w:val="false"/>
          <w:iCs w:val="false"/>
        </w:rPr>
        <w:t>Enron is confident that Ontario consumers will not see significant increases in power prices once the market opens to completion.</w:t>
      </w:r>
    </w:p>
    <w:p>
      <w:pPr>
        <w:pStyle w:val="BodyText"/>
        <w:spacing w:lineRule="auto" w:line="360"/>
        <w:ind w:start="720" w:end="0"/>
        <w:rPr>
          <w:b w:val="false"/>
          <w:bCs w:val="false"/>
          <w:i w:val="false"/>
          <w:i w:val="false"/>
          <w:iCs w:val="false"/>
        </w:rPr>
      </w:pPr>
      <w:r>
        <w:rPr>
          <w:b w:val="false"/>
          <w:bCs w:val="false"/>
          <w:i w:val="false"/>
          <w:iCs w:val="false"/>
        </w:rPr>
      </w:r>
    </w:p>
    <w:p>
      <w:pPr>
        <w:pStyle w:val="BodyText"/>
        <w:numPr>
          <w:ilvl w:val="0"/>
          <w:numId w:val="4"/>
        </w:numPr>
        <w:tabs>
          <w:tab w:val="clear" w:pos="720"/>
          <w:tab w:val="left" w:pos="1080" w:leader="none"/>
        </w:tabs>
        <w:spacing w:lineRule="auto" w:line="360"/>
        <w:ind w:hanging="360" w:start="1080" w:end="0"/>
        <w:rPr>
          <w:b w:val="false"/>
          <w:bCs w:val="false"/>
          <w:i w:val="false"/>
          <w:i w:val="false"/>
          <w:iCs w:val="false"/>
        </w:rPr>
      </w:pPr>
      <w:r>
        <w:rPr>
          <w:b w:val="false"/>
          <w:bCs w:val="false"/>
          <w:i w:val="false"/>
          <w:iCs w:val="false"/>
        </w:rPr>
        <w:t xml:space="preserve">Enron is confident that Ontario power will trade at a </w:t>
      </w:r>
      <w:r>
        <w:rPr>
          <w:b w:val="false"/>
          <w:bCs w:val="false"/>
          <w:i w:val="false"/>
          <w:iCs w:val="false"/>
          <w:u w:val="single"/>
        </w:rPr>
        <w:t>discount</w:t>
      </w:r>
      <w:r>
        <w:rPr>
          <w:b w:val="false"/>
          <w:bCs w:val="false"/>
          <w:i w:val="false"/>
          <w:iCs w:val="false"/>
        </w:rPr>
        <w:t xml:space="preserve"> to the prices in the connected U.S. markets, even before the return of the Pickering A units.</w:t>
      </w:r>
    </w:p>
    <w:p>
      <w:pPr>
        <w:pStyle w:val="BodyText"/>
        <w:spacing w:lineRule="auto" w:line="360"/>
        <w:rPr>
          <w:b w:val="false"/>
          <w:bCs w:val="false"/>
          <w:i w:val="false"/>
          <w:i w:val="false"/>
          <w:iCs w:val="false"/>
        </w:rPr>
      </w:pPr>
      <w:r>
        <w:rPr>
          <w:b w:val="false"/>
          <w:bCs w:val="false"/>
          <w:i w:val="false"/>
          <w:iCs w:val="false"/>
        </w:rPr>
      </w:r>
    </w:p>
    <w:p>
      <w:pPr>
        <w:pStyle w:val="BodyText"/>
        <w:numPr>
          <w:ilvl w:val="0"/>
          <w:numId w:val="4"/>
        </w:numPr>
        <w:tabs>
          <w:tab w:val="clear" w:pos="720"/>
          <w:tab w:val="left" w:pos="1080" w:leader="none"/>
        </w:tabs>
        <w:spacing w:lineRule="auto" w:line="360"/>
        <w:ind w:hanging="360" w:start="1080" w:end="0"/>
        <w:rPr>
          <w:b w:val="false"/>
          <w:bCs w:val="false"/>
          <w:i w:val="false"/>
          <w:i w:val="false"/>
          <w:iCs w:val="false"/>
        </w:rPr>
      </w:pPr>
      <w:r>
        <w:rPr>
          <w:b w:val="false"/>
          <w:bCs w:val="false"/>
          <w:i w:val="false"/>
          <w:iCs w:val="false"/>
        </w:rPr>
        <w:t>The price at which OPG sells bulk wholesale power to the distributors was increased as of June 1, 2001 to approximately CDN $48 MWh.</w:t>
      </w:r>
    </w:p>
    <w:p>
      <w:pPr>
        <w:pStyle w:val="BodyText"/>
        <w:spacing w:lineRule="auto" w:line="360"/>
        <w:rPr>
          <w:b w:val="false"/>
          <w:bCs w:val="false"/>
          <w:i w:val="false"/>
          <w:i w:val="false"/>
          <w:iCs w:val="false"/>
        </w:rPr>
      </w:pPr>
      <w:r>
        <w:rPr>
          <w:b w:val="false"/>
          <w:bCs w:val="false"/>
          <w:i w:val="false"/>
          <w:iCs w:val="false"/>
        </w:rPr>
      </w:r>
    </w:p>
    <w:p>
      <w:pPr>
        <w:pStyle w:val="BodyText"/>
        <w:numPr>
          <w:ilvl w:val="0"/>
          <w:numId w:val="4"/>
        </w:numPr>
        <w:tabs>
          <w:tab w:val="clear" w:pos="720"/>
          <w:tab w:val="left" w:pos="1080" w:leader="none"/>
        </w:tabs>
        <w:spacing w:lineRule="auto" w:line="360"/>
        <w:ind w:hanging="360" w:start="1080" w:end="0"/>
        <w:rPr>
          <w:b w:val="false"/>
          <w:bCs w:val="false"/>
          <w:i w:val="false"/>
          <w:i w:val="false"/>
          <w:iCs w:val="false"/>
        </w:rPr>
      </w:pPr>
      <w:r>
        <w:rPr>
          <w:b w:val="false"/>
          <w:bCs w:val="false"/>
          <w:i w:val="false"/>
          <w:iCs w:val="false"/>
        </w:rPr>
        <w:t>It is worth noting that a number of months ago, Enron was offering to sell power to industrial customers at prices below that price level and, indeed, completed several transactions below that price level.</w:t>
      </w:r>
    </w:p>
    <w:p>
      <w:pPr>
        <w:pStyle w:val="BodyText"/>
        <w:spacing w:lineRule="auto" w:line="360"/>
        <w:rPr>
          <w:b w:val="false"/>
          <w:bCs w:val="false"/>
          <w:i w:val="false"/>
          <w:i w:val="false"/>
          <w:iCs w:val="false"/>
        </w:rPr>
      </w:pPr>
      <w:r>
        <w:rPr>
          <w:b w:val="false"/>
          <w:bCs w:val="false"/>
          <w:i w:val="false"/>
          <w:iCs w:val="false"/>
        </w:rPr>
      </w:r>
    </w:p>
    <w:p>
      <w:pPr>
        <w:pStyle w:val="BodyText"/>
        <w:numPr>
          <w:ilvl w:val="0"/>
          <w:numId w:val="4"/>
        </w:numPr>
        <w:tabs>
          <w:tab w:val="clear" w:pos="720"/>
          <w:tab w:val="left" w:pos="1080" w:leader="none"/>
        </w:tabs>
        <w:spacing w:lineRule="auto" w:line="360"/>
        <w:ind w:hanging="360" w:start="1080" w:end="0"/>
        <w:rPr>
          <w:b w:val="false"/>
          <w:bCs w:val="false"/>
          <w:i w:val="false"/>
          <w:i w:val="false"/>
          <w:iCs w:val="false"/>
        </w:rPr>
      </w:pPr>
      <w:r>
        <w:rPr>
          <w:b w:val="false"/>
          <w:bCs w:val="false"/>
          <w:i w:val="false"/>
          <w:iCs w:val="false"/>
        </w:rPr>
        <w:t>On a going forward basis, Enron’s analysis of available generation resources and pricing trends indicates that Ontario wholesale prices should, on average, be very close to the OPG bulk power rate as of June 1.</w:t>
      </w:r>
    </w:p>
    <w:p>
      <w:pPr>
        <w:pStyle w:val="BodyText"/>
        <w:spacing w:lineRule="auto" w:line="360"/>
        <w:rPr>
          <w:b w:val="false"/>
          <w:bCs w:val="false"/>
          <w:i w:val="false"/>
          <w:i w:val="false"/>
          <w:iCs w:val="false"/>
        </w:rPr>
      </w:pPr>
      <w:r>
        <w:rPr>
          <w:b w:val="false"/>
          <w:bCs w:val="false"/>
          <w:i w:val="false"/>
          <w:iCs w:val="false"/>
        </w:rPr>
      </w:r>
    </w:p>
    <w:p>
      <w:pPr>
        <w:pStyle w:val="BodyText"/>
        <w:numPr>
          <w:ilvl w:val="0"/>
          <w:numId w:val="4"/>
        </w:numPr>
        <w:tabs>
          <w:tab w:val="clear" w:pos="720"/>
          <w:tab w:val="left" w:pos="1080" w:leader="none"/>
        </w:tabs>
        <w:spacing w:lineRule="auto" w:line="360"/>
        <w:ind w:hanging="360" w:start="1080" w:end="0"/>
        <w:rPr>
          <w:b w:val="false"/>
          <w:bCs w:val="false"/>
          <w:i w:val="false"/>
          <w:i w:val="false"/>
          <w:iCs w:val="false"/>
        </w:rPr>
      </w:pPr>
      <w:r>
        <w:rPr>
          <w:b w:val="false"/>
          <w:bCs w:val="false"/>
          <w:i w:val="false"/>
          <w:iCs w:val="false"/>
        </w:rPr>
        <w:t>Remember that end-use customers will also receive the benefit of the rebate payable by OPG under the Market Power Mitigation Agreement.  This will have the effect of further reducing the cost of electricity to end-use customers.</w:t>
      </w:r>
    </w:p>
    <w:p>
      <w:pPr>
        <w:pStyle w:val="BodyText"/>
        <w:spacing w:lineRule="auto" w:line="360"/>
        <w:rPr>
          <w:b w:val="false"/>
          <w:bCs w:val="false"/>
          <w:i w:val="false"/>
          <w:i w:val="false"/>
          <w:iCs w:val="false"/>
        </w:rPr>
      </w:pPr>
      <w:r>
        <w:rPr>
          <w:b w:val="false"/>
          <w:bCs w:val="false"/>
          <w:i w:val="false"/>
          <w:iCs w:val="false"/>
        </w:rPr>
      </w:r>
    </w:p>
    <w:p>
      <w:pPr>
        <w:pStyle w:val="BodyText"/>
        <w:numPr>
          <w:ilvl w:val="0"/>
          <w:numId w:val="4"/>
        </w:numPr>
        <w:tabs>
          <w:tab w:val="clear" w:pos="720"/>
          <w:tab w:val="left" w:pos="1080" w:leader="none"/>
        </w:tabs>
        <w:spacing w:lineRule="auto" w:line="360"/>
        <w:ind w:hanging="360" w:start="1080" w:end="0"/>
        <w:rPr>
          <w:b w:val="false"/>
          <w:bCs w:val="false"/>
          <w:i w:val="false"/>
          <w:i w:val="false"/>
          <w:iCs w:val="false"/>
        </w:rPr>
      </w:pPr>
      <w:r>
        <w:rPr>
          <w:b w:val="false"/>
          <w:bCs w:val="false"/>
          <w:i w:val="false"/>
          <w:iCs w:val="false"/>
        </w:rPr>
        <w:t>In other words, Enron sees no risk of “price shock” to end-use consumers as a consequence of opening the Market.</w:t>
      </w:r>
      <w:r>
        <w:br w:type="page"/>
      </w:r>
    </w:p>
    <w:p>
      <w:pPr>
        <w:pStyle w:val="BodyText"/>
        <w:spacing w:lineRule="auto" w:line="360"/>
        <w:ind w:start="720" w:end="0"/>
        <w:rPr>
          <w:b w:val="false"/>
          <w:bCs w:val="false"/>
          <w:i w:val="false"/>
          <w:i w:val="false"/>
          <w:iCs w:val="false"/>
        </w:rPr>
      </w:pPr>
      <w:r>
        <w:rPr>
          <w:b w:val="false"/>
          <w:bCs w:val="false"/>
          <w:i w:val="false"/>
          <w:iCs w:val="false"/>
        </w:rPr>
      </w:r>
    </w:p>
    <w:p>
      <w:pPr>
        <w:pStyle w:val="Heading"/>
        <w:spacing w:lineRule="auto" w:line="360"/>
        <w:ind w:hanging="720" w:start="720" w:end="0"/>
        <w:jc w:val="both"/>
        <w:rPr>
          <w:sz w:val="22"/>
          <w:u w:val="none"/>
        </w:rPr>
      </w:pPr>
      <w:r>
        <w:rPr>
          <w:sz w:val="22"/>
          <w:u w:val="none"/>
        </w:rPr>
        <w:t>5.</w:t>
        <w:tab/>
        <w:t>Delaying Market opening until the return to service of the first Pickering A Unit would be the wrong decision.</w:t>
      </w:r>
    </w:p>
    <w:p>
      <w:pPr>
        <w:pStyle w:val="Heading"/>
        <w:spacing w:lineRule="auto" w:line="360"/>
        <w:ind w:hanging="720" w:start="720" w:end="0"/>
        <w:jc w:val="both"/>
        <w:rPr>
          <w:sz w:val="22"/>
          <w:u w:val="none"/>
        </w:rPr>
      </w:pPr>
      <w:r>
        <w:rPr>
          <w:sz w:val="22"/>
          <w:u w:val="none"/>
        </w:rPr>
      </w:r>
    </w:p>
    <w:p>
      <w:pPr>
        <w:pStyle w:val="BodyText"/>
        <w:numPr>
          <w:ilvl w:val="0"/>
          <w:numId w:val="5"/>
        </w:numPr>
        <w:spacing w:lineRule="auto" w:line="360"/>
        <w:rPr>
          <w:b w:val="false"/>
          <w:bCs w:val="false"/>
          <w:i w:val="false"/>
          <w:i w:val="false"/>
          <w:iCs w:val="false"/>
        </w:rPr>
      </w:pPr>
      <w:r>
        <w:rPr>
          <w:b w:val="false"/>
          <w:bCs w:val="false"/>
          <w:i w:val="false"/>
          <w:iCs w:val="false"/>
        </w:rPr>
        <w:t>We understand that some stakeholders have argued that the market should not be opened until the return to service of the first Pickering A nuclear unit (515 MW) on the basis that the return to service of the unit would enhance resource adequacy and stabilize prices.</w:t>
      </w:r>
    </w:p>
    <w:p>
      <w:pPr>
        <w:pStyle w:val="BodyText"/>
        <w:spacing w:lineRule="auto" w:line="360"/>
        <w:ind w:start="720" w:end="0"/>
        <w:rPr>
          <w:b w:val="false"/>
          <w:bCs w:val="false"/>
          <w:i w:val="false"/>
          <w:i w:val="false"/>
          <w:iCs w:val="false"/>
        </w:rPr>
      </w:pPr>
      <w:r>
        <w:rPr>
          <w:b w:val="false"/>
          <w:bCs w:val="false"/>
          <w:i w:val="false"/>
          <w:iCs w:val="false"/>
        </w:rPr>
      </w:r>
    </w:p>
    <w:p>
      <w:pPr>
        <w:pStyle w:val="BodyText"/>
        <w:numPr>
          <w:ilvl w:val="0"/>
          <w:numId w:val="5"/>
        </w:numPr>
        <w:spacing w:lineRule="auto" w:line="360"/>
        <w:rPr>
          <w:b w:val="false"/>
          <w:bCs w:val="false"/>
          <w:i w:val="false"/>
          <w:i w:val="false"/>
          <w:iCs w:val="false"/>
        </w:rPr>
      </w:pPr>
      <w:r>
        <w:rPr>
          <w:b w:val="false"/>
          <w:bCs w:val="false"/>
          <w:i w:val="false"/>
          <w:iCs w:val="false"/>
        </w:rPr>
        <w:t>Enron’s view is that delaying Market opening until the return to service of one or more of the Pickering A units would be the wrong public policy decision.</w:t>
      </w:r>
    </w:p>
    <w:p>
      <w:pPr>
        <w:pStyle w:val="BodyText"/>
        <w:spacing w:lineRule="auto" w:line="360"/>
        <w:ind w:start="720" w:end="0"/>
        <w:rPr>
          <w:b w:val="false"/>
          <w:bCs w:val="false"/>
          <w:i w:val="false"/>
          <w:i w:val="false"/>
          <w:iCs w:val="false"/>
        </w:rPr>
      </w:pPr>
      <w:r>
        <w:rPr>
          <w:b w:val="false"/>
          <w:bCs w:val="false"/>
          <w:i w:val="false"/>
          <w:iCs w:val="false"/>
        </w:rPr>
      </w:r>
    </w:p>
    <w:p>
      <w:pPr>
        <w:pStyle w:val="BodyText"/>
        <w:numPr>
          <w:ilvl w:val="0"/>
          <w:numId w:val="5"/>
        </w:numPr>
        <w:spacing w:lineRule="auto" w:line="360"/>
        <w:rPr>
          <w:b w:val="false"/>
          <w:bCs w:val="false"/>
          <w:i w:val="false"/>
          <w:i w:val="false"/>
          <w:iCs w:val="false"/>
        </w:rPr>
      </w:pPr>
      <w:r>
        <w:rPr>
          <w:b w:val="false"/>
          <w:bCs w:val="false"/>
          <w:i w:val="false"/>
          <w:iCs w:val="false"/>
        </w:rPr>
        <w:t xml:space="preserve">Delaying Market opening will not bring those Pickering units back on stream any earlier, but will delay investment in new generation resources.  </w:t>
      </w:r>
    </w:p>
    <w:p>
      <w:pPr>
        <w:pStyle w:val="BodyText"/>
        <w:spacing w:lineRule="auto" w:line="360"/>
        <w:rPr>
          <w:b w:val="false"/>
          <w:bCs w:val="false"/>
          <w:i w:val="false"/>
          <w:i w:val="false"/>
          <w:iCs w:val="false"/>
        </w:rPr>
      </w:pPr>
      <w:r>
        <w:rPr>
          <w:b w:val="false"/>
          <w:bCs w:val="false"/>
          <w:i w:val="false"/>
          <w:iCs w:val="false"/>
        </w:rPr>
      </w:r>
    </w:p>
    <w:p>
      <w:pPr>
        <w:pStyle w:val="BodyText"/>
        <w:numPr>
          <w:ilvl w:val="0"/>
          <w:numId w:val="5"/>
        </w:numPr>
        <w:spacing w:lineRule="auto" w:line="360"/>
        <w:rPr>
          <w:b w:val="false"/>
          <w:bCs w:val="false"/>
          <w:i w:val="false"/>
          <w:i w:val="false"/>
          <w:iCs w:val="false"/>
        </w:rPr>
      </w:pPr>
      <w:r>
        <w:rPr>
          <w:b w:val="false"/>
          <w:bCs w:val="false"/>
          <w:i w:val="false"/>
          <w:iCs w:val="false"/>
        </w:rPr>
        <w:t>Even without the Pickering A units, Ontario has a manageable reserve margin.  The effect of adding a 515 MW unit to the 600,000 MW Eastern Interconnect is negligible.</w:t>
      </w:r>
    </w:p>
    <w:p>
      <w:pPr>
        <w:pStyle w:val="BodyText"/>
        <w:spacing w:lineRule="auto" w:line="360"/>
        <w:rPr>
          <w:b w:val="false"/>
          <w:bCs w:val="false"/>
          <w:i w:val="false"/>
          <w:i w:val="false"/>
          <w:iCs w:val="false"/>
        </w:rPr>
      </w:pPr>
      <w:r>
        <w:rPr>
          <w:b w:val="false"/>
          <w:bCs w:val="false"/>
          <w:i w:val="false"/>
          <w:iCs w:val="false"/>
        </w:rPr>
      </w:r>
    </w:p>
    <w:p>
      <w:pPr>
        <w:pStyle w:val="BodyText"/>
        <w:numPr>
          <w:ilvl w:val="0"/>
          <w:numId w:val="5"/>
        </w:numPr>
        <w:spacing w:lineRule="auto" w:line="360"/>
        <w:rPr>
          <w:b w:val="false"/>
          <w:bCs w:val="false"/>
          <w:i w:val="false"/>
          <w:i w:val="false"/>
          <w:iCs w:val="false"/>
        </w:rPr>
      </w:pPr>
      <w:r>
        <w:rPr>
          <w:b w:val="false"/>
          <w:bCs w:val="false"/>
          <w:i w:val="false"/>
          <w:iCs w:val="false"/>
        </w:rPr>
        <w:t xml:space="preserve">OPG’s nuclear optimization programme is already significantly behind schedule and over budget.  Given that track record, we cannot say with confidence when the Pickering A units will in fact be operational.  The target date is December 31, 2001, but some informed industry observers say that the first unit may not, in fact, return to service until the second quarter of 2002.  </w:t>
      </w:r>
    </w:p>
    <w:p>
      <w:pPr>
        <w:pStyle w:val="BodyText"/>
        <w:spacing w:lineRule="auto" w:line="360"/>
        <w:rPr>
          <w:b w:val="false"/>
          <w:bCs w:val="false"/>
          <w:i w:val="false"/>
          <w:i w:val="false"/>
          <w:iCs w:val="false"/>
        </w:rPr>
      </w:pPr>
      <w:r>
        <w:rPr>
          <w:b w:val="false"/>
          <w:bCs w:val="false"/>
          <w:i w:val="false"/>
          <w:iCs w:val="false"/>
        </w:rPr>
      </w:r>
    </w:p>
    <w:p>
      <w:pPr>
        <w:pStyle w:val="BodyText"/>
        <w:numPr>
          <w:ilvl w:val="0"/>
          <w:numId w:val="5"/>
        </w:numPr>
        <w:spacing w:lineRule="auto" w:line="360"/>
        <w:rPr>
          <w:b w:val="false"/>
          <w:bCs w:val="false"/>
          <w:i w:val="false"/>
          <w:i w:val="false"/>
          <w:iCs w:val="false"/>
        </w:rPr>
      </w:pPr>
      <w:r>
        <w:rPr>
          <w:b w:val="false"/>
          <w:bCs w:val="false"/>
          <w:i w:val="false"/>
          <w:iCs w:val="false"/>
        </w:rPr>
        <w:t>Accordingly, making Market opening conditional, in any way, on the return to service of the first Pickering A unit, would add considerably to the uncertainty among developers, new entrants, and prospective investors in OPG assets.</w:t>
      </w:r>
    </w:p>
    <w:p>
      <w:pPr>
        <w:pStyle w:val="BodyText"/>
        <w:spacing w:lineRule="auto" w:line="360"/>
        <w:ind w:start="720" w:end="0"/>
        <w:rPr>
          <w:b w:val="false"/>
          <w:bCs w:val="false"/>
          <w:i w:val="false"/>
          <w:i w:val="false"/>
          <w:iCs w:val="false"/>
        </w:rPr>
      </w:pPr>
      <w:r>
        <w:rPr>
          <w:b w:val="false"/>
          <w:bCs w:val="false"/>
          <w:i w:val="false"/>
          <w:iCs w:val="false"/>
        </w:rPr>
      </w:r>
    </w:p>
    <w:p>
      <w:pPr>
        <w:pStyle w:val="BodyText"/>
        <w:numPr>
          <w:ilvl w:val="0"/>
          <w:numId w:val="5"/>
        </w:numPr>
        <w:spacing w:lineRule="auto" w:line="360"/>
        <w:rPr>
          <w:b w:val="false"/>
          <w:bCs w:val="false"/>
          <w:i w:val="false"/>
          <w:i w:val="false"/>
          <w:iCs w:val="false"/>
        </w:rPr>
      </w:pPr>
      <w:r>
        <w:rPr>
          <w:b w:val="false"/>
          <w:bCs w:val="false"/>
          <w:i w:val="false"/>
          <w:iCs w:val="false"/>
        </w:rPr>
        <w:t>Moreover, the return to service of the first Pickering A unit would have only a negligible impact on power prices in Ontario.  Enron’s comprehensive analysis of Ontario resources and prices indicates that the impact of the return of the first Pickering A unit on Ontario prices would be only 1 percent during Winter 2001-2002.</w:t>
      </w:r>
    </w:p>
    <w:p>
      <w:pPr>
        <w:pStyle w:val="Heading"/>
        <w:spacing w:lineRule="auto" w:line="360"/>
        <w:ind w:hanging="720" w:start="720" w:end="0"/>
        <w:jc w:val="both"/>
        <w:rPr>
          <w:b w:val="false"/>
          <w:bCs w:val="false"/>
          <w:i/>
          <w:i/>
          <w:iCs/>
          <w:sz w:val="22"/>
          <w:u w:val="none"/>
        </w:rPr>
      </w:pPr>
      <w:r>
        <w:rPr>
          <w:b w:val="false"/>
          <w:bCs w:val="false"/>
          <w:i/>
          <w:iCs/>
          <w:sz w:val="22"/>
          <w:u w:val="none"/>
        </w:rPr>
      </w:r>
    </w:p>
    <w:p>
      <w:pPr>
        <w:pStyle w:val="Heading"/>
        <w:spacing w:lineRule="auto" w:line="360"/>
        <w:ind w:hanging="720" w:start="720" w:end="0"/>
        <w:jc w:val="both"/>
        <w:rPr>
          <w:sz w:val="22"/>
          <w:u w:val="none"/>
        </w:rPr>
      </w:pPr>
      <w:r>
        <w:rPr>
          <w:sz w:val="22"/>
          <w:u w:val="none"/>
        </w:rPr>
      </w:r>
    </w:p>
    <w:p>
      <w:pPr>
        <w:pStyle w:val="Heading"/>
        <w:spacing w:lineRule="auto" w:line="360"/>
        <w:ind w:hanging="720" w:start="720" w:end="0"/>
        <w:jc w:val="both"/>
        <w:rPr>
          <w:sz w:val="22"/>
          <w:u w:val="none"/>
        </w:rPr>
      </w:pPr>
      <w:r>
        <w:rPr>
          <w:sz w:val="22"/>
          <w:u w:val="none"/>
        </w:rPr>
        <w:t>6.</w:t>
        <w:tab/>
        <w:t>Opening the Market in November 2001 will enhance OPG’s “decontrol” plans.</w:t>
      </w:r>
    </w:p>
    <w:p>
      <w:pPr>
        <w:pStyle w:val="Heading"/>
        <w:spacing w:lineRule="auto" w:line="360"/>
        <w:ind w:hanging="720" w:start="720" w:end="0"/>
        <w:jc w:val="both"/>
        <w:rPr>
          <w:b w:val="false"/>
          <w:bCs w:val="false"/>
          <w:sz w:val="22"/>
          <w:u w:val="none"/>
        </w:rPr>
      </w:pPr>
      <w:r>
        <w:rPr>
          <w:b w:val="false"/>
          <w:bCs w:val="false"/>
          <w:sz w:val="22"/>
          <w:u w:val="none"/>
        </w:rPr>
      </w:r>
    </w:p>
    <w:p>
      <w:pPr>
        <w:pStyle w:val="BodyText"/>
        <w:numPr>
          <w:ilvl w:val="0"/>
          <w:numId w:val="8"/>
        </w:numPr>
        <w:spacing w:lineRule="auto" w:line="360"/>
        <w:rPr>
          <w:b w:val="false"/>
          <w:bCs w:val="false"/>
          <w:i w:val="false"/>
          <w:i w:val="false"/>
          <w:iCs w:val="false"/>
        </w:rPr>
      </w:pPr>
      <w:r>
        <w:rPr>
          <w:b w:val="false"/>
          <w:bCs w:val="false"/>
          <w:i w:val="false"/>
          <w:iCs w:val="false"/>
        </w:rPr>
        <w:t>Some stakeholders are arguing that the Government should delay market opening until more of OPG’s generation assets have been divested or “decontrolled”.</w:t>
      </w:r>
    </w:p>
    <w:p>
      <w:pPr>
        <w:pStyle w:val="BodyText"/>
        <w:spacing w:lineRule="auto" w:line="360"/>
        <w:rPr>
          <w:b w:val="false"/>
          <w:bCs w:val="false"/>
          <w:i w:val="false"/>
          <w:i w:val="false"/>
          <w:iCs w:val="false"/>
        </w:rPr>
      </w:pPr>
      <w:r>
        <w:rPr>
          <w:b w:val="false"/>
          <w:bCs w:val="false"/>
          <w:i w:val="false"/>
          <w:iCs w:val="false"/>
        </w:rPr>
      </w:r>
    </w:p>
    <w:p>
      <w:pPr>
        <w:pStyle w:val="BodyText"/>
        <w:numPr>
          <w:ilvl w:val="0"/>
          <w:numId w:val="8"/>
        </w:numPr>
        <w:spacing w:lineRule="auto" w:line="360"/>
        <w:rPr>
          <w:b w:val="false"/>
          <w:bCs w:val="false"/>
          <w:i w:val="false"/>
          <w:i w:val="false"/>
          <w:iCs w:val="false"/>
        </w:rPr>
      </w:pPr>
      <w:r>
        <w:rPr>
          <w:b w:val="false"/>
          <w:bCs w:val="false"/>
          <w:i w:val="false"/>
          <w:iCs w:val="false"/>
        </w:rPr>
        <w:t>Enron strongly supports the divestiture/“decontrol” of OPG assets but sees no reason why Market opening should await the completion of the process recently initiated by OPG and its financial advisers.</w:t>
      </w:r>
    </w:p>
    <w:p>
      <w:pPr>
        <w:pStyle w:val="BodyText"/>
        <w:spacing w:lineRule="auto" w:line="360"/>
        <w:rPr>
          <w:b w:val="false"/>
          <w:bCs w:val="false"/>
          <w:i w:val="false"/>
          <w:i w:val="false"/>
          <w:iCs w:val="false"/>
        </w:rPr>
      </w:pPr>
      <w:r>
        <w:rPr>
          <w:b w:val="false"/>
          <w:bCs w:val="false"/>
          <w:i w:val="false"/>
          <w:iCs w:val="false"/>
        </w:rPr>
      </w:r>
    </w:p>
    <w:p>
      <w:pPr>
        <w:pStyle w:val="BodyText"/>
        <w:numPr>
          <w:ilvl w:val="0"/>
          <w:numId w:val="8"/>
        </w:numPr>
        <w:spacing w:lineRule="auto" w:line="360"/>
        <w:rPr>
          <w:b w:val="false"/>
          <w:bCs w:val="false"/>
          <w:i w:val="false"/>
          <w:i w:val="false"/>
          <w:iCs w:val="false"/>
        </w:rPr>
      </w:pPr>
      <w:r>
        <w:rPr>
          <w:b w:val="false"/>
          <w:bCs w:val="false"/>
          <w:i w:val="false"/>
          <w:iCs w:val="false"/>
        </w:rPr>
        <w:t>In our view, opening the Market as soon as possible (i.e. November 2001) will actually enhance OPG’s plans to decontrol the Lakeview, Lennox, Thunder Bay, and Atikokan units and the hydraulic stations on the Mississagi River.</w:t>
      </w:r>
    </w:p>
    <w:p>
      <w:pPr>
        <w:pStyle w:val="BodyText"/>
        <w:spacing w:lineRule="auto" w:line="360"/>
        <w:rPr>
          <w:b w:val="false"/>
          <w:bCs w:val="false"/>
          <w:i w:val="false"/>
          <w:i w:val="false"/>
          <w:iCs w:val="false"/>
        </w:rPr>
      </w:pPr>
      <w:r>
        <w:rPr>
          <w:b w:val="false"/>
          <w:bCs w:val="false"/>
          <w:i w:val="false"/>
          <w:iCs w:val="false"/>
        </w:rPr>
      </w:r>
    </w:p>
    <w:p>
      <w:pPr>
        <w:pStyle w:val="BodyText"/>
        <w:numPr>
          <w:ilvl w:val="0"/>
          <w:numId w:val="8"/>
        </w:numPr>
        <w:spacing w:lineRule="auto" w:line="360"/>
        <w:rPr>
          <w:b w:val="false"/>
          <w:bCs w:val="false"/>
          <w:i w:val="false"/>
          <w:i w:val="false"/>
          <w:iCs w:val="false"/>
        </w:rPr>
      </w:pPr>
      <w:r>
        <w:rPr>
          <w:b w:val="false"/>
          <w:bCs w:val="false"/>
          <w:i w:val="false"/>
          <w:iCs w:val="false"/>
        </w:rPr>
        <w:t>On the other hand, continued delay and uncertainty about market opening will negatively impact the valuation of those assets.</w:t>
      </w:r>
    </w:p>
    <w:p>
      <w:pPr>
        <w:pStyle w:val="BodyText"/>
        <w:spacing w:lineRule="auto" w:line="360"/>
        <w:rPr>
          <w:b w:val="false"/>
          <w:bCs w:val="false"/>
          <w:i w:val="false"/>
          <w:i w:val="false"/>
          <w:iCs w:val="false"/>
        </w:rPr>
      </w:pPr>
      <w:r>
        <w:rPr>
          <w:b w:val="false"/>
          <w:bCs w:val="false"/>
          <w:i w:val="false"/>
          <w:iCs w:val="false"/>
        </w:rPr>
      </w:r>
    </w:p>
    <w:p>
      <w:pPr>
        <w:pStyle w:val="BodyText"/>
        <w:numPr>
          <w:ilvl w:val="0"/>
          <w:numId w:val="8"/>
        </w:numPr>
        <w:spacing w:lineRule="auto" w:line="360"/>
        <w:rPr>
          <w:b w:val="false"/>
          <w:bCs w:val="false"/>
          <w:i w:val="false"/>
          <w:i w:val="false"/>
          <w:iCs w:val="false"/>
        </w:rPr>
      </w:pPr>
      <w:r>
        <w:rPr>
          <w:b w:val="false"/>
          <w:bCs w:val="false"/>
          <w:i w:val="false"/>
          <w:iCs w:val="false"/>
        </w:rPr>
        <w:t>In the face of continuing uncertainty and delay regarding the restructuring of the Ontario electricity sector, prospective buyers of those assets will either: a) stay away altogether; or b) discount the price that they would otherwise pay for those OPG assets.</w:t>
      </w:r>
    </w:p>
    <w:p>
      <w:pPr>
        <w:pStyle w:val="BodyText"/>
        <w:spacing w:lineRule="auto" w:line="360"/>
        <w:rPr>
          <w:b w:val="false"/>
          <w:bCs w:val="false"/>
          <w:i w:val="false"/>
          <w:i w:val="false"/>
          <w:iCs w:val="false"/>
        </w:rPr>
      </w:pPr>
      <w:r>
        <w:rPr>
          <w:b w:val="false"/>
          <w:bCs w:val="false"/>
          <w:i w:val="false"/>
          <w:iCs w:val="false"/>
        </w:rPr>
      </w:r>
    </w:p>
    <w:p>
      <w:pPr>
        <w:pStyle w:val="BodyText"/>
        <w:numPr>
          <w:ilvl w:val="0"/>
          <w:numId w:val="8"/>
        </w:numPr>
        <w:spacing w:lineRule="auto" w:line="360"/>
        <w:rPr>
          <w:b w:val="false"/>
          <w:bCs w:val="false"/>
          <w:i w:val="false"/>
          <w:i w:val="false"/>
          <w:iCs w:val="false"/>
        </w:rPr>
      </w:pPr>
      <w:r>
        <w:rPr>
          <w:b w:val="false"/>
          <w:bCs w:val="false"/>
          <w:i w:val="false"/>
          <w:iCs w:val="false"/>
        </w:rPr>
        <w:t>Opening the market as soon as possible (i.e. November 2001), will reduce the risk in respect of the expected cash flows from the plant, and, thereby, likely increase the price that prospective bidders would be prepared to pay.</w:t>
      </w:r>
    </w:p>
    <w:p>
      <w:pPr>
        <w:pStyle w:val="BodyText"/>
        <w:spacing w:lineRule="auto" w:line="360"/>
        <w:rPr>
          <w:b w:val="false"/>
          <w:bCs w:val="false"/>
          <w:i w:val="false"/>
          <w:i w:val="false"/>
          <w:iCs w:val="false"/>
        </w:rPr>
      </w:pPr>
      <w:r>
        <w:rPr>
          <w:b w:val="false"/>
          <w:bCs w:val="false"/>
          <w:i w:val="false"/>
          <w:iCs w:val="false"/>
        </w:rPr>
      </w:r>
    </w:p>
    <w:p>
      <w:pPr>
        <w:pStyle w:val="BodyText"/>
        <w:numPr>
          <w:ilvl w:val="0"/>
          <w:numId w:val="8"/>
        </w:numPr>
        <w:spacing w:lineRule="auto" w:line="360"/>
        <w:rPr>
          <w:b w:val="false"/>
          <w:bCs w:val="false"/>
          <w:i w:val="false"/>
          <w:i w:val="false"/>
          <w:iCs w:val="false"/>
        </w:rPr>
      </w:pPr>
      <w:r>
        <w:rPr>
          <w:b w:val="false"/>
          <w:bCs w:val="false"/>
          <w:i w:val="false"/>
          <w:iCs w:val="false"/>
        </w:rPr>
        <w:t>It is in the interests of the Government and all Ontario electricity consumers to ensure that OPG’s “decontrol” program yields the highest possible value.</w:t>
      </w:r>
    </w:p>
    <w:p>
      <w:pPr>
        <w:pStyle w:val="BodyText"/>
        <w:spacing w:lineRule="auto" w:line="360"/>
        <w:rPr>
          <w:b w:val="false"/>
          <w:bCs w:val="false"/>
          <w:i w:val="false"/>
          <w:i w:val="false"/>
          <w:iCs w:val="false"/>
        </w:rPr>
      </w:pPr>
      <w:r>
        <w:rPr>
          <w:b w:val="false"/>
          <w:bCs w:val="false"/>
          <w:i w:val="false"/>
          <w:iCs w:val="false"/>
        </w:rPr>
      </w:r>
    </w:p>
    <w:p>
      <w:pPr>
        <w:pStyle w:val="BodyText"/>
        <w:numPr>
          <w:ilvl w:val="0"/>
          <w:numId w:val="8"/>
        </w:numPr>
        <w:spacing w:lineRule="auto" w:line="360"/>
        <w:rPr>
          <w:b w:val="false"/>
          <w:bCs w:val="false"/>
          <w:i w:val="false"/>
          <w:i w:val="false"/>
          <w:iCs w:val="false"/>
        </w:rPr>
      </w:pPr>
      <w:r>
        <w:rPr>
          <w:b w:val="false"/>
          <w:bCs w:val="false"/>
          <w:i w:val="false"/>
          <w:iCs w:val="false"/>
        </w:rPr>
        <w:t>The best way to achieve the highest value is to attract as many potential buyers as possible and to reduce the uncertainty about the future of the Ontario electricity sector.</w:t>
      </w:r>
    </w:p>
    <w:p>
      <w:pPr>
        <w:pStyle w:val="BodyText"/>
        <w:spacing w:lineRule="auto" w:line="360"/>
        <w:rPr>
          <w:b w:val="false"/>
          <w:bCs w:val="false"/>
          <w:i w:val="false"/>
          <w:i w:val="false"/>
          <w:iCs w:val="false"/>
        </w:rPr>
      </w:pPr>
      <w:r>
        <w:rPr>
          <w:b w:val="false"/>
          <w:bCs w:val="false"/>
          <w:i w:val="false"/>
          <w:iCs w:val="false"/>
        </w:rPr>
      </w:r>
    </w:p>
    <w:p>
      <w:pPr>
        <w:pStyle w:val="BodyText"/>
        <w:numPr>
          <w:ilvl w:val="0"/>
          <w:numId w:val="8"/>
        </w:numPr>
        <w:spacing w:lineRule="auto" w:line="360"/>
        <w:rPr>
          <w:b w:val="false"/>
          <w:bCs w:val="false"/>
          <w:i w:val="false"/>
          <w:i w:val="false"/>
          <w:iCs w:val="false"/>
        </w:rPr>
      </w:pPr>
      <w:r>
        <w:rPr>
          <w:b w:val="false"/>
          <w:bCs w:val="false"/>
          <w:i w:val="false"/>
          <w:iCs w:val="false"/>
        </w:rPr>
        <w:t>The best way to attract interested parties and to reduce uncertainty is to open the Market as soon as possible (i.e. November 2001).</w:t>
      </w:r>
    </w:p>
    <w:p>
      <w:pPr>
        <w:pStyle w:val="BodyText"/>
        <w:spacing w:lineRule="auto" w:line="360"/>
        <w:rPr>
          <w:b w:val="false"/>
          <w:bCs w:val="false"/>
          <w:i w:val="false"/>
          <w:i w:val="false"/>
          <w:iCs w:val="false"/>
        </w:rPr>
      </w:pPr>
      <w:r>
        <w:rPr>
          <w:b w:val="false"/>
          <w:bCs w:val="false"/>
          <w:i w:val="false"/>
          <w:iCs w:val="false"/>
        </w:rPr>
      </w:r>
    </w:p>
    <w:p>
      <w:pPr>
        <w:pStyle w:val="BodyText"/>
        <w:numPr>
          <w:ilvl w:val="0"/>
          <w:numId w:val="8"/>
        </w:numPr>
        <w:spacing w:lineRule="auto" w:line="360"/>
        <w:rPr>
          <w:b w:val="false"/>
          <w:bCs w:val="false"/>
          <w:i w:val="false"/>
          <w:i w:val="false"/>
          <w:iCs w:val="false"/>
        </w:rPr>
      </w:pPr>
      <w:r>
        <w:rPr>
          <w:b w:val="false"/>
          <w:bCs w:val="false"/>
          <w:i w:val="false"/>
          <w:iCs w:val="false"/>
        </w:rPr>
        <w:t>In the eyes of many potential investors, May 2002 is not a credible market opening date/target.  The concern is that, by May 2002, we will be running up against election planning and that there will be many within the governing Progressive Conservative Party who will be pushing to delay market opening until after the next election.  The election would not normally be expected until 2003 but some speculate that it could come as early as Fall 2002.</w:t>
      </w:r>
    </w:p>
    <w:p>
      <w:pPr>
        <w:pStyle w:val="Heading"/>
        <w:spacing w:lineRule="auto" w:line="360"/>
        <w:ind w:hanging="720" w:start="720" w:end="0"/>
        <w:jc w:val="both"/>
        <w:rPr>
          <w:b w:val="false"/>
          <w:bCs w:val="false"/>
          <w:i/>
          <w:i/>
          <w:iCs/>
          <w:sz w:val="22"/>
          <w:u w:val="none"/>
        </w:rPr>
      </w:pPr>
      <w:r>
        <w:rPr>
          <w:b w:val="false"/>
          <w:bCs w:val="false"/>
          <w:i/>
          <w:iCs/>
          <w:sz w:val="22"/>
          <w:u w:val="none"/>
        </w:rPr>
      </w:r>
    </w:p>
    <w:p>
      <w:pPr>
        <w:pStyle w:val="Heading"/>
        <w:spacing w:lineRule="auto" w:line="360"/>
        <w:ind w:hanging="720" w:start="720" w:end="0"/>
        <w:jc w:val="both"/>
        <w:rPr>
          <w:b w:val="false"/>
          <w:bCs w:val="false"/>
          <w:sz w:val="22"/>
          <w:u w:val="none"/>
        </w:rPr>
      </w:pPr>
      <w:r>
        <w:rPr>
          <w:b w:val="false"/>
          <w:bCs w:val="false"/>
          <w:sz w:val="22"/>
          <w:u w:val="none"/>
        </w:rPr>
      </w:r>
    </w:p>
    <w:p>
      <w:pPr>
        <w:pStyle w:val="Heading"/>
        <w:spacing w:lineRule="auto" w:line="360"/>
        <w:ind w:hanging="720" w:start="720" w:end="0"/>
        <w:jc w:val="both"/>
        <w:rPr>
          <w:sz w:val="22"/>
          <w:u w:val="none"/>
        </w:rPr>
      </w:pPr>
      <w:r>
        <w:rPr>
          <w:sz w:val="22"/>
          <w:u w:val="none"/>
        </w:rPr>
        <w:t>7.</w:t>
        <w:tab/>
        <w:t>There are fundamental differences between California and Ontario.</w:t>
      </w:r>
    </w:p>
    <w:p>
      <w:pPr>
        <w:pStyle w:val="Heading"/>
        <w:spacing w:lineRule="auto" w:line="360"/>
        <w:ind w:hanging="720" w:start="720" w:end="0"/>
        <w:jc w:val="both"/>
        <w:rPr>
          <w:b w:val="false"/>
          <w:bCs w:val="false"/>
          <w:sz w:val="22"/>
          <w:u w:val="none"/>
        </w:rPr>
      </w:pPr>
      <w:r>
        <w:rPr>
          <w:b w:val="false"/>
          <w:bCs w:val="false"/>
          <w:sz w:val="22"/>
          <w:u w:val="none"/>
        </w:rPr>
      </w:r>
    </w:p>
    <w:p>
      <w:pPr>
        <w:pStyle w:val="BodyText"/>
        <w:numPr>
          <w:ilvl w:val="0"/>
          <w:numId w:val="9"/>
        </w:numPr>
        <w:tabs>
          <w:tab w:val="clear" w:pos="720"/>
          <w:tab w:val="left" w:pos="1080" w:leader="none"/>
        </w:tabs>
        <w:spacing w:lineRule="auto" w:line="360"/>
        <w:ind w:hanging="360" w:start="1080" w:end="0"/>
        <w:rPr>
          <w:b w:val="false"/>
          <w:bCs w:val="false"/>
          <w:i w:val="false"/>
          <w:i w:val="false"/>
          <w:iCs w:val="false"/>
        </w:rPr>
      </w:pPr>
      <w:r>
        <w:rPr>
          <w:b w:val="false"/>
          <w:bCs w:val="false"/>
          <w:i w:val="false"/>
          <w:iCs w:val="false"/>
        </w:rPr>
        <w:t>From Enron’s perspective, it is worthwhile highlighting three circumstances that make Ontario fundamentally different from California.</w:t>
      </w:r>
    </w:p>
    <w:p>
      <w:pPr>
        <w:pStyle w:val="BodyText"/>
        <w:spacing w:lineRule="auto" w:line="360"/>
        <w:ind w:start="720" w:end="0"/>
        <w:rPr>
          <w:b w:val="false"/>
          <w:bCs w:val="false"/>
          <w:i w:val="false"/>
          <w:i w:val="false"/>
          <w:iCs w:val="false"/>
        </w:rPr>
      </w:pPr>
      <w:r>
        <w:rPr>
          <w:b w:val="false"/>
          <w:bCs w:val="false"/>
          <w:i w:val="false"/>
          <w:iCs w:val="false"/>
        </w:rPr>
      </w:r>
    </w:p>
    <w:p>
      <w:pPr>
        <w:pStyle w:val="BodyText"/>
        <w:numPr>
          <w:ilvl w:val="0"/>
          <w:numId w:val="9"/>
        </w:numPr>
        <w:tabs>
          <w:tab w:val="clear" w:pos="720"/>
          <w:tab w:val="left" w:pos="1080" w:leader="none"/>
        </w:tabs>
        <w:spacing w:lineRule="auto" w:line="360"/>
        <w:ind w:hanging="360" w:start="1080" w:end="0"/>
        <w:rPr>
          <w:b w:val="false"/>
          <w:bCs w:val="false"/>
          <w:i w:val="false"/>
          <w:i w:val="false"/>
          <w:iCs w:val="false"/>
        </w:rPr>
      </w:pPr>
      <w:r>
        <w:rPr>
          <w:b w:val="false"/>
          <w:bCs w:val="false"/>
          <w:i w:val="false"/>
          <w:iCs w:val="false"/>
          <w:u w:val="single"/>
        </w:rPr>
        <w:t>First</w:t>
      </w:r>
      <w:r>
        <w:rPr>
          <w:b w:val="false"/>
          <w:bCs w:val="false"/>
          <w:i w:val="false"/>
          <w:iCs w:val="false"/>
        </w:rPr>
        <w:t xml:space="preserve">, is the demand/supply balance – California has </w:t>
      </w:r>
      <w:r>
        <w:rPr>
          <w:b w:val="false"/>
          <w:bCs w:val="false"/>
          <w:i w:val="false"/>
          <w:iCs w:val="false"/>
          <w:u w:val="single"/>
        </w:rPr>
        <w:t>no</w:t>
      </w:r>
      <w:r>
        <w:rPr>
          <w:b w:val="false"/>
          <w:bCs w:val="false"/>
          <w:i w:val="false"/>
          <w:iCs w:val="false"/>
        </w:rPr>
        <w:t xml:space="preserve"> reserve margins, hence the periodic rolling blackouts Californians are suffering through:</w:t>
      </w:r>
    </w:p>
    <w:p>
      <w:pPr>
        <w:pStyle w:val="BodyText"/>
        <w:spacing w:lineRule="auto" w:line="360"/>
        <w:rPr>
          <w:b w:val="false"/>
          <w:bCs w:val="false"/>
          <w:i w:val="false"/>
          <w:i w:val="false"/>
          <w:iCs w:val="false"/>
        </w:rPr>
      </w:pPr>
      <w:r>
        <w:rPr>
          <w:b w:val="false"/>
          <w:bCs w:val="false"/>
          <w:i w:val="false"/>
          <w:iCs w:val="false"/>
        </w:rPr>
      </w:r>
    </w:p>
    <w:p>
      <w:pPr>
        <w:pStyle w:val="BodyText"/>
        <w:numPr>
          <w:ilvl w:val="1"/>
          <w:numId w:val="9"/>
        </w:numPr>
        <w:spacing w:lineRule="auto" w:line="360"/>
        <w:rPr>
          <w:b w:val="false"/>
          <w:bCs w:val="false"/>
          <w:i w:val="false"/>
          <w:i w:val="false"/>
          <w:iCs w:val="false"/>
        </w:rPr>
      </w:pPr>
      <w:r>
        <w:rPr>
          <w:b w:val="false"/>
          <w:bCs w:val="false"/>
          <w:i w:val="false"/>
          <w:iCs w:val="false"/>
        </w:rPr>
        <w:t>The reserve margin in Ontario is far better; the IMO has indicated that Ontario’s forecasted margins meet the applicable adequacy standards.</w:t>
      </w:r>
    </w:p>
    <w:p>
      <w:pPr>
        <w:pStyle w:val="BodyText"/>
        <w:spacing w:lineRule="auto" w:line="360"/>
        <w:rPr>
          <w:b w:val="false"/>
          <w:bCs w:val="false"/>
          <w:i w:val="false"/>
          <w:i w:val="false"/>
          <w:iCs w:val="false"/>
        </w:rPr>
      </w:pPr>
      <w:r>
        <w:rPr>
          <w:b w:val="false"/>
          <w:bCs w:val="false"/>
          <w:i w:val="false"/>
          <w:iCs w:val="false"/>
        </w:rPr>
      </w:r>
    </w:p>
    <w:p>
      <w:pPr>
        <w:pStyle w:val="BodyText"/>
        <w:numPr>
          <w:ilvl w:val="1"/>
          <w:numId w:val="9"/>
        </w:numPr>
        <w:spacing w:lineRule="auto" w:line="360"/>
        <w:rPr>
          <w:b w:val="false"/>
          <w:bCs w:val="false"/>
          <w:i w:val="false"/>
          <w:i w:val="false"/>
          <w:iCs w:val="false"/>
        </w:rPr>
      </w:pPr>
      <w:r>
        <w:rPr>
          <w:b w:val="false"/>
          <w:bCs w:val="false"/>
          <w:i w:val="false"/>
          <w:iCs w:val="false"/>
        </w:rPr>
        <w:t>The IMO’s assessment is consistent with Enron’s own analysis – Enron estimates that over the Winter 2001-2002, Ontario will have reserve margins in the range of 15 – 17%.</w:t>
      </w:r>
    </w:p>
    <w:p>
      <w:pPr>
        <w:pStyle w:val="BodyText"/>
        <w:spacing w:lineRule="auto" w:line="360"/>
        <w:rPr>
          <w:b w:val="false"/>
          <w:bCs w:val="false"/>
          <w:i w:val="false"/>
          <w:i w:val="false"/>
          <w:iCs w:val="false"/>
        </w:rPr>
      </w:pPr>
      <w:r>
        <w:rPr>
          <w:b w:val="false"/>
          <w:bCs w:val="false"/>
          <w:i w:val="false"/>
          <w:iCs w:val="false"/>
        </w:rPr>
      </w:r>
    </w:p>
    <w:p>
      <w:pPr>
        <w:pStyle w:val="BodyText"/>
        <w:numPr>
          <w:ilvl w:val="0"/>
          <w:numId w:val="9"/>
        </w:numPr>
        <w:tabs>
          <w:tab w:val="clear" w:pos="720"/>
          <w:tab w:val="left" w:pos="1080" w:leader="none"/>
        </w:tabs>
        <w:spacing w:lineRule="auto" w:line="360"/>
        <w:ind w:hanging="360" w:start="1080" w:end="0"/>
        <w:rPr>
          <w:b w:val="false"/>
          <w:bCs w:val="false"/>
          <w:i w:val="false"/>
          <w:i w:val="false"/>
          <w:iCs w:val="false"/>
        </w:rPr>
      </w:pPr>
      <w:r>
        <w:rPr>
          <w:b w:val="false"/>
          <w:bCs w:val="false"/>
          <w:i w:val="false"/>
          <w:iCs w:val="false"/>
          <w:u w:val="single"/>
        </w:rPr>
        <w:t>Second</w:t>
      </w:r>
      <w:r>
        <w:rPr>
          <w:b w:val="false"/>
          <w:bCs w:val="false"/>
          <w:i w:val="false"/>
          <w:iCs w:val="false"/>
        </w:rPr>
        <w:t>, there is greater scope in Ontario for demand-side response to price signals:</w:t>
      </w:r>
    </w:p>
    <w:p>
      <w:pPr>
        <w:pStyle w:val="BodyText"/>
        <w:spacing w:lineRule="auto" w:line="360"/>
        <w:ind w:start="720" w:end="0"/>
        <w:rPr>
          <w:b w:val="false"/>
          <w:bCs w:val="false"/>
          <w:i w:val="false"/>
          <w:i w:val="false"/>
          <w:iCs w:val="false"/>
        </w:rPr>
      </w:pPr>
      <w:r>
        <w:rPr>
          <w:b w:val="false"/>
          <w:bCs w:val="false"/>
          <w:i w:val="false"/>
          <w:iCs w:val="false"/>
        </w:rPr>
      </w:r>
    </w:p>
    <w:p>
      <w:pPr>
        <w:pStyle w:val="BodyText"/>
        <w:numPr>
          <w:ilvl w:val="1"/>
          <w:numId w:val="9"/>
        </w:numPr>
        <w:spacing w:lineRule="auto" w:line="360"/>
        <w:rPr>
          <w:b w:val="false"/>
          <w:bCs w:val="false"/>
          <w:i w:val="false"/>
          <w:i w:val="false"/>
          <w:iCs w:val="false"/>
        </w:rPr>
      </w:pPr>
      <w:r>
        <w:rPr>
          <w:b w:val="false"/>
          <w:bCs w:val="false"/>
          <w:i w:val="false"/>
          <w:iCs w:val="false"/>
        </w:rPr>
        <w:t>In California, the regulator capped retail prices charged by the incumbent utilities at levels significantly below the prevailing wholesale market prices; accordingly, customers did not – and still do not – see the true cost of power they are consuming.</w:t>
      </w:r>
    </w:p>
    <w:p>
      <w:pPr>
        <w:pStyle w:val="BodyText"/>
        <w:spacing w:lineRule="auto" w:line="360"/>
        <w:ind w:start="1080" w:end="0"/>
        <w:rPr>
          <w:b w:val="false"/>
          <w:bCs w:val="false"/>
          <w:i w:val="false"/>
          <w:i w:val="false"/>
          <w:iCs w:val="false"/>
        </w:rPr>
      </w:pPr>
      <w:r>
        <w:rPr>
          <w:b w:val="false"/>
          <w:bCs w:val="false"/>
          <w:i w:val="false"/>
          <w:iCs w:val="false"/>
        </w:rPr>
      </w:r>
    </w:p>
    <w:p>
      <w:pPr>
        <w:pStyle w:val="BodyText"/>
        <w:numPr>
          <w:ilvl w:val="1"/>
          <w:numId w:val="9"/>
        </w:numPr>
        <w:spacing w:lineRule="auto" w:line="360"/>
        <w:rPr>
          <w:b w:val="false"/>
          <w:bCs w:val="false"/>
          <w:i w:val="false"/>
          <w:i w:val="false"/>
          <w:iCs w:val="false"/>
        </w:rPr>
      </w:pPr>
      <w:r>
        <w:rPr>
          <w:b w:val="false"/>
          <w:bCs w:val="false"/>
          <w:i w:val="false"/>
          <w:iCs w:val="false"/>
        </w:rPr>
        <w:t>In Ontario, there is far greater scope for consumers to respond to and reduce consumption in response to spot price signals.</w:t>
      </w:r>
    </w:p>
    <w:p>
      <w:pPr>
        <w:pStyle w:val="BodyText"/>
        <w:spacing w:lineRule="auto" w:line="360"/>
        <w:rPr>
          <w:b w:val="false"/>
          <w:bCs w:val="false"/>
          <w:i w:val="false"/>
          <w:i w:val="false"/>
          <w:iCs w:val="false"/>
        </w:rPr>
      </w:pPr>
      <w:r>
        <w:rPr>
          <w:b w:val="false"/>
          <w:bCs w:val="false"/>
          <w:i w:val="false"/>
          <w:iCs w:val="false"/>
        </w:rPr>
      </w:r>
    </w:p>
    <w:p>
      <w:pPr>
        <w:pStyle w:val="BodyText"/>
        <w:numPr>
          <w:ilvl w:val="1"/>
          <w:numId w:val="9"/>
        </w:numPr>
        <w:spacing w:lineRule="auto" w:line="360"/>
        <w:rPr>
          <w:b w:val="false"/>
          <w:bCs w:val="false"/>
          <w:i w:val="false"/>
          <w:i w:val="false"/>
          <w:iCs w:val="false"/>
        </w:rPr>
      </w:pPr>
      <w:r>
        <w:rPr>
          <w:b w:val="false"/>
          <w:bCs w:val="false"/>
          <w:i w:val="false"/>
          <w:iCs w:val="false"/>
        </w:rPr>
        <w:t>With an open Ontario Market with real time spot pricing, a relatively small amount of demand-side response by large industrial and commercial customers will serve to reduce peak demand and, as a consequence, mitigate peak prices.</w:t>
      </w:r>
    </w:p>
    <w:p>
      <w:pPr>
        <w:pStyle w:val="BodyText"/>
        <w:spacing w:lineRule="auto" w:line="360"/>
        <w:rPr>
          <w:b w:val="false"/>
          <w:bCs w:val="false"/>
          <w:i w:val="false"/>
          <w:i w:val="false"/>
          <w:iCs w:val="false"/>
        </w:rPr>
      </w:pPr>
      <w:r>
        <w:rPr>
          <w:b w:val="false"/>
          <w:bCs w:val="false"/>
          <w:i w:val="false"/>
          <w:iCs w:val="false"/>
        </w:rPr>
      </w:r>
    </w:p>
    <w:p>
      <w:pPr>
        <w:pStyle w:val="BodyText"/>
        <w:numPr>
          <w:ilvl w:val="1"/>
          <w:numId w:val="9"/>
        </w:numPr>
        <w:spacing w:lineRule="auto" w:line="360"/>
        <w:rPr>
          <w:b w:val="false"/>
          <w:bCs w:val="false"/>
          <w:i w:val="false"/>
          <w:i w:val="false"/>
          <w:iCs w:val="false"/>
        </w:rPr>
      </w:pPr>
      <w:r>
        <w:rPr>
          <w:b w:val="false"/>
          <w:bCs w:val="false"/>
          <w:i w:val="false"/>
          <w:iCs w:val="false"/>
        </w:rPr>
        <w:t>This point is well illustrated by a recent study by the Electric Power Research Institute that estimated that last year (2000) in the California Market, a 2.5% reduction in load could have reduced wholesale prices by about 24%.</w:t>
      </w:r>
    </w:p>
    <w:p>
      <w:pPr>
        <w:pStyle w:val="BodyText"/>
        <w:spacing w:lineRule="auto" w:line="360"/>
        <w:rPr>
          <w:b w:val="false"/>
          <w:bCs w:val="false"/>
          <w:i w:val="false"/>
          <w:i w:val="false"/>
          <w:iCs w:val="false"/>
        </w:rPr>
      </w:pPr>
      <w:r>
        <w:rPr>
          <w:b w:val="false"/>
          <w:bCs w:val="false"/>
          <w:i w:val="false"/>
          <w:iCs w:val="false"/>
        </w:rPr>
      </w:r>
    </w:p>
    <w:p>
      <w:pPr>
        <w:pStyle w:val="BodyText"/>
        <w:numPr>
          <w:ilvl w:val="2"/>
          <w:numId w:val="9"/>
        </w:numPr>
        <w:tabs>
          <w:tab w:val="clear" w:pos="720"/>
        </w:tabs>
        <w:spacing w:lineRule="auto" w:line="360"/>
        <w:ind w:hanging="360" w:start="1080" w:end="0"/>
        <w:rPr>
          <w:b w:val="false"/>
          <w:bCs w:val="false"/>
          <w:i w:val="false"/>
          <w:i w:val="false"/>
          <w:iCs w:val="false"/>
        </w:rPr>
      </w:pPr>
      <w:r>
        <w:rPr>
          <w:b w:val="false"/>
          <w:bCs w:val="false"/>
          <w:i w:val="false"/>
          <w:iCs w:val="false"/>
          <w:u w:val="single"/>
        </w:rPr>
        <w:t>Third</w:t>
      </w:r>
      <w:r>
        <w:rPr>
          <w:b w:val="false"/>
          <w:bCs w:val="false"/>
          <w:i w:val="false"/>
          <w:iCs w:val="false"/>
        </w:rPr>
        <w:t>, Ontario has adopted a range of mechanisms to provide price protection to end-use consumers, but have done so in a way that does not adversely impact on the financial position of the distributors or the Province:</w:t>
      </w:r>
    </w:p>
    <w:p>
      <w:pPr>
        <w:pStyle w:val="BodyText"/>
        <w:spacing w:lineRule="auto" w:line="360"/>
        <w:ind w:start="720" w:end="0"/>
        <w:rPr>
          <w:b w:val="false"/>
          <w:bCs w:val="false"/>
          <w:i w:val="false"/>
          <w:i w:val="false"/>
          <w:iCs w:val="false"/>
        </w:rPr>
      </w:pPr>
      <w:r>
        <w:rPr>
          <w:b w:val="false"/>
          <w:bCs w:val="false"/>
          <w:i w:val="false"/>
          <w:iCs w:val="false"/>
        </w:rPr>
      </w:r>
    </w:p>
    <w:p>
      <w:pPr>
        <w:pStyle w:val="BodyText"/>
        <w:numPr>
          <w:ilvl w:val="1"/>
          <w:numId w:val="9"/>
        </w:numPr>
        <w:spacing w:lineRule="auto" w:line="360"/>
        <w:rPr>
          <w:b w:val="false"/>
          <w:bCs w:val="false"/>
          <w:i w:val="false"/>
          <w:i w:val="false"/>
          <w:iCs w:val="false"/>
        </w:rPr>
      </w:pPr>
      <w:r>
        <w:rPr>
          <w:b w:val="false"/>
          <w:bCs w:val="false"/>
          <w:i w:val="false"/>
          <w:iCs w:val="false"/>
        </w:rPr>
        <w:t>In Ontario, all consumers are entitled to the rebate payable by OPG under the Market Power Mitigation Agreement.</w:t>
      </w:r>
    </w:p>
    <w:p>
      <w:pPr>
        <w:pStyle w:val="BodyText"/>
        <w:spacing w:lineRule="auto" w:line="360"/>
        <w:ind w:start="1080" w:end="0"/>
        <w:rPr>
          <w:b w:val="false"/>
          <w:bCs w:val="false"/>
          <w:i w:val="false"/>
          <w:i w:val="false"/>
          <w:iCs w:val="false"/>
        </w:rPr>
      </w:pPr>
      <w:r>
        <w:rPr>
          <w:b w:val="false"/>
          <w:bCs w:val="false"/>
          <w:i w:val="false"/>
          <w:iCs w:val="false"/>
        </w:rPr>
      </w:r>
    </w:p>
    <w:p>
      <w:pPr>
        <w:pStyle w:val="BodyText"/>
        <w:numPr>
          <w:ilvl w:val="1"/>
          <w:numId w:val="9"/>
        </w:numPr>
        <w:spacing w:lineRule="auto" w:line="360"/>
        <w:rPr>
          <w:b w:val="false"/>
          <w:bCs w:val="false"/>
          <w:i w:val="false"/>
          <w:i w:val="false"/>
          <w:iCs w:val="false"/>
        </w:rPr>
      </w:pPr>
      <w:r>
        <w:rPr>
          <w:b w:val="false"/>
          <w:bCs w:val="false"/>
          <w:i w:val="false"/>
          <w:iCs w:val="false"/>
        </w:rPr>
        <w:t>Standard supply service offered by distributors to those customers who don’t enroll with retailers will be priced in a fashion that “smooths” out price volatility over the year.</w:t>
      </w:r>
    </w:p>
    <w:p>
      <w:pPr>
        <w:pStyle w:val="BodyText"/>
        <w:spacing w:lineRule="auto" w:line="360"/>
        <w:rPr>
          <w:b w:val="false"/>
          <w:bCs w:val="false"/>
          <w:i w:val="false"/>
          <w:i w:val="false"/>
          <w:iCs w:val="false"/>
        </w:rPr>
      </w:pPr>
      <w:r>
        <w:rPr>
          <w:b w:val="false"/>
          <w:bCs w:val="false"/>
          <w:i w:val="false"/>
          <w:iCs w:val="false"/>
        </w:rPr>
      </w:r>
    </w:p>
    <w:p>
      <w:pPr>
        <w:pStyle w:val="BodyText"/>
        <w:numPr>
          <w:ilvl w:val="1"/>
          <w:numId w:val="9"/>
        </w:numPr>
        <w:spacing w:lineRule="auto" w:line="360"/>
        <w:rPr>
          <w:b w:val="false"/>
          <w:bCs w:val="false"/>
          <w:i w:val="false"/>
          <w:i w:val="false"/>
          <w:iCs w:val="false"/>
        </w:rPr>
      </w:pPr>
      <w:r>
        <w:rPr>
          <w:b w:val="false"/>
          <w:bCs w:val="false"/>
          <w:i w:val="false"/>
          <w:iCs w:val="false"/>
        </w:rPr>
        <w:t>Many large industrial customers will, for several years after the Market opens, be entitled to continue receiving power from OPG at preferential “transitional rates” in respect of part of their demand.</w:t>
      </w:r>
    </w:p>
    <w:p>
      <w:pPr>
        <w:pStyle w:val="BodyText"/>
        <w:spacing w:lineRule="auto" w:line="360"/>
        <w:rPr>
          <w:b w:val="false"/>
          <w:bCs w:val="false"/>
          <w:i w:val="false"/>
          <w:i w:val="false"/>
          <w:iCs w:val="false"/>
        </w:rPr>
      </w:pPr>
      <w:r>
        <w:rPr>
          <w:b w:val="false"/>
          <w:bCs w:val="false"/>
          <w:i w:val="false"/>
          <w:iCs w:val="false"/>
        </w:rPr>
      </w:r>
    </w:p>
    <w:p>
      <w:pPr>
        <w:pStyle w:val="BodyText"/>
        <w:numPr>
          <w:ilvl w:val="1"/>
          <w:numId w:val="9"/>
        </w:numPr>
        <w:spacing w:lineRule="auto" w:line="360"/>
        <w:rPr>
          <w:b w:val="false"/>
          <w:bCs w:val="false"/>
          <w:i w:val="false"/>
          <w:i w:val="false"/>
          <w:iCs w:val="false"/>
        </w:rPr>
      </w:pPr>
      <w:r>
        <w:rPr>
          <w:b w:val="false"/>
          <w:bCs w:val="false"/>
          <w:i w:val="false"/>
          <w:iCs w:val="false"/>
        </w:rPr>
        <w:t>However, none of these mechanisms expose the distributors or the Province financially:  the distributors are allowed to recover over time all their wholesale power costs; the cost of the MPMA rebate and the “transitional rates” subsidy is absorbed by OPG.</w:t>
      </w:r>
    </w:p>
    <w:p>
      <w:pPr>
        <w:pStyle w:val="BodyText"/>
        <w:spacing w:lineRule="auto" w:line="360"/>
        <w:rPr>
          <w:b w:val="false"/>
          <w:bCs w:val="false"/>
          <w:i w:val="false"/>
          <w:i w:val="false"/>
          <w:iCs w:val="false"/>
        </w:rPr>
      </w:pPr>
      <w:r>
        <w:rPr>
          <w:b w:val="false"/>
          <w:bCs w:val="false"/>
          <w:i w:val="false"/>
          <w:iCs w:val="false"/>
        </w:rPr>
      </w:r>
    </w:p>
    <w:p>
      <w:pPr>
        <w:pStyle w:val="BodyText"/>
        <w:numPr>
          <w:ilvl w:val="1"/>
          <w:numId w:val="9"/>
        </w:numPr>
        <w:spacing w:lineRule="auto" w:line="360"/>
        <w:rPr>
          <w:b w:val="false"/>
          <w:bCs w:val="false"/>
          <w:i w:val="false"/>
          <w:i w:val="false"/>
          <w:iCs w:val="false"/>
        </w:rPr>
      </w:pPr>
      <w:r>
        <w:rPr>
          <w:b w:val="false"/>
          <w:bCs w:val="false"/>
          <w:i w:val="false"/>
          <w:iCs w:val="false"/>
        </w:rPr>
        <w:t>By comparison, in California, the retail price caps imposed on distributors did not allow distributors to recover their wholesale power costs.  In other words, price “stability” for customers was achieved at the cost of driving the distributors to insolvency and now adversely impacting the financial position of the State itself.</w:t>
      </w:r>
    </w:p>
    <w:p>
      <w:pPr>
        <w:pStyle w:val="BodyText"/>
        <w:spacing w:lineRule="auto" w:line="360"/>
        <w:rPr>
          <w:b w:val="false"/>
          <w:bCs w:val="false"/>
          <w:i w:val="false"/>
          <w:i w:val="false"/>
          <w:iCs w:val="false"/>
        </w:rPr>
      </w:pPr>
      <w:r>
        <w:rPr>
          <w:b w:val="false"/>
          <w:bCs w:val="false"/>
          <w:i w:val="false"/>
          <w:iCs w:val="false"/>
        </w:rPr>
      </w:r>
    </w:p>
    <w:p>
      <w:pPr>
        <w:pStyle w:val="BodyText"/>
        <w:numPr>
          <w:ilvl w:val="1"/>
          <w:numId w:val="9"/>
        </w:numPr>
        <w:spacing w:lineRule="auto" w:line="360"/>
        <w:rPr>
          <w:b w:val="false"/>
          <w:bCs w:val="false"/>
          <w:i w:val="false"/>
          <w:i w:val="false"/>
          <w:iCs w:val="false"/>
        </w:rPr>
      </w:pPr>
      <w:r>
        <w:rPr>
          <w:b w:val="false"/>
          <w:bCs w:val="false"/>
          <w:i w:val="false"/>
          <w:iCs w:val="false"/>
        </w:rPr>
        <w:t>There is no prospect of this happening in Ontario.</w:t>
      </w:r>
    </w:p>
    <w:p>
      <w:pPr>
        <w:pStyle w:val="BodyText"/>
        <w:spacing w:lineRule="auto" w:line="360"/>
        <w:rPr>
          <w:b w:val="false"/>
          <w:bCs w:val="false"/>
          <w:i w:val="false"/>
          <w:i w:val="false"/>
          <w:iCs w:val="false"/>
        </w:rPr>
      </w:pPr>
      <w:r>
        <w:rPr>
          <w:b w:val="false"/>
          <w:bCs w:val="false"/>
          <w:i w:val="false"/>
          <w:iCs w:val="false"/>
        </w:rPr>
      </w:r>
    </w:p>
    <w:p>
      <w:pPr>
        <w:pStyle w:val="BodyText"/>
        <w:spacing w:lineRule="auto" w:line="360"/>
        <w:rPr>
          <w:i w:val="false"/>
          <w:i w:val="false"/>
          <w:iCs w:val="false"/>
        </w:rPr>
      </w:pPr>
      <w:r>
        <w:rPr>
          <w:i w:val="false"/>
          <w:iCs w:val="false"/>
        </w:rPr>
        <w:t>8.</w:t>
        <w:tab/>
        <w:t>New York City</w:t>
      </w:r>
    </w:p>
    <w:p>
      <w:pPr>
        <w:pStyle w:val="BodyText"/>
        <w:spacing w:lineRule="auto" w:line="360"/>
        <w:rPr>
          <w:b w:val="false"/>
          <w:bCs w:val="false"/>
          <w:i w:val="false"/>
          <w:i w:val="false"/>
          <w:iCs w:val="false"/>
        </w:rPr>
      </w:pPr>
      <w:r>
        <w:rPr>
          <w:b w:val="false"/>
          <w:bCs w:val="false"/>
          <w:i w:val="false"/>
          <w:iCs w:val="false"/>
        </w:rPr>
      </w:r>
    </w:p>
    <w:p>
      <w:pPr>
        <w:pStyle w:val="BodyText"/>
        <w:spacing w:lineRule="auto" w:line="360"/>
        <w:rPr>
          <w:b w:val="false"/>
          <w:bCs w:val="false"/>
          <w:i w:val="false"/>
          <w:i w:val="false"/>
          <w:iCs w:val="false"/>
        </w:rPr>
      </w:pPr>
      <w:r>
        <w:rPr>
          <w:b w:val="false"/>
          <w:bCs w:val="false"/>
          <w:i w:val="false"/>
          <w:iCs w:val="false"/>
        </w:rPr>
        <w:tab/>
        <w:t>[to be completed]</w:t>
      </w:r>
    </w:p>
    <w:p>
      <w:pPr>
        <w:pStyle w:val="BodyText"/>
        <w:spacing w:lineRule="auto" w:line="360"/>
        <w:rPr>
          <w:b w:val="false"/>
          <w:bCs w:val="false"/>
          <w:i w:val="false"/>
          <w:i w:val="false"/>
          <w:iCs w:val="false"/>
        </w:rPr>
      </w:pPr>
      <w:r>
        <w:rPr>
          <w:b w:val="false"/>
          <w:bCs w:val="false"/>
          <w:i w:val="false"/>
          <w:iCs w:val="false"/>
        </w:rPr>
      </w:r>
    </w:p>
    <w:p>
      <w:pPr>
        <w:pStyle w:val="BodyText"/>
        <w:spacing w:lineRule="auto" w:line="360"/>
        <w:rPr>
          <w:b w:val="false"/>
          <w:bCs w:val="false"/>
          <w:i w:val="false"/>
          <w:i w:val="false"/>
          <w:iCs w:val="false"/>
        </w:rPr>
      </w:pPr>
      <w:r>
        <w:rPr>
          <w:b w:val="false"/>
          <w:bCs w:val="false"/>
          <w:i w:val="false"/>
          <w:iCs w:val="false"/>
        </w:rPr>
      </w:r>
    </w:p>
    <w:p>
      <w:pPr>
        <w:pStyle w:val="BodyText"/>
        <w:spacing w:lineRule="auto" w:line="360"/>
        <w:rPr>
          <w:i w:val="false"/>
          <w:i w:val="false"/>
          <w:iCs w:val="false"/>
        </w:rPr>
      </w:pPr>
      <w:r>
        <w:rPr>
          <w:i w:val="false"/>
          <w:iCs w:val="false"/>
        </w:rPr>
        <w:t>9.</w:t>
        <w:tab/>
        <w:t>What can Enron do to help the Government move matters forward?</w:t>
      </w:r>
    </w:p>
    <w:p>
      <w:pPr>
        <w:pStyle w:val="BodyText"/>
        <w:spacing w:lineRule="auto" w:line="360"/>
        <w:rPr>
          <w:b w:val="false"/>
          <w:bCs w:val="false"/>
          <w:i w:val="false"/>
          <w:i w:val="false"/>
          <w:iCs w:val="false"/>
        </w:rPr>
      </w:pPr>
      <w:r>
        <w:rPr>
          <w:b w:val="false"/>
          <w:bCs w:val="false"/>
          <w:i w:val="false"/>
          <w:iCs w:val="false"/>
        </w:rPr>
      </w:r>
    </w:p>
    <w:p>
      <w:pPr>
        <w:pStyle w:val="BodyText"/>
        <w:numPr>
          <w:ilvl w:val="0"/>
          <w:numId w:val="3"/>
        </w:numPr>
        <w:tabs>
          <w:tab w:val="clear" w:pos="720"/>
          <w:tab w:val="left" w:pos="1080" w:leader="none"/>
        </w:tabs>
        <w:spacing w:lineRule="auto" w:line="360"/>
        <w:ind w:hanging="360" w:start="1080" w:end="0"/>
        <w:rPr>
          <w:b w:val="false"/>
          <w:bCs w:val="false"/>
          <w:i w:val="false"/>
          <w:i w:val="false"/>
          <w:iCs w:val="false"/>
        </w:rPr>
      </w:pPr>
      <w:r>
        <w:rPr>
          <w:b w:val="false"/>
          <w:bCs w:val="false"/>
          <w:i w:val="false"/>
          <w:iCs w:val="false"/>
        </w:rPr>
        <w:t>We are prepared to support and assist the Government in the effort to achieve an open market this year.</w:t>
      </w:r>
    </w:p>
    <w:p>
      <w:pPr>
        <w:pStyle w:val="BodyText"/>
        <w:spacing w:lineRule="auto" w:line="360"/>
        <w:ind w:start="720" w:end="0"/>
        <w:rPr>
          <w:b w:val="false"/>
          <w:bCs w:val="false"/>
          <w:i w:val="false"/>
          <w:i w:val="false"/>
          <w:iCs w:val="false"/>
        </w:rPr>
      </w:pPr>
      <w:r>
        <w:rPr>
          <w:b w:val="false"/>
          <w:bCs w:val="false"/>
          <w:i w:val="false"/>
          <w:iCs w:val="false"/>
        </w:rPr>
      </w:r>
    </w:p>
    <w:p>
      <w:pPr>
        <w:pStyle w:val="BodyText"/>
        <w:numPr>
          <w:ilvl w:val="0"/>
          <w:numId w:val="3"/>
        </w:numPr>
        <w:tabs>
          <w:tab w:val="clear" w:pos="720"/>
          <w:tab w:val="left" w:pos="1080" w:leader="none"/>
        </w:tabs>
        <w:spacing w:lineRule="auto" w:line="360"/>
        <w:ind w:hanging="360" w:start="1080" w:end="0"/>
        <w:rPr>
          <w:b w:val="false"/>
          <w:bCs w:val="false"/>
          <w:i w:val="false"/>
          <w:i w:val="false"/>
          <w:iCs w:val="false"/>
        </w:rPr>
      </w:pPr>
      <w:r>
        <w:rPr>
          <w:b w:val="false"/>
          <w:bCs w:val="false"/>
          <w:i w:val="false"/>
          <w:iCs w:val="false"/>
        </w:rPr>
        <w:t>How can we help?</w:t>
      </w:r>
    </w:p>
    <w:p>
      <w:pPr>
        <w:pStyle w:val="BodyText"/>
        <w:spacing w:lineRule="auto" w:line="360"/>
        <w:rPr>
          <w:b w:val="false"/>
          <w:bCs w:val="false"/>
          <w:i w:val="false"/>
          <w:i w:val="false"/>
          <w:iCs w:val="false"/>
        </w:rPr>
      </w:pPr>
      <w:r>
        <w:rPr>
          <w:b w:val="false"/>
          <w:bCs w:val="false"/>
          <w:i w:val="false"/>
          <w:iCs w:val="false"/>
        </w:rPr>
      </w:r>
    </w:p>
    <w:p>
      <w:pPr>
        <w:pStyle w:val="BodyText"/>
        <w:spacing w:lineRule="auto" w:line="360"/>
        <w:ind w:start="720" w:end="0"/>
        <w:rPr>
          <w:b w:val="false"/>
          <w:bCs w:val="false"/>
          <w:i w:val="false"/>
          <w:i w:val="false"/>
          <w:iCs w:val="false"/>
        </w:rPr>
      </w:pPr>
      <w:r>
        <w:rPr>
          <w:b w:val="false"/>
          <w:bCs w:val="false"/>
          <w:i w:val="false"/>
          <w:iCs w:val="false"/>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Wingdings 3">
    <w:charset w:val="02"/>
    <w:family w:val="roman"/>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sz w:val="16"/>
      </w:rPr>
    </w:pPr>
    <w:r>
      <w:rPr>
        <w:sz w:val="16"/>
      </w:rPr>
    </w:r>
    <w:r>
      <mc:AlternateContent>
        <mc:Choice Requires="wps">
          <w:drawing>
            <wp:anchor behindDoc="0" distT="0" distB="0" distL="0" distR="0" simplePos="0" locked="0" layoutInCell="0" allowOverlap="1" relativeHeight="11">
              <wp:simplePos x="0" y="0"/>
              <wp:positionH relativeFrom="margin">
                <wp:align>center</wp:align>
              </wp:positionH>
              <wp:positionV relativeFrom="paragraph">
                <wp:posOffset>-52705</wp:posOffset>
              </wp:positionV>
              <wp:extent cx="5715000" cy="233680"/>
              <wp:effectExtent l="0" t="0" r="0" b="0"/>
              <wp:wrapSquare wrapText="bothSides"/>
              <wp:docPr id="2" name="Frame1"/>
              <a:graphic xmlns:a="http://schemas.openxmlformats.org/drawingml/2006/main">
                <a:graphicData uri="http://schemas.microsoft.com/office/word/2010/wordprocessingShape">
                  <wps:wsp>
                    <wps:cNvSpPr txBox="1"/>
                    <wps:spPr>
                      <a:xfrm>
                        <a:off x="0" y="0"/>
                        <a:ext cx="5715000" cy="233680"/>
                      </a:xfrm>
                      <a:prstGeom prst="rect"/>
                      <a:solidFill>
                        <a:srgbClr val="FFFFFF">
                          <a:alpha val="0"/>
                        </a:srgbClr>
                      </a:solidFill>
                    </wps:spPr>
                    <wps:txbx>
                      <w:txbxContent>
                        <w:p>
                          <w:pPr>
                            <w:pStyle w:val="Footer"/>
                            <w:rPr>
                              <w:rStyle w:val="PageNumber"/>
                              <w:sz w:val="16"/>
                            </w:rPr>
                          </w:pPr>
                          <w:r>
                            <w:rPr/>
                          </w:r>
                        </w:p>
                        <w:p>
                          <w:pPr>
                            <w:pStyle w:val="Footer"/>
                            <w:rPr>
                              <w:rStyle w:val="PageNumber"/>
                              <w:sz w:val="16"/>
                            </w:rPr>
                          </w:pPr>
                          <w:r>
                            <w:rPr/>
                          </w:r>
                        </w:p>
                      </w:txbxContent>
                    </wps:txbx>
                    <wps:bodyPr anchor="t" lIns="0" tIns="0" rIns="0" bIns="0">
                      <a:noAutofit/>
                    </wps:bodyPr>
                  </wps:wsp>
                </a:graphicData>
              </a:graphic>
            </wp:anchor>
          </w:drawing>
        </mc:Choice>
        <mc:Fallback>
          <w:pict>
            <v:rect fillcolor="#FFFFFF" style="position:absolute;rotation:-0;width:450pt;height:18.4pt;mso-wrap-distance-left:0pt;mso-wrap-distance-right:0pt;mso-wrap-distance-top:0pt;mso-wrap-distance-bottom:0pt;margin-top:-4.15pt;mso-position-vertical-relative:text;margin-left:9pt;mso-position-horizontal:center;mso-position-horizontal-relative:margin">
              <v:fill opacity="0f"/>
              <v:textbox inset="0in,0in,0in,0in">
                <w:txbxContent>
                  <w:p>
                    <w:pPr>
                      <w:pStyle w:val="Footer"/>
                      <w:rPr>
                        <w:rStyle w:val="PageNumber"/>
                        <w:sz w:val="16"/>
                      </w:rPr>
                    </w:pPr>
                    <w:r>
                      <w:rPr/>
                    </w:r>
                  </w:p>
                  <w:p>
                    <w:pPr>
                      <w:pStyle w:val="Footer"/>
                      <w:rPr>
                        <w:rStyle w:val="PageNumber"/>
                        <w:sz w:val="16"/>
                      </w:rPr>
                    </w:pPr>
                    <w:r>
                      <w:rPr/>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0" distT="0" distB="0" distL="0" distR="0" simplePos="0" locked="0" layoutInCell="0" allowOverlap="1" relativeHeight="21">
              <wp:simplePos x="0" y="0"/>
              <wp:positionH relativeFrom="margin">
                <wp:align>center</wp:align>
              </wp:positionH>
              <wp:positionV relativeFrom="paragraph">
                <wp:posOffset>635</wp:posOffset>
              </wp:positionV>
              <wp:extent cx="153035" cy="175260"/>
              <wp:effectExtent l="0" t="0" r="0" b="0"/>
              <wp:wrapSquare wrapText="bothSides"/>
              <wp:docPr id="1" name="Frame2"/>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228pt;mso-position-horizontal:center;mso-position-horizontal-relative:margin">
              <v:fill opacity="0f"/>
              <v:textbox inset="0in,0in,0in,0in">
                <w:txbxContent>
                  <w:p>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txbxContent>
              </v:textbox>
              <w10:wrap type="squar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1"/>
      <w:numFmt w:val="bullet"/>
      <w:lvlText w:val=""/>
      <w:lvlJc w:val="start"/>
      <w:pPr>
        <w:tabs>
          <w:tab w:val="num" w:pos="2160"/>
        </w:tabs>
        <w:ind w:start="2160" w:hanging="360"/>
      </w:pPr>
      <w:rPr>
        <w:rFonts w:ascii="Symbol" w:hAnsi="Symbol" w:cs="Symbol" w:hint="default"/>
        <w:color w:val="000000"/>
      </w:rPr>
    </w:lvl>
  </w:abstractNum>
  <w:abstractNum w:abstractNumId="4">
    <w:lvl w:ilvl="0">
      <w:start w:val="1"/>
      <w:numFmt w:val="bullet"/>
      <w:lvlText w:val=""/>
      <w:lvlJc w:val="start"/>
      <w:pPr>
        <w:tabs>
          <w:tab w:val="num" w:pos="2160"/>
        </w:tabs>
        <w:ind w:start="2160" w:hanging="360"/>
      </w:pPr>
      <w:rPr>
        <w:rFonts w:ascii="Symbol" w:hAnsi="Symbol" w:cs="Symbol" w:hint="default"/>
        <w:color w:val="000000"/>
      </w:rPr>
    </w:lvl>
  </w:abstractNum>
  <w:abstractNum w:abstractNumId="5">
    <w:lvl w:ilvl="0">
      <w:start w:val="1"/>
      <w:numFmt w:val="bullet"/>
      <w:lvlText w:val=""/>
      <w:lvlJc w:val="start"/>
      <w:pPr>
        <w:tabs>
          <w:tab w:val="num" w:pos="1080"/>
        </w:tabs>
        <w:ind w:start="1080" w:hanging="360"/>
      </w:pPr>
      <w:rPr>
        <w:rFonts w:ascii="Symbol" w:hAnsi="Symbol" w:cs="Symbol" w:hint="default"/>
        <w:color w:val="000000"/>
      </w:rPr>
    </w:lvl>
  </w:abstractNum>
  <w:abstractNum w:abstractNumId="6">
    <w:lvl w:ilvl="0">
      <w:start w:val="1"/>
      <w:numFmt w:val="bullet"/>
      <w:lvlText w:val=""/>
      <w:lvlJc w:val="start"/>
      <w:pPr>
        <w:tabs>
          <w:tab w:val="num" w:pos="2520"/>
        </w:tabs>
        <w:ind w:start="2520" w:hanging="360"/>
      </w:pPr>
      <w:rPr>
        <w:rFonts w:ascii="Symbol" w:hAnsi="Symbol" w:cs="Symbol" w:hint="default"/>
        <w:color w:val="000000"/>
      </w:rPr>
    </w:lvl>
  </w:abstractNum>
  <w:abstractNum w:abstractNumId="7">
    <w:lvl w:ilvl="0">
      <w:start w:val="1"/>
      <w:numFmt w:val="bullet"/>
      <w:lvlText w:val=""/>
      <w:lvlJc w:val="start"/>
      <w:pPr>
        <w:tabs>
          <w:tab w:val="num" w:pos="720"/>
        </w:tabs>
        <w:ind w:start="720" w:hanging="360"/>
      </w:pPr>
      <w:rPr>
        <w:rFonts w:ascii="Symbol" w:hAnsi="Symbol" w:cs="Symbol" w:hint="default"/>
      </w:rPr>
    </w:lvl>
  </w:abstractNum>
  <w:abstractNum w:abstractNumId="8">
    <w:lvl w:ilvl="0">
      <w:start w:val="1"/>
      <w:numFmt w:val="bullet"/>
      <w:lvlText w:val=""/>
      <w:lvlJc w:val="start"/>
      <w:pPr>
        <w:tabs>
          <w:tab w:val="num" w:pos="1080"/>
        </w:tabs>
        <w:ind w:start="1080" w:hanging="360"/>
      </w:pPr>
      <w:rPr>
        <w:rFonts w:ascii="Symbol" w:hAnsi="Symbol" w:cs="Symbol" w:hint="default"/>
        <w:color w:val="000000"/>
      </w:rPr>
    </w:lvl>
  </w:abstractNum>
  <w:abstractNum w:abstractNumId="9">
    <w:lvl w:ilvl="0">
      <w:start w:val="1"/>
      <w:numFmt w:val="bullet"/>
      <w:lvlText w:val=""/>
      <w:lvlJc w:val="start"/>
      <w:pPr>
        <w:tabs>
          <w:tab w:val="num" w:pos="2160"/>
        </w:tabs>
        <w:ind w:start="2160" w:hanging="360"/>
      </w:pPr>
      <w:rPr>
        <w:rFonts w:ascii="Symbol" w:hAnsi="Symbol" w:cs="Symbol" w:hint="default"/>
        <w:color w:val="000000"/>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Symbol" w:hAnsi="Symbol" w:cs="Symbol" w:hint="default"/>
        <w:color w:val="000000"/>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10">
    <w:lvl w:ilvl="0">
      <w:start w:val="1"/>
      <w:numFmt w:val="bullet"/>
      <w:lvlText w:val=""/>
      <w:lvlJc w:val="start"/>
      <w:pPr>
        <w:tabs>
          <w:tab w:val="num" w:pos="720"/>
        </w:tabs>
        <w:ind w:start="720" w:hanging="360"/>
      </w:pPr>
      <w:rPr>
        <w:rFonts w:ascii="Symbol" w:hAnsi="Symbol" w:cs="Symbol" w:hint="default"/>
        <w:color w:val="000000"/>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11">
    <w:lvl w:ilvl="0">
      <w:start w:val="1"/>
      <w:numFmt w:val="bullet"/>
      <w:lvlText w:val=""/>
      <w:lvlJc w:val="start"/>
      <w:pPr>
        <w:tabs>
          <w:tab w:val="num" w:pos="720"/>
        </w:tabs>
        <w:ind w:start="720" w:hanging="360"/>
      </w:pPr>
      <w:rPr>
        <w:rFonts w:ascii="Symbol" w:hAnsi="Symbol" w:cs="Symbol" w:hint="default"/>
      </w:rPr>
    </w:lvl>
    <w:lvl w:ilvl="1">
      <w:start w:val="1"/>
      <w:numFmt w:val="bullet"/>
      <w:lvlText w:val="o"/>
      <w:lvlJc w:val="start"/>
      <w:pPr>
        <w:tabs>
          <w:tab w:val="num" w:pos="1440"/>
        </w:tabs>
        <w:ind w:start="1440" w:hanging="360"/>
      </w:pPr>
      <w:rPr>
        <w:rFonts w:ascii="Liberation Serif" w:hAnsi="Liberation Serif" w:cs="Liberation Serif"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12">
    <w:lvl w:ilvl="0">
      <w:start w:val="1"/>
      <w:numFmt w:val="bullet"/>
      <w:lvlText w:val=""/>
      <w:lvlJc w:val="start"/>
      <w:pPr>
        <w:tabs>
          <w:tab w:val="num" w:pos="720"/>
        </w:tabs>
        <w:ind w:start="720" w:hanging="360"/>
      </w:pPr>
      <w:rPr>
        <w:rFonts w:ascii="Symbol" w:hAnsi="Symbol" w:cs="Symbol" w:hint="default"/>
        <w:color w:val="000000"/>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Symbol" w:hAnsi="Symbol" w:cs="Symbol" w:hint="default"/>
        <w:color w:val="000000"/>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spacing w:lineRule="auto" w:line="480"/>
      <w:jc w:val="both"/>
      <w:outlineLvl w:val="0"/>
    </w:pPr>
    <w:rPr>
      <w:rFonts w:ascii="Arial" w:hAnsi="Arial" w:cs="Arial"/>
      <w:b/>
      <w:bCs/>
    </w:rPr>
  </w:style>
  <w:style w:type="paragraph" w:styleId="Heading2">
    <w:name w:val="heading 2"/>
    <w:basedOn w:val="Normal"/>
    <w:next w:val="Normal"/>
    <w:qFormat/>
    <w:pPr>
      <w:keepNext w:val="true"/>
      <w:numPr>
        <w:ilvl w:val="1"/>
        <w:numId w:val="1"/>
      </w:numPr>
      <w:spacing w:lineRule="auto" w:line="480"/>
      <w:ind w:hanging="0" w:start="360" w:end="0"/>
      <w:jc w:val="both"/>
      <w:outlineLvl w:val="1"/>
    </w:pPr>
    <w:rPr>
      <w:rFonts w:ascii="Arial" w:hAnsi="Arial" w:cs="Arial"/>
      <w:b/>
      <w:bCs/>
    </w:rPr>
  </w:style>
  <w:style w:type="paragraph" w:styleId="Heading3">
    <w:name w:val="heading 3"/>
    <w:basedOn w:val="Normal"/>
    <w:next w:val="Normal"/>
    <w:qFormat/>
    <w:pPr>
      <w:keepNext w:val="true"/>
      <w:numPr>
        <w:ilvl w:val="2"/>
        <w:numId w:val="1"/>
      </w:numPr>
      <w:spacing w:lineRule="auto" w:line="480"/>
      <w:jc w:val="both"/>
      <w:outlineLvl w:val="2"/>
    </w:pPr>
    <w:rPr>
      <w:rFonts w:ascii="Arial" w:hAnsi="Arial" w:cs="Arial"/>
      <w:b/>
      <w:bCs/>
      <w:u w:val="single"/>
    </w:rPr>
  </w:style>
  <w:style w:type="character" w:styleId="WW8Num1z0">
    <w:name w:val="WW8Num1z0"/>
    <w:qFormat/>
    <w:rPr>
      <w:rFonts w:ascii="Symbol" w:hAnsi="Symbol" w:cs="Symbol"/>
      <w:color w:val="000000"/>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2z0">
    <w:name w:val="WW8Num2z0"/>
    <w:qFormat/>
    <w:rPr>
      <w:rFonts w:ascii="Symbol" w:hAnsi="Symbol" w:cs="Symbol"/>
      <w:color w:val="000000"/>
      <w:sz w:val="20"/>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style>
  <w:style w:type="character" w:styleId="WW8Num4z0">
    <w:name w:val="WW8Num4z0"/>
    <w:qFormat/>
    <w:rPr>
      <w:rFonts w:ascii="Symbol" w:hAnsi="Symbol" w:cs="Symbol"/>
    </w:rPr>
  </w:style>
  <w:style w:type="character" w:styleId="WW8Num4z1">
    <w:name w:val="WW8Num4z1"/>
    <w:qFormat/>
    <w:rPr>
      <w:rFonts w:ascii="Wingdings 3" w:hAnsi="Wingdings 3" w:cs="Wingdings 3"/>
    </w:rPr>
  </w:style>
  <w:style w:type="character" w:styleId="WW8Num4z7">
    <w:name w:val="WW8Num4z7"/>
    <w:qFormat/>
    <w:rPr>
      <w:rFonts w:ascii="Courier New" w:hAnsi="Courier New" w:cs="Courier New"/>
    </w:rPr>
  </w:style>
  <w:style w:type="character" w:styleId="WW8Num4z8">
    <w:name w:val="WW8Num4z8"/>
    <w:qFormat/>
    <w:rPr>
      <w:rFonts w:ascii="Wingdings" w:hAnsi="Wingdings" w:cs="Wingdings"/>
    </w:rPr>
  </w:style>
  <w:style w:type="character" w:styleId="WW8Num5z0">
    <w:name w:val="WW8Num5z0"/>
    <w:qFormat/>
    <w:rPr>
      <w:rFonts w:ascii="Symbol" w:hAnsi="Symbol" w:cs="Symbol"/>
    </w:rPr>
  </w:style>
  <w:style w:type="character" w:styleId="WW8Num5z2">
    <w:name w:val="WW8Num5z2"/>
    <w:qFormat/>
    <w:rPr>
      <w:rFonts w:ascii="Wingdings" w:hAnsi="Wingdings" w:cs="Wingdings"/>
    </w:rPr>
  </w:style>
  <w:style w:type="character" w:styleId="WW8Num5z4">
    <w:name w:val="WW8Num5z4"/>
    <w:qFormat/>
    <w:rPr>
      <w:rFonts w:ascii="Courier New" w:hAnsi="Courier New" w:cs="Courier New"/>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Wingdings" w:hAnsi="Wingdings" w:cs="Wingdings"/>
    </w:rPr>
  </w:style>
  <w:style w:type="character" w:styleId="WW8Num7z1">
    <w:name w:val="WW8Num7z1"/>
    <w:qFormat/>
    <w:rPr>
      <w:rFonts w:ascii="Courier New" w:hAnsi="Courier New" w:cs="Courier New"/>
    </w:rPr>
  </w:style>
  <w:style w:type="character" w:styleId="WW8Num7z3">
    <w:name w:val="WW8Num7z3"/>
    <w:qFormat/>
    <w:rPr>
      <w:rFonts w:ascii="Symbol" w:hAnsi="Symbol" w:cs="Symbol"/>
      <w:color w:val="000000"/>
      <w:sz w:val="20"/>
    </w:rPr>
  </w:style>
  <w:style w:type="character" w:styleId="WW8Num7z6">
    <w:name w:val="WW8Num7z6"/>
    <w:qFormat/>
    <w:rPr>
      <w:rFonts w:ascii="Symbol" w:hAnsi="Symbol" w:cs="Symbol"/>
    </w:rPr>
  </w:style>
  <w:style w:type="character" w:styleId="WW8Num8z0">
    <w:name w:val="WW8Num8z0"/>
    <w:qFormat/>
    <w:rPr>
      <w:rFonts w:ascii="Symbol" w:hAnsi="Symbol" w:cs="Symbol"/>
    </w:rPr>
  </w:style>
  <w:style w:type="character" w:styleId="WW8Num8z2">
    <w:name w:val="WW8Num8z2"/>
    <w:qFormat/>
    <w:rPr>
      <w:rFonts w:ascii="Wingdings" w:hAnsi="Wingdings" w:cs="Wingdings"/>
    </w:rPr>
  </w:style>
  <w:style w:type="character" w:styleId="WW8Num8z4">
    <w:name w:val="WW8Num8z4"/>
    <w:qFormat/>
    <w:rPr>
      <w:rFonts w:ascii="Courier New" w:hAnsi="Courier New" w:cs="Courier New"/>
    </w:rPr>
  </w:style>
  <w:style w:type="character" w:styleId="WW8Num9z0">
    <w:name w:val="WW8Num9z0"/>
    <w:qFormat/>
    <w:rPr>
      <w:rFonts w:ascii="Symbol" w:hAnsi="Symbol" w:cs="Symbol"/>
    </w:rPr>
  </w:style>
  <w:style w:type="character" w:styleId="WW8Num9z2">
    <w:name w:val="WW8Num9z2"/>
    <w:qFormat/>
    <w:rPr>
      <w:rFonts w:ascii="Wingdings" w:hAnsi="Wingdings" w:cs="Wingdings"/>
    </w:rPr>
  </w:style>
  <w:style w:type="character" w:styleId="WW8Num9z4">
    <w:name w:val="WW8Num9z4"/>
    <w:qFormat/>
    <w:rPr>
      <w:rFonts w:ascii="Courier New" w:hAnsi="Courier New" w:cs="Courier New"/>
    </w:rPr>
  </w:style>
  <w:style w:type="character" w:styleId="WW8Num10z0">
    <w:name w:val="WW8Num10z0"/>
    <w:qFormat/>
    <w:rPr>
      <w:rFonts w:ascii="Symbol" w:hAnsi="Symbol" w:cs="Symbo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1z0">
    <w:name w:val="WW8Num11z0"/>
    <w:qFormat/>
    <w:rPr>
      <w:rFonts w:ascii="Symbol" w:hAnsi="Symbol" w:cs="Symbol"/>
    </w:rPr>
  </w:style>
  <w:style w:type="character" w:styleId="WW8Num11z2">
    <w:name w:val="WW8Num11z2"/>
    <w:qFormat/>
    <w:rPr>
      <w:rFonts w:ascii="Wingdings" w:hAnsi="Wingdings" w:cs="Wingdings"/>
    </w:rPr>
  </w:style>
  <w:style w:type="character" w:styleId="WW8Num11z4">
    <w:name w:val="WW8Num11z4"/>
    <w:qFormat/>
    <w:rPr>
      <w:rFonts w:ascii="Courier New" w:hAnsi="Courier New" w:cs="Courier New"/>
    </w:rPr>
  </w:style>
  <w:style w:type="character" w:styleId="WW8Num12z0">
    <w:name w:val="WW8Num12z0"/>
    <w:qFormat/>
    <w:rPr>
      <w:rFonts w:ascii="Symbol" w:hAnsi="Symbol" w:cs="Symbol"/>
    </w:rPr>
  </w:style>
  <w:style w:type="character" w:styleId="WW8Num12z2">
    <w:name w:val="WW8Num12z2"/>
    <w:qFormat/>
    <w:rPr>
      <w:rFonts w:ascii="Wingdings" w:hAnsi="Wingdings" w:cs="Wingdings"/>
    </w:rPr>
  </w:style>
  <w:style w:type="character" w:styleId="WW8Num12z4">
    <w:name w:val="WW8Num12z4"/>
    <w:qFormat/>
    <w:rPr>
      <w:rFonts w:ascii="Courier New" w:hAnsi="Courier New" w:cs="Courier New"/>
    </w:rPr>
  </w:style>
  <w:style w:type="character" w:styleId="WW8Num13z0">
    <w:name w:val="WW8Num13z0"/>
    <w:qFormat/>
    <w:rPr>
      <w:rFonts w:ascii="Symbol" w:hAnsi="Symbol" w:cs="Symbol"/>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WW8Num14z0">
    <w:name w:val="WW8Num14z0"/>
    <w:qFormat/>
    <w:rPr>
      <w:rFonts w:ascii="Symbol" w:hAnsi="Symbol" w:cs="Symbol"/>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5z0">
    <w:name w:val="WW8Num15z0"/>
    <w:qFormat/>
    <w:rPr>
      <w:rFonts w:ascii="Symbol" w:hAnsi="Symbol" w:cs="Symbol"/>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WW8Num16z0">
    <w:name w:val="WW8Num16z0"/>
    <w:qFormat/>
    <w:rPr>
      <w:rFonts w:ascii="Symbol" w:hAnsi="Symbol" w:cs="Symbol"/>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7z0">
    <w:name w:val="WW8Num17z0"/>
    <w:qFormat/>
    <w:rPr>
      <w:rFonts w:ascii="Wingdings 3" w:hAnsi="Wingdings 3" w:cs="Wingdings 3"/>
    </w:rPr>
  </w:style>
  <w:style w:type="character" w:styleId="WW8Num17z1">
    <w:name w:val="WW8Num17z1"/>
    <w:qFormat/>
    <w:rPr>
      <w:rFonts w:ascii="Courier New" w:hAnsi="Courier New" w:cs="Courier New"/>
    </w:rPr>
  </w:style>
  <w:style w:type="character" w:styleId="WW8Num17z2">
    <w:name w:val="WW8Num17z2"/>
    <w:qFormat/>
    <w:rPr>
      <w:rFonts w:ascii="Wingdings" w:hAnsi="Wingdings" w:cs="Wingdings"/>
    </w:rPr>
  </w:style>
  <w:style w:type="character" w:styleId="WW8Num17z3">
    <w:name w:val="WW8Num17z3"/>
    <w:qFormat/>
    <w:rPr>
      <w:rFonts w:ascii="Symbol" w:hAnsi="Symbol" w:cs="Symbol"/>
    </w:rPr>
  </w:style>
  <w:style w:type="character" w:styleId="WW8Num18z0">
    <w:name w:val="WW8Num18z0"/>
    <w:qFormat/>
    <w:rPr>
      <w:rFonts w:ascii="Symbol" w:hAnsi="Symbol" w:cs="Symbol"/>
    </w:rPr>
  </w:style>
  <w:style w:type="character" w:styleId="WW8Num18z1">
    <w:name w:val="WW8Num18z1"/>
    <w:qFormat/>
    <w:rPr>
      <w:rFonts w:ascii="Courier New" w:hAnsi="Courier New" w:cs="Courier New"/>
    </w:rPr>
  </w:style>
  <w:style w:type="character" w:styleId="WW8Num18z2">
    <w:name w:val="WW8Num18z2"/>
    <w:qFormat/>
    <w:rPr>
      <w:rFonts w:ascii="Wingdings" w:hAnsi="Wingdings" w:cs="Wingdings"/>
    </w:rPr>
  </w:style>
  <w:style w:type="character" w:styleId="WW8Num19z0">
    <w:name w:val="WW8Num19z0"/>
    <w:qFormat/>
    <w:rPr>
      <w:rFonts w:ascii="Wingdings 3" w:hAnsi="Wingdings 3" w:cs="Wingdings 3"/>
    </w:rPr>
  </w:style>
  <w:style w:type="character" w:styleId="WW8Num19z1">
    <w:name w:val="WW8Num19z1"/>
    <w:qFormat/>
    <w:rPr>
      <w:rFonts w:ascii="Courier New" w:hAnsi="Courier New" w:cs="Courier New"/>
    </w:rPr>
  </w:style>
  <w:style w:type="character" w:styleId="WW8Num19z2">
    <w:name w:val="WW8Num19z2"/>
    <w:qFormat/>
    <w:rPr>
      <w:rFonts w:ascii="Wingdings" w:hAnsi="Wingdings" w:cs="Wingdings"/>
    </w:rPr>
  </w:style>
  <w:style w:type="character" w:styleId="WW8Num19z3">
    <w:name w:val="WW8Num19z3"/>
    <w:qFormat/>
    <w:rPr>
      <w:rFonts w:ascii="Symbol" w:hAnsi="Symbol" w:cs="Symbol"/>
    </w:rPr>
  </w:style>
  <w:style w:type="character" w:styleId="WW8Num20z0">
    <w:name w:val="WW8Num20z0"/>
    <w:qFormat/>
    <w:rPr>
      <w:rFonts w:ascii="Symbol" w:hAnsi="Symbol" w:cs="Symbol"/>
    </w:rPr>
  </w:style>
  <w:style w:type="character" w:styleId="WW8Num20z1">
    <w:name w:val="WW8Num20z1"/>
    <w:qFormat/>
    <w:rPr>
      <w:rFonts w:ascii="Courier New" w:hAnsi="Courier New" w:cs="Courier New"/>
    </w:rPr>
  </w:style>
  <w:style w:type="character" w:styleId="WW8Num20z2">
    <w:name w:val="WW8Num20z2"/>
    <w:qFormat/>
    <w:rPr>
      <w:rFonts w:ascii="Wingdings" w:hAnsi="Wingdings" w:cs="Wingdings"/>
    </w:rPr>
  </w:style>
  <w:style w:type="character" w:styleId="WW8Num21z0">
    <w:name w:val="WW8Num21z0"/>
    <w:qFormat/>
    <w:rPr>
      <w:rFonts w:ascii="Symbol" w:hAnsi="Symbol" w:cs="Symbol"/>
    </w:rPr>
  </w:style>
  <w:style w:type="character" w:styleId="WW8Num21z2">
    <w:name w:val="WW8Num21z2"/>
    <w:qFormat/>
    <w:rPr>
      <w:rFonts w:ascii="Wingdings" w:hAnsi="Wingdings" w:cs="Wingdings"/>
    </w:rPr>
  </w:style>
  <w:style w:type="character" w:styleId="WW8Num21z4">
    <w:name w:val="WW8Num21z4"/>
    <w:qFormat/>
    <w:rPr>
      <w:rFonts w:ascii="Courier New" w:hAnsi="Courier New" w:cs="Courier New"/>
    </w:rPr>
  </w:style>
  <w:style w:type="character" w:styleId="WW8Num22z0">
    <w:name w:val="WW8Num22z0"/>
    <w:qFormat/>
    <w:rPr>
      <w:rFonts w:ascii="Symbol" w:hAnsi="Symbol" w:cs="Symbol"/>
      <w:color w:val="000000"/>
    </w:rPr>
  </w:style>
  <w:style w:type="character" w:styleId="WW8Num22z1">
    <w:name w:val="WW8Num22z1"/>
    <w:qFormat/>
    <w:rPr>
      <w:rFonts w:ascii="Courier New" w:hAnsi="Courier New" w:cs="Courier New"/>
    </w:rPr>
  </w:style>
  <w:style w:type="character" w:styleId="WW8Num22z2">
    <w:name w:val="WW8Num22z2"/>
    <w:qFormat/>
    <w:rPr>
      <w:rFonts w:ascii="Wingdings" w:hAnsi="Wingdings" w:cs="Wingdings"/>
    </w:rPr>
  </w:style>
  <w:style w:type="character" w:styleId="WW8Num22z3">
    <w:name w:val="WW8Num22z3"/>
    <w:qFormat/>
    <w:rPr>
      <w:rFonts w:ascii="Symbol" w:hAnsi="Symbol" w:cs="Symbol"/>
    </w:rPr>
  </w:style>
  <w:style w:type="character" w:styleId="WW8Num23z0">
    <w:name w:val="WW8Num23z0"/>
    <w:qFormat/>
    <w:rPr>
      <w:rFonts w:ascii="Wingdings 3" w:hAnsi="Wingdings 3" w:cs="Wingdings 3"/>
    </w:rPr>
  </w:style>
  <w:style w:type="character" w:styleId="WW8Num23z1">
    <w:name w:val="WW8Num23z1"/>
    <w:qFormat/>
    <w:rPr>
      <w:rFonts w:ascii="Courier New" w:hAnsi="Courier New" w:cs="Courier New"/>
    </w:rPr>
  </w:style>
  <w:style w:type="character" w:styleId="WW8Num23z2">
    <w:name w:val="WW8Num23z2"/>
    <w:qFormat/>
    <w:rPr>
      <w:rFonts w:ascii="Wingdings" w:hAnsi="Wingdings" w:cs="Wingdings"/>
    </w:rPr>
  </w:style>
  <w:style w:type="character" w:styleId="WW8Num23z3">
    <w:name w:val="WW8Num23z3"/>
    <w:qFormat/>
    <w:rPr>
      <w:rFonts w:ascii="Symbol" w:hAnsi="Symbol" w:cs="Symbol"/>
    </w:rPr>
  </w:style>
  <w:style w:type="character" w:styleId="WW8Num24z0">
    <w:name w:val="WW8Num24z0"/>
    <w:qFormat/>
    <w:rPr>
      <w:rFonts w:ascii="Symbol" w:hAnsi="Symbol" w:cs="Symbol"/>
      <w:color w:val="000000"/>
      <w:sz w:val="20"/>
    </w:rPr>
  </w:style>
  <w:style w:type="character" w:styleId="WW8Num24z1">
    <w:name w:val="WW8Num24z1"/>
    <w:qFormat/>
    <w:rPr>
      <w:rFonts w:ascii="Courier New" w:hAnsi="Courier New" w:cs="Courier New"/>
    </w:rPr>
  </w:style>
  <w:style w:type="character" w:styleId="WW8Num24z2">
    <w:name w:val="WW8Num24z2"/>
    <w:qFormat/>
    <w:rPr>
      <w:rFonts w:ascii="Wingdings" w:hAnsi="Wingdings" w:cs="Wingdings"/>
    </w:rPr>
  </w:style>
  <w:style w:type="character" w:styleId="WW8Num24z6">
    <w:name w:val="WW8Num24z6"/>
    <w:qFormat/>
    <w:rPr>
      <w:rFonts w:ascii="Symbol" w:hAnsi="Symbol" w:cs="Symbol"/>
    </w:rPr>
  </w:style>
  <w:style w:type="character" w:styleId="WW8Num25z0">
    <w:name w:val="WW8Num25z0"/>
    <w:qFormat/>
    <w:rPr>
      <w:rFonts w:ascii="Wingdings 3" w:hAnsi="Wingdings 3" w:cs="Wingdings 3"/>
    </w:rPr>
  </w:style>
  <w:style w:type="character" w:styleId="WW8Num25z1">
    <w:name w:val="WW8Num25z1"/>
    <w:qFormat/>
    <w:rPr>
      <w:rFonts w:ascii="Courier New" w:hAnsi="Courier New" w:cs="Courier New"/>
    </w:rPr>
  </w:style>
  <w:style w:type="character" w:styleId="WW8Num25z2">
    <w:name w:val="WW8Num25z2"/>
    <w:qFormat/>
    <w:rPr>
      <w:rFonts w:ascii="Wingdings" w:hAnsi="Wingdings" w:cs="Wingdings"/>
    </w:rPr>
  </w:style>
  <w:style w:type="character" w:styleId="WW8Num25z3">
    <w:name w:val="WW8Num25z3"/>
    <w:qFormat/>
    <w:rPr>
      <w:rFonts w:ascii="Symbol" w:hAnsi="Symbol" w:cs="Symbol"/>
      <w:color w:val="000000"/>
      <w:sz w:val="20"/>
    </w:rPr>
  </w:style>
  <w:style w:type="character" w:styleId="WW8Num25z6">
    <w:name w:val="WW8Num25z6"/>
    <w:qFormat/>
    <w:rPr>
      <w:rFonts w:ascii="Symbol" w:hAnsi="Symbol" w:cs="Symbol"/>
    </w:rPr>
  </w:style>
  <w:style w:type="character" w:styleId="WW8Num26z0">
    <w:name w:val="WW8Num26z0"/>
    <w:qFormat/>
    <w:rPr>
      <w:rFonts w:ascii="Wingdings 3" w:hAnsi="Wingdings 3" w:cs="Wingdings 3"/>
    </w:rPr>
  </w:style>
  <w:style w:type="character" w:styleId="WW8Num26z1">
    <w:name w:val="WW8Num26z1"/>
    <w:qFormat/>
    <w:rPr>
      <w:rFonts w:ascii="Courier New" w:hAnsi="Courier New" w:cs="Courier New"/>
    </w:rPr>
  </w:style>
  <w:style w:type="character" w:styleId="WW8Num26z2">
    <w:name w:val="WW8Num26z2"/>
    <w:qFormat/>
    <w:rPr>
      <w:rFonts w:ascii="Wingdings" w:hAnsi="Wingdings" w:cs="Wingdings"/>
    </w:rPr>
  </w:style>
  <w:style w:type="character" w:styleId="WW8Num26z3">
    <w:name w:val="WW8Num26z3"/>
    <w:qFormat/>
    <w:rPr>
      <w:rFonts w:ascii="Symbol" w:hAnsi="Symbol" w:cs="Symbol"/>
      <w:color w:val="000000"/>
      <w:sz w:val="20"/>
    </w:rPr>
  </w:style>
  <w:style w:type="character" w:styleId="WW8Num26z6">
    <w:name w:val="WW8Num26z6"/>
    <w:qFormat/>
    <w:rPr>
      <w:rFonts w:ascii="Symbol" w:hAnsi="Symbol" w:cs="Symbol"/>
    </w:rPr>
  </w:style>
  <w:style w:type="character" w:styleId="WW8Num27z0">
    <w:name w:val="WW8Num27z0"/>
    <w:qFormat/>
    <w:rPr/>
  </w:style>
  <w:style w:type="character" w:styleId="WW8Num28z0">
    <w:name w:val="WW8Num28z0"/>
    <w:qFormat/>
    <w:rPr>
      <w:rFonts w:ascii="Symbol" w:hAnsi="Symbol" w:cs="Symbol"/>
    </w:rPr>
  </w:style>
  <w:style w:type="character" w:styleId="WW8Num28z2">
    <w:name w:val="WW8Num28z2"/>
    <w:qFormat/>
    <w:rPr>
      <w:rFonts w:ascii="Wingdings" w:hAnsi="Wingdings" w:cs="Wingdings"/>
    </w:rPr>
  </w:style>
  <w:style w:type="character" w:styleId="WW8Num28z4">
    <w:name w:val="WW8Num28z4"/>
    <w:qFormat/>
    <w:rPr>
      <w:rFonts w:ascii="Courier New" w:hAnsi="Courier New" w:cs="Courier New"/>
    </w:rPr>
  </w:style>
  <w:style w:type="character" w:styleId="WW8Num29z0">
    <w:name w:val="WW8Num29z0"/>
    <w:qFormat/>
    <w:rPr>
      <w:rFonts w:ascii="Symbol" w:hAnsi="Symbol" w:cs="Symbol"/>
      <w:color w:val="000000"/>
    </w:rPr>
  </w:style>
  <w:style w:type="character" w:styleId="WW8Num29z1">
    <w:name w:val="WW8Num29z1"/>
    <w:qFormat/>
    <w:rPr>
      <w:rFonts w:ascii="Courier New" w:hAnsi="Courier New" w:cs="Courier New"/>
    </w:rPr>
  </w:style>
  <w:style w:type="character" w:styleId="WW8Num29z2">
    <w:name w:val="WW8Num29z2"/>
    <w:qFormat/>
    <w:rPr>
      <w:rFonts w:ascii="Wingdings" w:hAnsi="Wingdings" w:cs="Wingdings"/>
    </w:rPr>
  </w:style>
  <w:style w:type="character" w:styleId="WW8Num29z3">
    <w:name w:val="WW8Num29z3"/>
    <w:qFormat/>
    <w:rPr>
      <w:rFonts w:ascii="Symbol" w:hAnsi="Symbol" w:cs="Symbol"/>
    </w:rPr>
  </w:style>
  <w:style w:type="character" w:styleId="WW8Num30z0">
    <w:name w:val="WW8Num30z0"/>
    <w:qFormat/>
    <w:rPr>
      <w:rFonts w:ascii="Symbol" w:hAnsi="Symbol" w:cs="Symbol"/>
      <w:color w:val="000000"/>
    </w:rPr>
  </w:style>
  <w:style w:type="character" w:styleId="WW8Num30z1">
    <w:name w:val="WW8Num30z1"/>
    <w:qFormat/>
    <w:rPr>
      <w:rFonts w:ascii="Courier New" w:hAnsi="Courier New" w:cs="Courier New"/>
    </w:rPr>
  </w:style>
  <w:style w:type="character" w:styleId="WW8Num30z2">
    <w:name w:val="WW8Num30z2"/>
    <w:qFormat/>
    <w:rPr>
      <w:rFonts w:ascii="Wingdings" w:hAnsi="Wingdings" w:cs="Wingdings"/>
    </w:rPr>
  </w:style>
  <w:style w:type="character" w:styleId="WW8Num30z3">
    <w:name w:val="WW8Num30z3"/>
    <w:qFormat/>
    <w:rPr>
      <w:rFonts w:ascii="Symbol" w:hAnsi="Symbol" w:cs="Symbol"/>
    </w:rPr>
  </w:style>
  <w:style w:type="character" w:styleId="WW8Num31z0">
    <w:name w:val="WW8Num31z0"/>
    <w:qFormat/>
    <w:rPr>
      <w:rFonts w:ascii="Symbol" w:hAnsi="Symbol" w:cs="Symbol"/>
    </w:rPr>
  </w:style>
  <w:style w:type="character" w:styleId="WW8Num31z1">
    <w:name w:val="WW8Num31z1"/>
    <w:qFormat/>
    <w:rPr>
      <w:rFonts w:ascii="Courier New" w:hAnsi="Courier New" w:cs="Courier New"/>
    </w:rPr>
  </w:style>
  <w:style w:type="character" w:styleId="WW8Num31z2">
    <w:name w:val="WW8Num31z2"/>
    <w:qFormat/>
    <w:rPr>
      <w:rFonts w:ascii="Wingdings" w:hAnsi="Wingdings" w:cs="Wingdings"/>
    </w:rPr>
  </w:style>
  <w:style w:type="character" w:styleId="WW8Num32z0">
    <w:name w:val="WW8Num32z0"/>
    <w:qFormat/>
    <w:rPr>
      <w:rFonts w:ascii="Wingdings 3" w:hAnsi="Wingdings 3" w:cs="Wingdings 3"/>
    </w:rPr>
  </w:style>
  <w:style w:type="character" w:styleId="WW8Num32z1">
    <w:name w:val="WW8Num32z1"/>
    <w:qFormat/>
    <w:rPr>
      <w:rFonts w:ascii="Courier New" w:hAnsi="Courier New" w:cs="Courier New"/>
    </w:rPr>
  </w:style>
  <w:style w:type="character" w:styleId="WW8Num32z2">
    <w:name w:val="WW8Num32z2"/>
    <w:qFormat/>
    <w:rPr>
      <w:rFonts w:ascii="Wingdings" w:hAnsi="Wingdings" w:cs="Wingdings"/>
    </w:rPr>
  </w:style>
  <w:style w:type="character" w:styleId="WW8Num32z3">
    <w:name w:val="WW8Num32z3"/>
    <w:qFormat/>
    <w:rPr>
      <w:rFonts w:ascii="Symbol" w:hAnsi="Symbol" w:cs="Symbol"/>
      <w:color w:val="000000"/>
      <w:sz w:val="20"/>
    </w:rPr>
  </w:style>
  <w:style w:type="character" w:styleId="WW8Num32z6">
    <w:name w:val="WW8Num32z6"/>
    <w:qFormat/>
    <w:rPr>
      <w:rFonts w:ascii="Symbol" w:hAnsi="Symbol" w:cs="Symbol"/>
    </w:rPr>
  </w:style>
  <w:style w:type="character" w:styleId="WW8Num33z0">
    <w:name w:val="WW8Num33z0"/>
    <w:qFormat/>
    <w:rPr>
      <w:rFonts w:ascii="Symbol" w:hAnsi="Symbol" w:cs="Symbol"/>
      <w:color w:val="000000"/>
    </w:rPr>
  </w:style>
  <w:style w:type="character" w:styleId="WW8Num33z1">
    <w:name w:val="WW8Num33z1"/>
    <w:qFormat/>
    <w:rPr>
      <w:rFonts w:ascii="Courier New" w:hAnsi="Courier New" w:cs="Courier New"/>
    </w:rPr>
  </w:style>
  <w:style w:type="character" w:styleId="WW8Num33z2">
    <w:name w:val="WW8Num33z2"/>
    <w:qFormat/>
    <w:rPr>
      <w:rFonts w:ascii="Wingdings" w:hAnsi="Wingdings" w:cs="Wingdings"/>
    </w:rPr>
  </w:style>
  <w:style w:type="character" w:styleId="WW8Num33z3">
    <w:name w:val="WW8Num33z3"/>
    <w:qFormat/>
    <w:rPr>
      <w:rFonts w:ascii="Symbol" w:hAnsi="Symbol" w:cs="Symbol"/>
    </w:rPr>
  </w:style>
  <w:style w:type="character" w:styleId="WW8Num34z0">
    <w:name w:val="WW8Num34z0"/>
    <w:qFormat/>
    <w:rPr/>
  </w:style>
  <w:style w:type="character" w:styleId="WW8Num34z1">
    <w:name w:val="WW8Num34z1"/>
    <w:qFormat/>
    <w:rPr>
      <w:rFonts w:ascii="Symbol" w:hAnsi="Symbol" w:cs="Symbol"/>
    </w:rPr>
  </w:style>
  <w:style w:type="character" w:styleId="WW8Num34z2">
    <w:name w:val="WW8Num34z2"/>
    <w:qFormat/>
    <w:rPr>
      <w:rFonts w:ascii="Wingdings 3" w:hAnsi="Wingdings 3" w:cs="Wingdings 3"/>
    </w:rPr>
  </w:style>
  <w:style w:type="character" w:styleId="WW8Num35z0">
    <w:name w:val="WW8Num35z0"/>
    <w:qFormat/>
    <w:rPr>
      <w:rFonts w:ascii="Symbol" w:hAnsi="Symbol" w:cs="Symbol"/>
    </w:rPr>
  </w:style>
  <w:style w:type="character" w:styleId="WW8Num35z1">
    <w:name w:val="WW8Num35z1"/>
    <w:qFormat/>
    <w:rPr>
      <w:rFonts w:ascii="Wingdings 3" w:hAnsi="Wingdings 3" w:cs="Wingdings 3"/>
    </w:rPr>
  </w:style>
  <w:style w:type="character" w:styleId="WW8Num35z2">
    <w:name w:val="WW8Num35z2"/>
    <w:qFormat/>
    <w:rPr>
      <w:rFonts w:ascii="Wingdings" w:hAnsi="Wingdings" w:cs="Wingdings"/>
    </w:rPr>
  </w:style>
  <w:style w:type="character" w:styleId="WW8Num35z4">
    <w:name w:val="WW8Num35z4"/>
    <w:qFormat/>
    <w:rPr>
      <w:rFonts w:ascii="Courier New" w:hAnsi="Courier New" w:cs="Courier New"/>
    </w:rPr>
  </w:style>
  <w:style w:type="character" w:styleId="WW8Num36z0">
    <w:name w:val="WW8Num36z0"/>
    <w:qFormat/>
    <w:rPr>
      <w:rFonts w:ascii="Symbol" w:hAnsi="Symbol" w:cs="Symbol"/>
      <w:color w:val="000000"/>
    </w:rPr>
  </w:style>
  <w:style w:type="character" w:styleId="WW8Num36z1">
    <w:name w:val="WW8Num36z1"/>
    <w:qFormat/>
    <w:rPr>
      <w:rFonts w:ascii="Courier New" w:hAnsi="Courier New" w:cs="Courier New"/>
    </w:rPr>
  </w:style>
  <w:style w:type="character" w:styleId="WW8Num36z2">
    <w:name w:val="WW8Num36z2"/>
    <w:qFormat/>
    <w:rPr>
      <w:rFonts w:ascii="Wingdings" w:hAnsi="Wingdings" w:cs="Wingdings"/>
    </w:rPr>
  </w:style>
  <w:style w:type="character" w:styleId="WW8Num36z3">
    <w:name w:val="WW8Num36z3"/>
    <w:qFormat/>
    <w:rPr>
      <w:rFonts w:ascii="Symbol" w:hAnsi="Symbol" w:cs="Symbol"/>
    </w:rPr>
  </w:style>
  <w:style w:type="character" w:styleId="WW8Num37z0">
    <w:name w:val="WW8Num37z0"/>
    <w:qFormat/>
    <w:rPr>
      <w:rFonts w:ascii="Symbol" w:hAnsi="Symbol" w:cs="Symbol"/>
    </w:rPr>
  </w:style>
  <w:style w:type="character" w:styleId="WW8Num37z2">
    <w:name w:val="WW8Num37z2"/>
    <w:qFormat/>
    <w:rPr>
      <w:rFonts w:ascii="Wingdings" w:hAnsi="Wingdings" w:cs="Wingdings"/>
    </w:rPr>
  </w:style>
  <w:style w:type="character" w:styleId="WW8Num37z4">
    <w:name w:val="WW8Num37z4"/>
    <w:qFormat/>
    <w:rPr>
      <w:rFonts w:ascii="Courier New" w:hAnsi="Courier New" w:cs="Courier New"/>
    </w:rPr>
  </w:style>
  <w:style w:type="character" w:styleId="WW8Num38z0">
    <w:name w:val="WW8Num38z0"/>
    <w:qFormat/>
    <w:rPr>
      <w:rFonts w:ascii="Symbol" w:hAnsi="Symbol" w:cs="Symbol"/>
    </w:rPr>
  </w:style>
  <w:style w:type="character" w:styleId="WW8Num38z2">
    <w:name w:val="WW8Num38z2"/>
    <w:qFormat/>
    <w:rPr>
      <w:rFonts w:ascii="Wingdings" w:hAnsi="Wingdings" w:cs="Wingdings"/>
    </w:rPr>
  </w:style>
  <w:style w:type="character" w:styleId="WW8Num38z4">
    <w:name w:val="WW8Num38z4"/>
    <w:qFormat/>
    <w:rPr>
      <w:rFonts w:ascii="Courier New" w:hAnsi="Courier New" w:cs="Courier New"/>
    </w:rPr>
  </w:style>
  <w:style w:type="character" w:styleId="WW8Num39z0">
    <w:name w:val="WW8Num39z0"/>
    <w:qFormat/>
    <w:rPr>
      <w:rFonts w:ascii="Wingdings 3" w:hAnsi="Wingdings 3" w:cs="Wingdings 3"/>
    </w:rPr>
  </w:style>
  <w:style w:type="character" w:styleId="WW8Num39z1">
    <w:name w:val="WW8Num39z1"/>
    <w:qFormat/>
    <w:rPr>
      <w:rFonts w:ascii="Courier New" w:hAnsi="Courier New" w:cs="Courier New"/>
    </w:rPr>
  </w:style>
  <w:style w:type="character" w:styleId="WW8Num39z2">
    <w:name w:val="WW8Num39z2"/>
    <w:qFormat/>
    <w:rPr>
      <w:rFonts w:ascii="Wingdings" w:hAnsi="Wingdings" w:cs="Wingdings"/>
    </w:rPr>
  </w:style>
  <w:style w:type="character" w:styleId="WW8Num39z3">
    <w:name w:val="WW8Num39z3"/>
    <w:qFormat/>
    <w:rPr>
      <w:rFonts w:ascii="Symbol" w:hAnsi="Symbol" w:cs="Symbol"/>
      <w:color w:val="000000"/>
      <w:sz w:val="20"/>
    </w:rPr>
  </w:style>
  <w:style w:type="character" w:styleId="WW8Num39z6">
    <w:name w:val="WW8Num39z6"/>
    <w:qFormat/>
    <w:rPr>
      <w:rFonts w:ascii="Symbol" w:hAnsi="Symbol" w:cs="Symbol"/>
    </w:rPr>
  </w:style>
  <w:style w:type="character" w:styleId="WW8Num40z0">
    <w:name w:val="WW8Num40z0"/>
    <w:qFormat/>
    <w:rPr>
      <w:rFonts w:ascii="Symbol" w:hAnsi="Symbol" w:cs="Symbol"/>
    </w:rPr>
  </w:style>
  <w:style w:type="character" w:styleId="WW8Num40z1">
    <w:name w:val="WW8Num40z1"/>
    <w:qFormat/>
    <w:rPr>
      <w:rFonts w:ascii="Courier New" w:hAnsi="Courier New" w:cs="Courier New"/>
    </w:rPr>
  </w:style>
  <w:style w:type="character" w:styleId="WW8Num40z2">
    <w:name w:val="WW8Num40z2"/>
    <w:qFormat/>
    <w:rPr>
      <w:rFonts w:ascii="Wingdings" w:hAnsi="Wingdings" w:cs="Wingdings"/>
    </w:rPr>
  </w:style>
  <w:style w:type="character" w:styleId="WW8Num41z0">
    <w:name w:val="WW8Num41z0"/>
    <w:qFormat/>
    <w:rPr>
      <w:rFonts w:ascii="Symbol" w:hAnsi="Symbol" w:cs="Symbol"/>
    </w:rPr>
  </w:style>
  <w:style w:type="character" w:styleId="WW8Num41z2">
    <w:name w:val="WW8Num41z2"/>
    <w:qFormat/>
    <w:rPr>
      <w:rFonts w:ascii="Wingdings" w:hAnsi="Wingdings" w:cs="Wingdings"/>
    </w:rPr>
  </w:style>
  <w:style w:type="character" w:styleId="WW8Num41z4">
    <w:name w:val="WW8Num41z4"/>
    <w:qFormat/>
    <w:rPr>
      <w:rFonts w:ascii="Courier New" w:hAnsi="Courier New" w:cs="Courier New"/>
    </w:rPr>
  </w:style>
  <w:style w:type="character" w:styleId="WW8Num42z0">
    <w:name w:val="WW8Num42z0"/>
    <w:qFormat/>
    <w:rPr>
      <w:rFonts w:ascii="Symbol" w:hAnsi="Symbol" w:cs="Symbol"/>
      <w:color w:val="000000"/>
      <w:sz w:val="20"/>
    </w:rPr>
  </w:style>
  <w:style w:type="character" w:styleId="WW8Num42z1">
    <w:name w:val="WW8Num42z1"/>
    <w:qFormat/>
    <w:rPr>
      <w:rFonts w:ascii="Courier New" w:hAnsi="Courier New" w:cs="Courier New"/>
    </w:rPr>
  </w:style>
  <w:style w:type="character" w:styleId="WW8Num42z2">
    <w:name w:val="WW8Num42z2"/>
    <w:qFormat/>
    <w:rPr>
      <w:rFonts w:ascii="Wingdings" w:hAnsi="Wingdings" w:cs="Wingdings"/>
    </w:rPr>
  </w:style>
  <w:style w:type="character" w:styleId="WW8Num42z3">
    <w:name w:val="WW8Num42z3"/>
    <w:qFormat/>
    <w:rPr>
      <w:rFonts w:ascii="Wingdings 3" w:hAnsi="Wingdings 3" w:cs="Wingdings 3"/>
    </w:rPr>
  </w:style>
  <w:style w:type="character" w:styleId="WW8Num42z6">
    <w:name w:val="WW8Num42z6"/>
    <w:qFormat/>
    <w:rPr>
      <w:rFonts w:ascii="Symbol" w:hAnsi="Symbol" w:cs="Symbol"/>
    </w:rPr>
  </w:style>
  <w:style w:type="character" w:styleId="WW8Num43z0">
    <w:name w:val="WW8Num43z0"/>
    <w:qFormat/>
    <w:rPr>
      <w:rFonts w:ascii="Symbol" w:hAnsi="Symbol" w:cs="Symbol"/>
    </w:rPr>
  </w:style>
  <w:style w:type="character" w:styleId="WW8Num43z1">
    <w:name w:val="WW8Num43z1"/>
    <w:qFormat/>
    <w:rPr>
      <w:rFonts w:ascii="Courier New" w:hAnsi="Courier New" w:cs="Courier New"/>
    </w:rPr>
  </w:style>
  <w:style w:type="character" w:styleId="WW8Num43z2">
    <w:name w:val="WW8Num43z2"/>
    <w:qFormat/>
    <w:rPr>
      <w:rFonts w:ascii="Wingdings" w:hAnsi="Wingdings" w:cs="Wingdings"/>
    </w:rPr>
  </w:style>
  <w:style w:type="character" w:styleId="WW8Num44z0">
    <w:name w:val="WW8Num44z0"/>
    <w:qFormat/>
    <w:rPr>
      <w:rFonts w:ascii="Symbol" w:hAnsi="Symbol" w:cs="Symbol"/>
      <w:color w:val="000000"/>
    </w:rPr>
  </w:style>
  <w:style w:type="character" w:styleId="WW8Num44z1">
    <w:name w:val="WW8Num44z1"/>
    <w:qFormat/>
    <w:rPr>
      <w:rFonts w:ascii="Courier New" w:hAnsi="Courier New" w:cs="Courier New"/>
    </w:rPr>
  </w:style>
  <w:style w:type="character" w:styleId="WW8Num44z2">
    <w:name w:val="WW8Num44z2"/>
    <w:qFormat/>
    <w:rPr>
      <w:rFonts w:ascii="Wingdings" w:hAnsi="Wingdings" w:cs="Wingdings"/>
    </w:rPr>
  </w:style>
  <w:style w:type="character" w:styleId="WW8Num44z3">
    <w:name w:val="WW8Num44z3"/>
    <w:qFormat/>
    <w:rPr>
      <w:rFonts w:ascii="Symbol" w:hAnsi="Symbol" w:cs="Symbol"/>
    </w:rPr>
  </w:style>
  <w:style w:type="character" w:styleId="WW8Num45z0">
    <w:name w:val="WW8Num45z0"/>
    <w:qFormat/>
    <w:rPr>
      <w:rFonts w:ascii="Symbol" w:hAnsi="Symbol" w:cs="Symbol"/>
    </w:rPr>
  </w:style>
  <w:style w:type="character" w:styleId="WW8Num45z1">
    <w:name w:val="WW8Num45z1"/>
    <w:qFormat/>
    <w:rPr>
      <w:rFonts w:ascii="Courier New" w:hAnsi="Courier New" w:cs="Courier New"/>
    </w:rPr>
  </w:style>
  <w:style w:type="character" w:styleId="WW8Num45z2">
    <w:name w:val="WW8Num45z2"/>
    <w:qFormat/>
    <w:rPr>
      <w:rFonts w:ascii="Wingdings" w:hAnsi="Wingdings" w:cs="Wingdings"/>
    </w:rPr>
  </w:style>
  <w:style w:type="character" w:styleId="WW8Num46z0">
    <w:name w:val="WW8Num46z0"/>
    <w:qFormat/>
    <w:rPr>
      <w:rFonts w:ascii="Wingdings 3" w:hAnsi="Wingdings 3" w:cs="Wingdings 3"/>
    </w:rPr>
  </w:style>
  <w:style w:type="character" w:styleId="WW8Num46z1">
    <w:name w:val="WW8Num46z1"/>
    <w:qFormat/>
    <w:rPr>
      <w:rFonts w:ascii="Symbol" w:hAnsi="Symbol" w:cs="Symbol"/>
    </w:rPr>
  </w:style>
  <w:style w:type="character" w:styleId="WW8Num46z2">
    <w:name w:val="WW8Num46z2"/>
    <w:qFormat/>
    <w:rPr>
      <w:rFonts w:ascii="Wingdings" w:hAnsi="Wingdings" w:cs="Wingdings"/>
    </w:rPr>
  </w:style>
  <w:style w:type="character" w:styleId="WW8Num46z4">
    <w:name w:val="WW8Num46z4"/>
    <w:qFormat/>
    <w:rPr>
      <w:rFonts w:ascii="Courier New" w:hAnsi="Courier New" w:cs="Courier New"/>
    </w:rPr>
  </w:style>
  <w:style w:type="character" w:styleId="WW8Num47z0">
    <w:name w:val="WW8Num47z0"/>
    <w:qFormat/>
    <w:rPr>
      <w:rFonts w:ascii="Symbol" w:hAnsi="Symbol" w:cs="Symbol"/>
    </w:rPr>
  </w:style>
  <w:style w:type="character" w:styleId="WW8Num47z2">
    <w:name w:val="WW8Num47z2"/>
    <w:qFormat/>
    <w:rPr>
      <w:rFonts w:ascii="Wingdings" w:hAnsi="Wingdings" w:cs="Wingdings"/>
    </w:rPr>
  </w:style>
  <w:style w:type="character" w:styleId="WW8Num47z4">
    <w:name w:val="WW8Num47z4"/>
    <w:qFormat/>
    <w:rPr>
      <w:rFonts w:ascii="Courier New" w:hAnsi="Courier New" w:cs="Courier New"/>
    </w:rPr>
  </w:style>
  <w:style w:type="character" w:styleId="WW8Num48z0">
    <w:name w:val="WW8Num48z0"/>
    <w:qFormat/>
    <w:rPr>
      <w:rFonts w:ascii="Symbol" w:hAnsi="Symbol" w:cs="Symbol"/>
      <w:color w:val="000000"/>
      <w:sz w:val="20"/>
    </w:rPr>
  </w:style>
  <w:style w:type="character" w:styleId="WW8Num48z1">
    <w:name w:val="WW8Num48z1"/>
    <w:qFormat/>
    <w:rPr>
      <w:rFonts w:ascii="Courier New" w:hAnsi="Courier New" w:cs="Courier New"/>
    </w:rPr>
  </w:style>
  <w:style w:type="character" w:styleId="WW8Num48z2">
    <w:name w:val="WW8Num48z2"/>
    <w:qFormat/>
    <w:rPr>
      <w:rFonts w:ascii="Wingdings" w:hAnsi="Wingdings" w:cs="Wingdings"/>
    </w:rPr>
  </w:style>
  <w:style w:type="character" w:styleId="WW8Num48z3">
    <w:name w:val="WW8Num48z3"/>
    <w:qFormat/>
    <w:rPr>
      <w:rFonts w:ascii="Wingdings 3" w:hAnsi="Wingdings 3" w:cs="Wingdings 3"/>
    </w:rPr>
  </w:style>
  <w:style w:type="character" w:styleId="WW8Num48z6">
    <w:name w:val="WW8Num48z6"/>
    <w:qFormat/>
    <w:rPr>
      <w:rFonts w:ascii="Symbol" w:hAnsi="Symbol" w:cs="Symbol"/>
    </w:rPr>
  </w:style>
  <w:style w:type="character" w:styleId="WW8Num49z0">
    <w:name w:val="WW8Num49z0"/>
    <w:qFormat/>
    <w:rPr>
      <w:rFonts w:ascii="Symbol" w:hAnsi="Symbol" w:cs="Symbol"/>
    </w:rPr>
  </w:style>
  <w:style w:type="character" w:styleId="WW8Num49z1">
    <w:name w:val="WW8Num49z1"/>
    <w:qFormat/>
    <w:rPr>
      <w:rFonts w:ascii="Courier New" w:hAnsi="Courier New" w:cs="Courier New"/>
    </w:rPr>
  </w:style>
  <w:style w:type="character" w:styleId="WW8Num49z2">
    <w:name w:val="WW8Num49z2"/>
    <w:qFormat/>
    <w:rPr>
      <w:rFonts w:ascii="Wingdings" w:hAnsi="Wingdings" w:cs="Wingdings"/>
    </w:rPr>
  </w:style>
  <w:style w:type="character" w:styleId="WW8Num50z0">
    <w:name w:val="WW8Num50z0"/>
    <w:qFormat/>
    <w:rPr>
      <w:rFonts w:ascii="Symbol" w:hAnsi="Symbol" w:cs="Symbol"/>
    </w:rPr>
  </w:style>
  <w:style w:type="character" w:styleId="WW8Num50z1">
    <w:name w:val="WW8Num50z1"/>
    <w:qFormat/>
    <w:rPr>
      <w:rFonts w:ascii="Courier New" w:hAnsi="Courier New" w:cs="Courier New"/>
    </w:rPr>
  </w:style>
  <w:style w:type="character" w:styleId="WW8Num50z2">
    <w:name w:val="WW8Num50z2"/>
    <w:qFormat/>
    <w:rPr>
      <w:rFonts w:ascii="Wingdings" w:hAnsi="Wingdings" w:cs="Wingdings"/>
    </w:rPr>
  </w:style>
  <w:style w:type="character" w:styleId="WW8Num51z0">
    <w:name w:val="WW8Num51z0"/>
    <w:qFormat/>
    <w:rPr/>
  </w:style>
  <w:style w:type="character" w:styleId="WW8Num52z0">
    <w:name w:val="WW8Num52z0"/>
    <w:qFormat/>
    <w:rPr>
      <w:rFonts w:ascii="Wingdings 3" w:hAnsi="Wingdings 3" w:cs="Wingdings 3"/>
    </w:rPr>
  </w:style>
  <w:style w:type="character" w:styleId="WW8Num52z1">
    <w:name w:val="WW8Num52z1"/>
    <w:qFormat/>
    <w:rPr>
      <w:rFonts w:ascii="Courier New" w:hAnsi="Courier New" w:cs="Courier New"/>
    </w:rPr>
  </w:style>
  <w:style w:type="character" w:styleId="WW8Num52z2">
    <w:name w:val="WW8Num52z2"/>
    <w:qFormat/>
    <w:rPr>
      <w:rFonts w:ascii="Wingdings" w:hAnsi="Wingdings" w:cs="Wingdings"/>
    </w:rPr>
  </w:style>
  <w:style w:type="character" w:styleId="WW8Num52z3">
    <w:name w:val="WW8Num52z3"/>
    <w:qFormat/>
    <w:rPr>
      <w:rFonts w:ascii="Symbol" w:hAnsi="Symbol" w:cs="Symbol"/>
      <w:color w:val="000000"/>
      <w:sz w:val="20"/>
    </w:rPr>
  </w:style>
  <w:style w:type="character" w:styleId="WW8Num52z6">
    <w:name w:val="WW8Num52z6"/>
    <w:qFormat/>
    <w:rPr>
      <w:rFonts w:ascii="Symbol" w:hAnsi="Symbol" w:cs="Symbol"/>
    </w:rPr>
  </w:style>
  <w:style w:type="character" w:styleId="WW8Num53z0">
    <w:name w:val="WW8Num53z0"/>
    <w:qFormat/>
    <w:rPr/>
  </w:style>
  <w:style w:type="character" w:styleId="WW8Num54z0">
    <w:name w:val="WW8Num54z0"/>
    <w:qFormat/>
    <w:rPr>
      <w:rFonts w:ascii="Symbol" w:hAnsi="Symbol" w:cs="Symbol"/>
    </w:rPr>
  </w:style>
  <w:style w:type="character" w:styleId="WW8Num54z2">
    <w:name w:val="WW8Num54z2"/>
    <w:qFormat/>
    <w:rPr>
      <w:rFonts w:ascii="Wingdings" w:hAnsi="Wingdings" w:cs="Wingdings"/>
    </w:rPr>
  </w:style>
  <w:style w:type="character" w:styleId="WW8Num54z4">
    <w:name w:val="WW8Num54z4"/>
    <w:qFormat/>
    <w:rPr>
      <w:rFonts w:ascii="Courier New" w:hAnsi="Courier New" w:cs="Courier New"/>
    </w:rPr>
  </w:style>
  <w:style w:type="character" w:styleId="WW8Num55z0">
    <w:name w:val="WW8Num55z0"/>
    <w:qFormat/>
    <w:rPr>
      <w:rFonts w:ascii="Symbol" w:hAnsi="Symbol" w:cs="Symbol"/>
      <w:color w:val="000000"/>
      <w:sz w:val="20"/>
    </w:rPr>
  </w:style>
  <w:style w:type="character" w:styleId="WW8Num55z1">
    <w:name w:val="WW8Num55z1"/>
    <w:qFormat/>
    <w:rPr>
      <w:rFonts w:ascii="Courier New" w:hAnsi="Courier New" w:cs="Courier New"/>
    </w:rPr>
  </w:style>
  <w:style w:type="character" w:styleId="WW8Num55z2">
    <w:name w:val="WW8Num55z2"/>
    <w:qFormat/>
    <w:rPr>
      <w:rFonts w:ascii="Wingdings" w:hAnsi="Wingdings" w:cs="Wingdings"/>
    </w:rPr>
  </w:style>
  <w:style w:type="character" w:styleId="WW8Num55z3">
    <w:name w:val="WW8Num55z3"/>
    <w:qFormat/>
    <w:rPr>
      <w:rFonts w:ascii="Wingdings 3" w:hAnsi="Wingdings 3" w:cs="Wingdings 3"/>
    </w:rPr>
  </w:style>
  <w:style w:type="character" w:styleId="WW8Num55z6">
    <w:name w:val="WW8Num55z6"/>
    <w:qFormat/>
    <w:rPr>
      <w:rFonts w:ascii="Symbol" w:hAnsi="Symbol" w:cs="Symbol"/>
    </w:rPr>
  </w:style>
  <w:style w:type="character" w:styleId="WW8Num56z0">
    <w:name w:val="WW8Num56z0"/>
    <w:qFormat/>
    <w:rPr>
      <w:rFonts w:ascii="Symbol" w:hAnsi="Symbol" w:cs="Symbol"/>
    </w:rPr>
  </w:style>
  <w:style w:type="character" w:styleId="WW8Num56z1">
    <w:name w:val="WW8Num56z1"/>
    <w:qFormat/>
    <w:rPr>
      <w:rFonts w:ascii="Courier New" w:hAnsi="Courier New" w:cs="Courier New"/>
    </w:rPr>
  </w:style>
  <w:style w:type="character" w:styleId="WW8Num56z2">
    <w:name w:val="WW8Num56z2"/>
    <w:qFormat/>
    <w:rPr>
      <w:rFonts w:ascii="Wingdings" w:hAnsi="Wingdings" w:cs="Wingdings"/>
    </w:rPr>
  </w:style>
  <w:style w:type="character" w:styleId="WW8Num57z0">
    <w:name w:val="WW8Num57z0"/>
    <w:qFormat/>
    <w:rPr>
      <w:rFonts w:ascii="Symbol" w:hAnsi="Symbol" w:cs="Symbol"/>
      <w:color w:val="000000"/>
      <w:sz w:val="20"/>
    </w:rPr>
  </w:style>
  <w:style w:type="character" w:styleId="WW8Num57z1">
    <w:name w:val="WW8Num57z1"/>
    <w:qFormat/>
    <w:rPr>
      <w:rFonts w:ascii="Courier New" w:hAnsi="Courier New" w:cs="Courier New"/>
    </w:rPr>
  </w:style>
  <w:style w:type="character" w:styleId="WW8Num57z2">
    <w:name w:val="WW8Num57z2"/>
    <w:qFormat/>
    <w:rPr>
      <w:rFonts w:ascii="Wingdings" w:hAnsi="Wingdings" w:cs="Wingdings"/>
    </w:rPr>
  </w:style>
  <w:style w:type="character" w:styleId="WW8Num57z6">
    <w:name w:val="WW8Num57z6"/>
    <w:qFormat/>
    <w:rPr>
      <w:rFonts w:ascii="Symbol" w:hAnsi="Symbol" w:cs="Symbol"/>
    </w:rPr>
  </w:style>
  <w:style w:type="character" w:styleId="WW8Num58z0">
    <w:name w:val="WW8Num58z0"/>
    <w:qFormat/>
    <w:rPr>
      <w:rFonts w:ascii="Wingdings 3" w:hAnsi="Wingdings 3" w:cs="Wingdings 3"/>
    </w:rPr>
  </w:style>
  <w:style w:type="character" w:styleId="WW8Num58z1">
    <w:name w:val="WW8Num58z1"/>
    <w:qFormat/>
    <w:rPr>
      <w:rFonts w:ascii="Courier New" w:hAnsi="Courier New" w:cs="Courier New"/>
    </w:rPr>
  </w:style>
  <w:style w:type="character" w:styleId="WW8Num58z2">
    <w:name w:val="WW8Num58z2"/>
    <w:qFormat/>
    <w:rPr>
      <w:rFonts w:ascii="Wingdings" w:hAnsi="Wingdings" w:cs="Wingdings"/>
    </w:rPr>
  </w:style>
  <w:style w:type="character" w:styleId="WW8Num58z3">
    <w:name w:val="WW8Num58z3"/>
    <w:qFormat/>
    <w:rPr>
      <w:rFonts w:ascii="Symbol" w:hAnsi="Symbol" w:cs="Symbol"/>
      <w:color w:val="000000"/>
      <w:sz w:val="20"/>
    </w:rPr>
  </w:style>
  <w:style w:type="character" w:styleId="WW8Num58z6">
    <w:name w:val="WW8Num58z6"/>
    <w:qFormat/>
    <w:rPr>
      <w:rFonts w:ascii="Symbol" w:hAnsi="Symbol" w:cs="Symbol"/>
    </w:rPr>
  </w:style>
  <w:style w:type="character" w:styleId="WW8Num59z0">
    <w:name w:val="WW8Num59z0"/>
    <w:qFormat/>
    <w:rPr>
      <w:rFonts w:ascii="Symbol" w:hAnsi="Symbol" w:cs="Symbol"/>
      <w:color w:val="000000"/>
      <w:sz w:val="20"/>
    </w:rPr>
  </w:style>
  <w:style w:type="character" w:styleId="WW8Num59z1">
    <w:name w:val="WW8Num59z1"/>
    <w:qFormat/>
    <w:rPr>
      <w:rFonts w:ascii="Courier New" w:hAnsi="Courier New" w:cs="Courier New"/>
    </w:rPr>
  </w:style>
  <w:style w:type="character" w:styleId="WW8Num59z2">
    <w:name w:val="WW8Num59z2"/>
    <w:qFormat/>
    <w:rPr>
      <w:rFonts w:ascii="Wingdings" w:hAnsi="Wingdings" w:cs="Wingdings"/>
    </w:rPr>
  </w:style>
  <w:style w:type="character" w:styleId="WW8Num59z3">
    <w:name w:val="WW8Num59z3"/>
    <w:qFormat/>
    <w:rPr>
      <w:rFonts w:ascii="Wingdings 3" w:hAnsi="Wingdings 3" w:cs="Wingdings 3"/>
    </w:rPr>
  </w:style>
  <w:style w:type="character" w:styleId="WW8Num59z6">
    <w:name w:val="WW8Num59z6"/>
    <w:qFormat/>
    <w:rPr>
      <w:rFonts w:ascii="Symbol" w:hAnsi="Symbol" w:cs="Symbol"/>
    </w:rPr>
  </w:style>
  <w:style w:type="character" w:styleId="WW8Num60z0">
    <w:name w:val="WW8Num60z0"/>
    <w:qFormat/>
    <w:rPr>
      <w:rFonts w:ascii="Symbol" w:hAnsi="Symbol" w:cs="Symbol"/>
      <w:color w:val="000000"/>
    </w:rPr>
  </w:style>
  <w:style w:type="character" w:styleId="WW8Num60z1">
    <w:name w:val="WW8Num60z1"/>
    <w:qFormat/>
    <w:rPr>
      <w:rFonts w:ascii="Courier New" w:hAnsi="Courier New" w:cs="Courier New"/>
    </w:rPr>
  </w:style>
  <w:style w:type="character" w:styleId="WW8Num60z3">
    <w:name w:val="WW8Num60z3"/>
    <w:qFormat/>
    <w:rPr>
      <w:rFonts w:ascii="Symbol" w:hAnsi="Symbol" w:cs="Symbol"/>
    </w:rPr>
  </w:style>
  <w:style w:type="character" w:styleId="WW8Num60z5">
    <w:name w:val="WW8Num60z5"/>
    <w:qFormat/>
    <w:rPr>
      <w:rFonts w:ascii="Wingdings" w:hAnsi="Wingdings" w:cs="Wingdings"/>
    </w:rPr>
  </w:style>
  <w:style w:type="character" w:styleId="WW8Num61z0">
    <w:name w:val="WW8Num61z0"/>
    <w:qFormat/>
    <w:rPr>
      <w:rFonts w:ascii="Symbol" w:hAnsi="Symbol" w:cs="Symbol"/>
    </w:rPr>
  </w:style>
  <w:style w:type="character" w:styleId="WW8Num61z1">
    <w:name w:val="WW8Num61z1"/>
    <w:qFormat/>
    <w:rPr>
      <w:rFonts w:ascii="Courier New" w:hAnsi="Courier New" w:cs="Courier New"/>
    </w:rPr>
  </w:style>
  <w:style w:type="character" w:styleId="WW8Num61z2">
    <w:name w:val="WW8Num61z2"/>
    <w:qFormat/>
    <w:rPr>
      <w:rFonts w:ascii="Wingdings" w:hAnsi="Wingdings" w:cs="Wingdings"/>
    </w:rPr>
  </w:style>
  <w:style w:type="character" w:styleId="WW8Num62z0">
    <w:name w:val="WW8Num62z0"/>
    <w:qFormat/>
    <w:rPr>
      <w:rFonts w:ascii="Wingdings" w:hAnsi="Wingdings" w:cs="Wingdings"/>
    </w:rPr>
  </w:style>
  <w:style w:type="character" w:styleId="WW8Num62z1">
    <w:name w:val="WW8Num62z1"/>
    <w:qFormat/>
    <w:rPr>
      <w:rFonts w:ascii="Courier New" w:hAnsi="Courier New" w:cs="Courier New"/>
    </w:rPr>
  </w:style>
  <w:style w:type="character" w:styleId="WW8Num62z3">
    <w:name w:val="WW8Num62z3"/>
    <w:qFormat/>
    <w:rPr>
      <w:rFonts w:ascii="Symbol" w:hAnsi="Symbol" w:cs="Symbol"/>
    </w:rPr>
  </w:style>
  <w:style w:type="character" w:styleId="WW8Num63z0">
    <w:name w:val="WW8Num63z0"/>
    <w:qFormat/>
    <w:rPr>
      <w:rFonts w:ascii="Symbol" w:hAnsi="Symbol" w:cs="Symbol"/>
      <w:color w:val="000000"/>
    </w:rPr>
  </w:style>
  <w:style w:type="character" w:styleId="WW8Num63z1">
    <w:name w:val="WW8Num63z1"/>
    <w:qFormat/>
    <w:rPr>
      <w:rFonts w:ascii="Courier New" w:hAnsi="Courier New" w:cs="Courier New"/>
    </w:rPr>
  </w:style>
  <w:style w:type="character" w:styleId="WW8Num63z2">
    <w:name w:val="WW8Num63z2"/>
    <w:qFormat/>
    <w:rPr>
      <w:rFonts w:ascii="Wingdings" w:hAnsi="Wingdings" w:cs="Wingdings"/>
    </w:rPr>
  </w:style>
  <w:style w:type="character" w:styleId="WW8Num63z3">
    <w:name w:val="WW8Num63z3"/>
    <w:qFormat/>
    <w:rPr>
      <w:rFonts w:ascii="Symbol" w:hAnsi="Symbol" w:cs="Symbol"/>
    </w:rPr>
  </w:style>
  <w:style w:type="character" w:styleId="WW8Num64z0">
    <w:name w:val="WW8Num64z0"/>
    <w:qFormat/>
    <w:rPr>
      <w:rFonts w:ascii="Wingdings 3" w:hAnsi="Wingdings 3" w:cs="Wingdings 3"/>
    </w:rPr>
  </w:style>
  <w:style w:type="character" w:styleId="WW8Num64z1">
    <w:name w:val="WW8Num64z1"/>
    <w:qFormat/>
    <w:rPr>
      <w:rFonts w:ascii="Courier New" w:hAnsi="Courier New" w:cs="Courier New"/>
    </w:rPr>
  </w:style>
  <w:style w:type="character" w:styleId="WW8Num64z2">
    <w:name w:val="WW8Num64z2"/>
    <w:qFormat/>
    <w:rPr>
      <w:rFonts w:ascii="Wingdings" w:hAnsi="Wingdings" w:cs="Wingdings"/>
    </w:rPr>
  </w:style>
  <w:style w:type="character" w:styleId="WW8Num64z3">
    <w:name w:val="WW8Num64z3"/>
    <w:qFormat/>
    <w:rPr>
      <w:rFonts w:ascii="Symbol" w:hAnsi="Symbol" w:cs="Symbol"/>
      <w:color w:val="000000"/>
      <w:sz w:val="20"/>
    </w:rPr>
  </w:style>
  <w:style w:type="character" w:styleId="WW8Num64z6">
    <w:name w:val="WW8Num64z6"/>
    <w:qFormat/>
    <w:rPr>
      <w:rFonts w:ascii="Symbol" w:hAnsi="Symbol" w:cs="Symbol"/>
    </w:rPr>
  </w:style>
  <w:style w:type="character" w:styleId="WW8Num65z0">
    <w:name w:val="WW8Num65z0"/>
    <w:qFormat/>
    <w:rPr>
      <w:rFonts w:ascii="Wingdings 3" w:hAnsi="Wingdings 3" w:cs="Wingdings 3"/>
    </w:rPr>
  </w:style>
  <w:style w:type="character" w:styleId="WW8Num65z1">
    <w:name w:val="WW8Num65z1"/>
    <w:qFormat/>
    <w:rPr>
      <w:rFonts w:ascii="Courier New" w:hAnsi="Courier New" w:cs="Courier New"/>
    </w:rPr>
  </w:style>
  <w:style w:type="character" w:styleId="WW8Num65z2">
    <w:name w:val="WW8Num65z2"/>
    <w:qFormat/>
    <w:rPr>
      <w:rFonts w:ascii="Wingdings" w:hAnsi="Wingdings" w:cs="Wingdings"/>
    </w:rPr>
  </w:style>
  <w:style w:type="character" w:styleId="WW8Num65z3">
    <w:name w:val="WW8Num65z3"/>
    <w:qFormat/>
    <w:rPr>
      <w:rFonts w:ascii="Symbol" w:hAnsi="Symbol" w:cs="Symbol"/>
      <w:color w:val="000000"/>
      <w:sz w:val="20"/>
    </w:rPr>
  </w:style>
  <w:style w:type="character" w:styleId="WW8Num65z6">
    <w:name w:val="WW8Num65z6"/>
    <w:qFormat/>
    <w:rPr>
      <w:rFonts w:ascii="Symbol" w:hAnsi="Symbol" w:cs="Symbol"/>
    </w:rPr>
  </w:style>
  <w:style w:type="character" w:styleId="WW8Num66z0">
    <w:name w:val="WW8Num66z0"/>
    <w:qFormat/>
    <w:rPr>
      <w:rFonts w:ascii="Symbol" w:hAnsi="Symbol" w:cs="Symbol"/>
    </w:rPr>
  </w:style>
  <w:style w:type="character" w:styleId="WW8Num66z2">
    <w:name w:val="WW8Num66z2"/>
    <w:qFormat/>
    <w:rPr>
      <w:rFonts w:ascii="Wingdings" w:hAnsi="Wingdings" w:cs="Wingdings"/>
    </w:rPr>
  </w:style>
  <w:style w:type="character" w:styleId="WW8Num66z4">
    <w:name w:val="WW8Num66z4"/>
    <w:qFormat/>
    <w:rPr>
      <w:rFonts w:ascii="Courier New" w:hAnsi="Courier New" w:cs="Courier New"/>
    </w:rPr>
  </w:style>
  <w:style w:type="character" w:styleId="WW8Num67z0">
    <w:name w:val="WW8Num67z0"/>
    <w:qFormat/>
    <w:rPr>
      <w:rFonts w:ascii="Wingdings 3" w:hAnsi="Wingdings 3" w:cs="Wingdings 3"/>
    </w:rPr>
  </w:style>
  <w:style w:type="character" w:styleId="WW8Num67z1">
    <w:name w:val="WW8Num67z1"/>
    <w:qFormat/>
    <w:rPr>
      <w:rFonts w:ascii="Courier New" w:hAnsi="Courier New" w:cs="Courier New"/>
    </w:rPr>
  </w:style>
  <w:style w:type="character" w:styleId="WW8Num67z2">
    <w:name w:val="WW8Num67z2"/>
    <w:qFormat/>
    <w:rPr>
      <w:rFonts w:ascii="Wingdings" w:hAnsi="Wingdings" w:cs="Wingdings"/>
    </w:rPr>
  </w:style>
  <w:style w:type="character" w:styleId="WW8Num67z3">
    <w:name w:val="WW8Num67z3"/>
    <w:qFormat/>
    <w:rPr>
      <w:rFonts w:ascii="Symbol" w:hAnsi="Symbol" w:cs="Symbol"/>
      <w:color w:val="000000"/>
      <w:sz w:val="20"/>
    </w:rPr>
  </w:style>
  <w:style w:type="character" w:styleId="WW8Num67z6">
    <w:name w:val="WW8Num67z6"/>
    <w:qFormat/>
    <w:rPr>
      <w:rFonts w:ascii="Symbol" w:hAnsi="Symbol" w:cs="Symbol"/>
    </w:rPr>
  </w:style>
  <w:style w:type="character" w:styleId="WW8Num68z0">
    <w:name w:val="WW8Num68z0"/>
    <w:qFormat/>
    <w:rPr>
      <w:rFonts w:ascii="Symbol" w:hAnsi="Symbol" w:cs="Symbol"/>
    </w:rPr>
  </w:style>
  <w:style w:type="character" w:styleId="WW8Num68z2">
    <w:name w:val="WW8Num68z2"/>
    <w:qFormat/>
    <w:rPr>
      <w:rFonts w:ascii="Wingdings" w:hAnsi="Wingdings" w:cs="Wingdings"/>
    </w:rPr>
  </w:style>
  <w:style w:type="character" w:styleId="WW8Num68z4">
    <w:name w:val="WW8Num68z4"/>
    <w:qFormat/>
    <w:rPr>
      <w:rFonts w:ascii="Courier New" w:hAnsi="Courier New" w:cs="Courier New"/>
    </w:rPr>
  </w:style>
  <w:style w:type="character" w:styleId="WW8Num69z0">
    <w:name w:val="WW8Num69z0"/>
    <w:qFormat/>
    <w:rPr>
      <w:rFonts w:ascii="Symbol" w:hAnsi="Symbol" w:cs="Symbol"/>
    </w:rPr>
  </w:style>
  <w:style w:type="character" w:styleId="WW8Num69z1">
    <w:name w:val="WW8Num69z1"/>
    <w:qFormat/>
    <w:rPr>
      <w:rFonts w:ascii="Courier New" w:hAnsi="Courier New" w:cs="Courier New"/>
    </w:rPr>
  </w:style>
  <w:style w:type="character" w:styleId="WW8Num69z2">
    <w:name w:val="WW8Num69z2"/>
    <w:qFormat/>
    <w:rPr>
      <w:rFonts w:ascii="Wingdings" w:hAnsi="Wingdings" w:cs="Wingdings"/>
    </w:rPr>
  </w:style>
  <w:style w:type="character" w:styleId="WW8Num70z0">
    <w:name w:val="WW8Num70z0"/>
    <w:qFormat/>
    <w:rPr>
      <w:rFonts w:ascii="Symbol" w:hAnsi="Symbol" w:cs="Symbol"/>
    </w:rPr>
  </w:style>
  <w:style w:type="character" w:styleId="WW8Num70z1">
    <w:name w:val="WW8Num70z1"/>
    <w:qFormat/>
    <w:rPr>
      <w:rFonts w:ascii="Courier New" w:hAnsi="Courier New" w:cs="Courier New"/>
    </w:rPr>
  </w:style>
  <w:style w:type="character" w:styleId="WW8Num70z2">
    <w:name w:val="WW8Num70z2"/>
    <w:qFormat/>
    <w:rPr>
      <w:rFonts w:ascii="Wingdings" w:hAnsi="Wingdings" w:cs="Wingdings"/>
    </w:rPr>
  </w:style>
  <w:style w:type="character" w:styleId="WW8Num71z0">
    <w:name w:val="WW8Num71z0"/>
    <w:qFormat/>
    <w:rPr>
      <w:rFonts w:ascii="Symbol" w:hAnsi="Symbol" w:cs="Symbol"/>
    </w:rPr>
  </w:style>
  <w:style w:type="character" w:styleId="WW8Num71z1">
    <w:name w:val="WW8Num71z1"/>
    <w:qFormat/>
    <w:rPr>
      <w:rFonts w:cs="Courier New"/>
    </w:rPr>
  </w:style>
  <w:style w:type="character" w:styleId="WW8Num71z2">
    <w:name w:val="WW8Num71z2"/>
    <w:qFormat/>
    <w:rPr>
      <w:rFonts w:ascii="Wingdings" w:hAnsi="Wingdings" w:cs="Wingdings"/>
    </w:rPr>
  </w:style>
  <w:style w:type="character" w:styleId="WW8Num71z4">
    <w:name w:val="WW8Num71z4"/>
    <w:qFormat/>
    <w:rPr>
      <w:rFonts w:ascii="Courier New" w:hAnsi="Courier New" w:cs="Courier New"/>
    </w:rPr>
  </w:style>
  <w:style w:type="character" w:styleId="WW8Num72z0">
    <w:name w:val="WW8Num72z0"/>
    <w:qFormat/>
    <w:rPr>
      <w:rFonts w:ascii="Symbol" w:hAnsi="Symbol" w:cs="Symbol"/>
    </w:rPr>
  </w:style>
  <w:style w:type="character" w:styleId="WW8Num72z2">
    <w:name w:val="WW8Num72z2"/>
    <w:qFormat/>
    <w:rPr>
      <w:rFonts w:ascii="Wingdings" w:hAnsi="Wingdings" w:cs="Wingdings"/>
    </w:rPr>
  </w:style>
  <w:style w:type="character" w:styleId="WW8Num72z4">
    <w:name w:val="WW8Num72z4"/>
    <w:qFormat/>
    <w:rPr>
      <w:rFonts w:ascii="Courier New" w:hAnsi="Courier New" w:cs="Courier New"/>
    </w:rPr>
  </w:style>
  <w:style w:type="character" w:styleId="WW8Num73z0">
    <w:name w:val="WW8Num73z0"/>
    <w:qFormat/>
    <w:rPr>
      <w:rFonts w:ascii="Wingdings 3" w:hAnsi="Wingdings 3" w:cs="Wingdings 3"/>
    </w:rPr>
  </w:style>
  <w:style w:type="character" w:styleId="WW8Num73z1">
    <w:name w:val="WW8Num73z1"/>
    <w:qFormat/>
    <w:rPr>
      <w:rFonts w:ascii="Courier New" w:hAnsi="Courier New" w:cs="Courier New"/>
    </w:rPr>
  </w:style>
  <w:style w:type="character" w:styleId="WW8Num73z2">
    <w:name w:val="WW8Num73z2"/>
    <w:qFormat/>
    <w:rPr>
      <w:rFonts w:ascii="Wingdings" w:hAnsi="Wingdings" w:cs="Wingdings"/>
    </w:rPr>
  </w:style>
  <w:style w:type="character" w:styleId="WW8Num73z3">
    <w:name w:val="WW8Num73z3"/>
    <w:qFormat/>
    <w:rPr>
      <w:rFonts w:ascii="Symbol" w:hAnsi="Symbol" w:cs="Symbol"/>
      <w:color w:val="000000"/>
      <w:sz w:val="20"/>
    </w:rPr>
  </w:style>
  <w:style w:type="character" w:styleId="WW8Num73z6">
    <w:name w:val="WW8Num73z6"/>
    <w:qFormat/>
    <w:rPr>
      <w:rFonts w:ascii="Symbol" w:hAnsi="Symbol" w:cs="Symbol"/>
    </w:rPr>
  </w:style>
  <w:style w:type="character" w:styleId="WW8Num74z0">
    <w:name w:val="WW8Num74z0"/>
    <w:qFormat/>
    <w:rPr>
      <w:rFonts w:ascii="Symbol" w:hAnsi="Symbol" w:cs="Symbol"/>
    </w:rPr>
  </w:style>
  <w:style w:type="character" w:styleId="WW8Num74z1">
    <w:name w:val="WW8Num74z1"/>
    <w:qFormat/>
    <w:rPr/>
  </w:style>
  <w:style w:type="character" w:styleId="WW8Num74z2">
    <w:name w:val="WW8Num74z2"/>
    <w:qFormat/>
    <w:rPr>
      <w:rFonts w:ascii="Wingdings" w:hAnsi="Wingdings" w:cs="Wingdings"/>
    </w:rPr>
  </w:style>
  <w:style w:type="character" w:styleId="WW8Num74z4">
    <w:name w:val="WW8Num74z4"/>
    <w:qFormat/>
    <w:rPr>
      <w:rFonts w:ascii="Courier New" w:hAnsi="Courier New" w:cs="Courier New"/>
    </w:rPr>
  </w:style>
  <w:style w:type="character" w:styleId="WW8Num75z0">
    <w:name w:val="WW8Num75z0"/>
    <w:qFormat/>
    <w:rPr>
      <w:rFonts w:ascii="Symbol" w:hAnsi="Symbol" w:cs="Symbol"/>
    </w:rPr>
  </w:style>
  <w:style w:type="character" w:styleId="WW8Num75z1">
    <w:name w:val="WW8Num75z1"/>
    <w:qFormat/>
    <w:rPr>
      <w:rFonts w:ascii="Courier New" w:hAnsi="Courier New" w:cs="Courier New"/>
    </w:rPr>
  </w:style>
  <w:style w:type="character" w:styleId="WW8Num75z2">
    <w:name w:val="WW8Num75z2"/>
    <w:qFormat/>
    <w:rPr>
      <w:rFonts w:ascii="Wingdings" w:hAnsi="Wingdings" w:cs="Wingdings"/>
    </w:rPr>
  </w:style>
  <w:style w:type="character" w:styleId="WW8Num76z0">
    <w:name w:val="WW8Num76z0"/>
    <w:qFormat/>
    <w:rPr>
      <w:rFonts w:ascii="Wingdings 3" w:hAnsi="Wingdings 3" w:cs="Wingdings 3"/>
    </w:rPr>
  </w:style>
  <w:style w:type="character" w:styleId="WW8Num76z1">
    <w:name w:val="WW8Num76z1"/>
    <w:qFormat/>
    <w:rPr>
      <w:rFonts w:ascii="Courier New" w:hAnsi="Courier New" w:cs="Courier New"/>
    </w:rPr>
  </w:style>
  <w:style w:type="character" w:styleId="WW8Num76z2">
    <w:name w:val="WW8Num76z2"/>
    <w:qFormat/>
    <w:rPr>
      <w:rFonts w:ascii="Wingdings" w:hAnsi="Wingdings" w:cs="Wingdings"/>
    </w:rPr>
  </w:style>
  <w:style w:type="character" w:styleId="WW8Num76z3">
    <w:name w:val="WW8Num76z3"/>
    <w:qFormat/>
    <w:rPr>
      <w:rFonts w:ascii="Symbol" w:hAnsi="Symbol" w:cs="Symbol"/>
    </w:rPr>
  </w:style>
  <w:style w:type="character" w:styleId="WW8Num77z0">
    <w:name w:val="WW8Num77z0"/>
    <w:qFormat/>
    <w:rPr>
      <w:rFonts w:ascii="Wingdings 3" w:hAnsi="Wingdings 3" w:cs="Wingdings 3"/>
    </w:rPr>
  </w:style>
  <w:style w:type="character" w:styleId="WW8Num77z1">
    <w:name w:val="WW8Num77z1"/>
    <w:qFormat/>
    <w:rPr>
      <w:rFonts w:ascii="Courier New" w:hAnsi="Courier New" w:cs="Courier New"/>
    </w:rPr>
  </w:style>
  <w:style w:type="character" w:styleId="WW8Num77z2">
    <w:name w:val="WW8Num77z2"/>
    <w:qFormat/>
    <w:rPr>
      <w:rFonts w:ascii="Wingdings" w:hAnsi="Wingdings" w:cs="Wingdings"/>
    </w:rPr>
  </w:style>
  <w:style w:type="character" w:styleId="WW8Num77z3">
    <w:name w:val="WW8Num77z3"/>
    <w:qFormat/>
    <w:rPr>
      <w:rFonts w:ascii="Symbol" w:hAnsi="Symbol" w:cs="Symbol"/>
      <w:color w:val="000000"/>
      <w:sz w:val="20"/>
    </w:rPr>
  </w:style>
  <w:style w:type="character" w:styleId="WW8Num77z6">
    <w:name w:val="WW8Num77z6"/>
    <w:qFormat/>
    <w:rPr>
      <w:rFonts w:ascii="Symbol" w:hAnsi="Symbol" w:cs="Symbol"/>
    </w:rPr>
  </w:style>
  <w:style w:type="character" w:styleId="WW8Num78z0">
    <w:name w:val="WW8Num78z0"/>
    <w:qFormat/>
    <w:rPr>
      <w:rFonts w:ascii="Symbol" w:hAnsi="Symbol" w:cs="Symbol"/>
    </w:rPr>
  </w:style>
  <w:style w:type="character" w:styleId="WW8Num78z1">
    <w:name w:val="WW8Num78z1"/>
    <w:qFormat/>
    <w:rPr>
      <w:rFonts w:ascii="Courier New" w:hAnsi="Courier New" w:cs="Courier New"/>
    </w:rPr>
  </w:style>
  <w:style w:type="character" w:styleId="WW8Num78z2">
    <w:name w:val="WW8Num78z2"/>
    <w:qFormat/>
    <w:rPr>
      <w:rFonts w:ascii="Wingdings" w:hAnsi="Wingdings" w:cs="Wingdings"/>
    </w:rPr>
  </w:style>
  <w:style w:type="character" w:styleId="WW8Num79z0">
    <w:name w:val="WW8Num79z0"/>
    <w:qFormat/>
    <w:rPr>
      <w:rFonts w:ascii="Symbol" w:hAnsi="Symbol" w:cs="Symbol"/>
    </w:rPr>
  </w:style>
  <w:style w:type="character" w:styleId="WW8Num79z2">
    <w:name w:val="WW8Num79z2"/>
    <w:qFormat/>
    <w:rPr>
      <w:rFonts w:ascii="Wingdings" w:hAnsi="Wingdings" w:cs="Wingdings"/>
    </w:rPr>
  </w:style>
  <w:style w:type="character" w:styleId="WW8Num79z4">
    <w:name w:val="WW8Num79z4"/>
    <w:qFormat/>
    <w:rPr>
      <w:rFonts w:ascii="Courier New" w:hAnsi="Courier New" w:cs="Courier New"/>
    </w:rPr>
  </w:style>
  <w:style w:type="character" w:styleId="WW8Num80z0">
    <w:name w:val="WW8Num80z0"/>
    <w:qFormat/>
    <w:rPr>
      <w:rFonts w:ascii="Symbol" w:hAnsi="Symbol" w:cs="Symbol"/>
      <w:color w:val="000000"/>
    </w:rPr>
  </w:style>
  <w:style w:type="character" w:styleId="WW8Num80z1">
    <w:name w:val="WW8Num80z1"/>
    <w:qFormat/>
    <w:rPr>
      <w:rFonts w:ascii="Courier New" w:hAnsi="Courier New" w:cs="Courier New"/>
    </w:rPr>
  </w:style>
  <w:style w:type="character" w:styleId="WW8Num80z2">
    <w:name w:val="WW8Num80z2"/>
    <w:qFormat/>
    <w:rPr>
      <w:rFonts w:ascii="Wingdings" w:hAnsi="Wingdings" w:cs="Wingdings"/>
    </w:rPr>
  </w:style>
  <w:style w:type="character" w:styleId="WW8Num80z3">
    <w:name w:val="WW8Num80z3"/>
    <w:qFormat/>
    <w:rPr>
      <w:rFonts w:ascii="Symbol" w:hAnsi="Symbol" w:cs="Symbol"/>
    </w:rPr>
  </w:style>
  <w:style w:type="character" w:styleId="WW8Num81z0">
    <w:name w:val="WW8Num81z0"/>
    <w:qFormat/>
    <w:rPr>
      <w:rFonts w:ascii="Symbol" w:hAnsi="Symbol" w:cs="Symbol"/>
    </w:rPr>
  </w:style>
  <w:style w:type="character" w:styleId="WW8Num81z1">
    <w:name w:val="WW8Num81z1"/>
    <w:qFormat/>
    <w:rPr>
      <w:rFonts w:ascii="Courier New" w:hAnsi="Courier New" w:cs="Courier New"/>
    </w:rPr>
  </w:style>
  <w:style w:type="character" w:styleId="WW8Num81z2">
    <w:name w:val="WW8Num81z2"/>
    <w:qFormat/>
    <w:rPr>
      <w:rFonts w:ascii="Wingdings" w:hAnsi="Wingdings" w:cs="Wingdings"/>
    </w:rPr>
  </w:style>
  <w:style w:type="character" w:styleId="WW8Num82z2">
    <w:name w:val="WW8Num82z2"/>
    <w:qFormat/>
    <w:rPr>
      <w:rFonts w:ascii="Wingdings" w:hAnsi="Wingdings" w:cs="Wingdings"/>
    </w:rPr>
  </w:style>
  <w:style w:type="character" w:styleId="WW8Num82z3">
    <w:name w:val="WW8Num82z3"/>
    <w:qFormat/>
    <w:rPr>
      <w:rFonts w:ascii="Symbol" w:hAnsi="Symbol" w:cs="Symbol"/>
    </w:rPr>
  </w:style>
  <w:style w:type="character" w:styleId="WW8Num82z4">
    <w:name w:val="WW8Num82z4"/>
    <w:qFormat/>
    <w:rPr>
      <w:rFonts w:ascii="Courier New" w:hAnsi="Courier New" w:cs="Courier New"/>
    </w:rPr>
  </w:style>
  <w:style w:type="character" w:styleId="WW8Num83z0">
    <w:name w:val="WW8Num83z0"/>
    <w:qFormat/>
    <w:rPr>
      <w:rFonts w:ascii="Wingdings 3" w:hAnsi="Wingdings 3" w:cs="Wingdings 3"/>
    </w:rPr>
  </w:style>
  <w:style w:type="character" w:styleId="WW8Num83z1">
    <w:name w:val="WW8Num83z1"/>
    <w:qFormat/>
    <w:rPr>
      <w:rFonts w:ascii="Symbol" w:hAnsi="Symbol" w:cs="Symbol"/>
    </w:rPr>
  </w:style>
  <w:style w:type="character" w:styleId="WW8Num83z4">
    <w:name w:val="WW8Num83z4"/>
    <w:qFormat/>
    <w:rPr>
      <w:rFonts w:ascii="Courier New" w:hAnsi="Courier New" w:cs="Courier New"/>
    </w:rPr>
  </w:style>
  <w:style w:type="character" w:styleId="WW8Num83z5">
    <w:name w:val="WW8Num83z5"/>
    <w:qFormat/>
    <w:rPr>
      <w:rFonts w:ascii="Wingdings" w:hAnsi="Wingdings" w:cs="Wingdings"/>
    </w:rPr>
  </w:style>
  <w:style w:type="character" w:styleId="WW8Num84z0">
    <w:name w:val="WW8Num84z0"/>
    <w:qFormat/>
    <w:rPr>
      <w:rFonts w:ascii="Symbol" w:hAnsi="Symbol" w:cs="Symbol"/>
    </w:rPr>
  </w:style>
  <w:style w:type="character" w:styleId="WW8Num84z1">
    <w:name w:val="WW8Num84z1"/>
    <w:qFormat/>
    <w:rPr>
      <w:rFonts w:ascii="Courier New" w:hAnsi="Courier New" w:cs="Courier New"/>
    </w:rPr>
  </w:style>
  <w:style w:type="character" w:styleId="WW8Num84z2">
    <w:name w:val="WW8Num84z2"/>
    <w:qFormat/>
    <w:rPr>
      <w:rFonts w:ascii="Wingdings" w:hAnsi="Wingdings" w:cs="Wingdings"/>
    </w:rPr>
  </w:style>
  <w:style w:type="character" w:styleId="WW8Num85z0">
    <w:name w:val="WW8Num85z0"/>
    <w:qFormat/>
    <w:rPr>
      <w:rFonts w:ascii="Symbol" w:hAnsi="Symbol" w:cs="Symbol"/>
      <w:color w:val="000000"/>
    </w:rPr>
  </w:style>
  <w:style w:type="character" w:styleId="WW8Num85z1">
    <w:name w:val="WW8Num85z1"/>
    <w:qFormat/>
    <w:rPr>
      <w:rFonts w:ascii="Courier New" w:hAnsi="Courier New" w:cs="Courier New"/>
    </w:rPr>
  </w:style>
  <w:style w:type="character" w:styleId="WW8Num85z3">
    <w:name w:val="WW8Num85z3"/>
    <w:qFormat/>
    <w:rPr>
      <w:rFonts w:ascii="Symbol" w:hAnsi="Symbol" w:cs="Symbol"/>
    </w:rPr>
  </w:style>
  <w:style w:type="character" w:styleId="WW8Num85z5">
    <w:name w:val="WW8Num85z5"/>
    <w:qFormat/>
    <w:rPr>
      <w:rFonts w:ascii="Wingdings" w:hAnsi="Wingdings" w:cs="Wingdings"/>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rFonts w:ascii="Arial" w:hAnsi="Arial" w:cs="Arial"/>
      <w:b/>
      <w:bCs/>
      <w:u w:val="single"/>
    </w:rPr>
  </w:style>
  <w:style w:type="paragraph" w:styleId="BodyText">
    <w:name w:val="Body Text"/>
    <w:basedOn w:val="Normal"/>
    <w:pPr>
      <w:jc w:val="both"/>
    </w:pPr>
    <w:rPr>
      <w:rFonts w:ascii="Arial" w:hAnsi="Arial" w:cs="Arial"/>
      <w:b/>
      <w:bCs/>
      <w:i/>
      <w:iCs/>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1440" w:end="0"/>
      <w:jc w:val="both"/>
    </w:pPr>
    <w:rPr>
      <w:rFonts w:ascii="Arial" w:hAnsi="Arial" w:cs="Arial"/>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Subtitle">
    <w:name w:val="Subtitle"/>
    <w:basedOn w:val="Normal"/>
    <w:next w:val="BodyText"/>
    <w:qFormat/>
    <w:pPr>
      <w:spacing w:lineRule="auto" w:line="480"/>
      <w:jc w:val="both"/>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90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2001-06-06T18:31:00Z</dcterms:created>
  <dc:creator>lhuculia</dc:creator>
  <dc:description/>
  <dc:language>en-CA</dc:language>
  <cp:lastModifiedBy>lassaf</cp:lastModifiedBy>
  <cp:lastPrinted>2001-06-07T12:20:00Z</cp:lastPrinted>
  <dcterms:modified xsi:type="dcterms:W3CDTF">2001-06-07T14:17:00Z</dcterms:modified>
  <cp:revision>24</cp:revision>
  <dc:subject/>
  <dc:title>Market Opening</dc:title>
</cp:coreProperties>
</file>