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sz w:val="28"/>
          <w:u w:val="none"/>
        </w:rPr>
      </w:pPr>
      <w:r>
        <w:rPr>
          <w:sz w:val="28"/>
          <w:u w:val="none"/>
        </w:rPr>
        <w:t>ONTARIO MEETING</w:t>
      </w:r>
    </w:p>
    <w:p>
      <w:pPr>
        <w:pStyle w:val="Heading"/>
        <w:spacing w:lineRule="auto" w:line="360"/>
        <w:rPr>
          <w:sz w:val="28"/>
          <w:u w:val="none"/>
        </w:rPr>
      </w:pPr>
      <w:r>
        <w:rPr>
          <w:sz w:val="28"/>
          <w:u w:val="none"/>
        </w:rPr>
        <w:t>June 19, 2001</w:t>
      </w:r>
    </w:p>
    <w:p>
      <w:pPr>
        <w:pStyle w:val="Heading"/>
        <w:spacing w:lineRule="auto" w:line="360"/>
        <w:rPr>
          <w:b w:val="false"/>
          <w:bCs w:val="false"/>
          <w:sz w:val="28"/>
          <w:u w:val="none"/>
        </w:rPr>
      </w:pPr>
      <w:r>
        <w:rPr>
          <w:b w:val="false"/>
          <w:bCs w:val="false"/>
          <w:sz w:val="28"/>
          <w:u w:val="none"/>
        </w:rPr>
      </w:r>
    </w:p>
    <w:p>
      <w:pPr>
        <w:pStyle w:val="Heading"/>
        <w:spacing w:lineRule="auto" w:line="360"/>
        <w:rPr>
          <w:b w:val="false"/>
          <w:bCs w:val="false"/>
          <w:sz w:val="28"/>
          <w:u w:val="none"/>
        </w:rPr>
      </w:pPr>
      <w:r>
        <w:rPr>
          <w:b w:val="false"/>
          <w:bCs w:val="false"/>
          <w:sz w:val="28"/>
          <w:u w:val="none"/>
        </w:rPr>
      </w:r>
    </w:p>
    <w:p>
      <w:pPr>
        <w:pStyle w:val="Heading"/>
        <w:numPr>
          <w:ilvl w:val="0"/>
          <w:numId w:val="2"/>
        </w:numPr>
        <w:spacing w:lineRule="auto" w:line="360"/>
        <w:jc w:val="start"/>
        <w:rPr>
          <w:sz w:val="28"/>
          <w:u w:val="none"/>
        </w:rPr>
      </w:pPr>
      <w:r>
        <w:rPr>
          <w:sz w:val="28"/>
          <w:u w:val="none"/>
        </w:rPr>
        <w:t>ENRON</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0"/>
          <w:numId w:val="4"/>
        </w:numPr>
        <w:spacing w:lineRule="auto" w:line="360"/>
        <w:jc w:val="both"/>
        <w:rPr>
          <w:b w:val="false"/>
          <w:bCs w:val="false"/>
          <w:sz w:val="28"/>
          <w:u w:val="none"/>
        </w:rPr>
      </w:pPr>
      <w:r>
        <w:rPr>
          <w:b w:val="false"/>
          <w:bCs w:val="false"/>
          <w:sz w:val="28"/>
          <w:u w:val="none"/>
        </w:rPr>
        <w:t>Currently, we are the largest buyer and seller of natural gas and electricity in North America and Europe.</w:t>
      </w:r>
    </w:p>
    <w:p>
      <w:pPr>
        <w:pStyle w:val="Heading"/>
        <w:spacing w:lineRule="auto" w:line="360"/>
        <w:ind w:start="360" w:end="0"/>
        <w:jc w:val="both"/>
        <w:rPr>
          <w:b w:val="false"/>
          <w:bCs w:val="false"/>
          <w:sz w:val="28"/>
          <w:u w:val="none"/>
        </w:rPr>
      </w:pPr>
      <w:r>
        <w:rPr>
          <w:b w:val="false"/>
          <w:bCs w:val="false"/>
          <w:sz w:val="28"/>
          <w:u w:val="none"/>
        </w:rPr>
      </w:r>
    </w:p>
    <w:p>
      <w:pPr>
        <w:pStyle w:val="Heading"/>
        <w:spacing w:lineRule="auto" w:line="360"/>
        <w:ind w:start="720" w:end="0"/>
        <w:jc w:val="both"/>
        <w:rPr>
          <w:sz w:val="28"/>
          <w:u w:val="none"/>
        </w:rPr>
      </w:pPr>
      <w:r>
        <w:rPr>
          <w:sz w:val="28"/>
          <w:u w:val="none"/>
        </w:rPr>
        <w:t>ENRON CANADA</w:t>
      </w:r>
    </w:p>
    <w:p>
      <w:pPr>
        <w:pStyle w:val="Heading"/>
        <w:spacing w:lineRule="auto" w:line="360"/>
        <w:ind w:start="720" w:end="0"/>
        <w:jc w:val="both"/>
        <w:rPr>
          <w:b w:val="false"/>
          <w:bCs w:val="false"/>
          <w:sz w:val="28"/>
          <w:u w:val="none"/>
        </w:rPr>
      </w:pPr>
      <w:r>
        <w:rPr>
          <w:b w:val="false"/>
          <w:bCs w:val="false"/>
          <w:sz w:val="28"/>
          <w:u w:val="none"/>
        </w:rPr>
      </w:r>
    </w:p>
    <w:p>
      <w:pPr>
        <w:pStyle w:val="Heading"/>
        <w:numPr>
          <w:ilvl w:val="0"/>
          <w:numId w:val="7"/>
        </w:numPr>
        <w:spacing w:lineRule="auto" w:line="360"/>
        <w:jc w:val="both"/>
        <w:rPr>
          <w:b w:val="false"/>
          <w:bCs w:val="false"/>
          <w:sz w:val="28"/>
          <w:u w:val="none"/>
        </w:rPr>
      </w:pPr>
      <w:r>
        <w:rPr>
          <w:b w:val="false"/>
          <w:bCs w:val="false"/>
          <w:sz w:val="28"/>
          <w:u w:val="none"/>
        </w:rPr>
        <w:t xml:space="preserve">Enron Canada began operations in 1991 and now has offices in Toronto and Calgary and employees 150 people. </w:t>
      </w:r>
    </w:p>
    <w:p>
      <w:pPr>
        <w:pStyle w:val="Heading"/>
        <w:spacing w:lineRule="auto" w:line="360"/>
        <w:ind w:start="360" w:end="0"/>
        <w:jc w:val="both"/>
        <w:rPr>
          <w:b w:val="false"/>
          <w:bCs w:val="false"/>
          <w:sz w:val="28"/>
          <w:u w:val="none"/>
        </w:rPr>
      </w:pPr>
      <w:r>
        <w:rPr>
          <w:b w:val="false"/>
          <w:bCs w:val="false"/>
          <w:sz w:val="28"/>
          <w:u w:val="none"/>
        </w:rPr>
      </w:r>
    </w:p>
    <w:p>
      <w:pPr>
        <w:pStyle w:val="Heading"/>
        <w:spacing w:lineRule="auto" w:line="360"/>
        <w:ind w:start="720" w:end="0"/>
        <w:jc w:val="both"/>
        <w:rPr>
          <w:sz w:val="28"/>
          <w:u w:val="none"/>
        </w:rPr>
      </w:pPr>
      <w:r>
        <w:rPr>
          <w:sz w:val="28"/>
          <w:u w:val="none"/>
        </w:rPr>
        <w:t>POWER IN ALBERTA</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0"/>
          <w:numId w:val="7"/>
        </w:numPr>
        <w:spacing w:lineRule="auto" w:line="360"/>
        <w:jc w:val="both"/>
        <w:rPr>
          <w:b w:val="false"/>
          <w:bCs w:val="false"/>
          <w:sz w:val="28"/>
          <w:u w:val="none"/>
        </w:rPr>
      </w:pPr>
      <w:r>
        <w:rPr>
          <w:b w:val="false"/>
          <w:bCs w:val="false"/>
          <w:sz w:val="28"/>
          <w:u w:val="none"/>
        </w:rPr>
        <w:t>Enron Canada pre-paid $300 million in Alberta last year to acquire the power generated from a 706MW coal facility.  Over the 20 year life Enron will pay $2 billion for this power.</w:t>
      </w:r>
    </w:p>
    <w:p>
      <w:pPr>
        <w:pStyle w:val="Heading"/>
        <w:spacing w:lineRule="auto" w:line="360"/>
        <w:ind w:start="360" w:end="0"/>
        <w:jc w:val="both"/>
        <w:rPr>
          <w:b w:val="false"/>
          <w:bCs w:val="false"/>
          <w:sz w:val="28"/>
          <w:u w:val="none"/>
        </w:rPr>
      </w:pPr>
      <w:r>
        <w:rPr>
          <w:b w:val="false"/>
          <w:bCs w:val="false"/>
          <w:sz w:val="28"/>
          <w:u w:val="none"/>
        </w:rPr>
      </w:r>
    </w:p>
    <w:p>
      <w:pPr>
        <w:pStyle w:val="Heading"/>
        <w:spacing w:lineRule="auto" w:line="360"/>
        <w:ind w:start="720" w:end="0"/>
        <w:jc w:val="both"/>
        <w:rPr>
          <w:sz w:val="28"/>
          <w:u w:val="none"/>
        </w:rPr>
      </w:pPr>
      <w:r>
        <w:rPr>
          <w:sz w:val="28"/>
          <w:u w:val="none"/>
        </w:rPr>
        <w:t>POWER IN ONTARIO</w:t>
      </w:r>
    </w:p>
    <w:p>
      <w:pPr>
        <w:pStyle w:val="Heading"/>
        <w:spacing w:lineRule="auto" w:line="360"/>
        <w:ind w:start="720" w:end="0"/>
        <w:jc w:val="both"/>
        <w:rPr>
          <w:b w:val="false"/>
          <w:bCs w:val="false"/>
          <w:sz w:val="28"/>
          <w:u w:val="none"/>
        </w:rPr>
      </w:pPr>
      <w:r>
        <w:rPr>
          <w:b w:val="false"/>
          <w:bCs w:val="false"/>
          <w:sz w:val="28"/>
          <w:u w:val="none"/>
        </w:rPr>
      </w:r>
    </w:p>
    <w:p>
      <w:pPr>
        <w:pStyle w:val="Heading"/>
        <w:numPr>
          <w:ilvl w:val="0"/>
          <w:numId w:val="6"/>
        </w:numPr>
        <w:tabs>
          <w:tab w:val="left" w:pos="720" w:leader="none"/>
        </w:tabs>
        <w:spacing w:lineRule="auto" w:line="360"/>
        <w:ind w:hanging="360" w:start="720" w:end="0"/>
        <w:jc w:val="both"/>
        <w:rPr>
          <w:b w:val="false"/>
          <w:bCs w:val="false"/>
          <w:sz w:val="28"/>
          <w:u w:val="none"/>
        </w:rPr>
      </w:pPr>
      <w:r>
        <w:rPr>
          <w:b w:val="false"/>
          <w:bCs w:val="false"/>
          <w:sz w:val="28"/>
          <w:u w:val="none"/>
        </w:rPr>
        <w:t xml:space="preserve">In Ontario, Enron Canada has been a very active participant in the efforts to restructure the Ontario power Market and to help our customers get ready for the opening of the Market.  </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1"/>
          <w:numId w:val="6"/>
        </w:numPr>
        <w:spacing w:lineRule="auto" w:line="360"/>
        <w:jc w:val="both"/>
        <w:rPr>
          <w:b w:val="false"/>
          <w:bCs w:val="false"/>
          <w:sz w:val="28"/>
          <w:u w:val="none"/>
        </w:rPr>
      </w:pPr>
      <w:r>
        <w:rPr>
          <w:b w:val="false"/>
          <w:bCs w:val="false"/>
          <w:sz w:val="28"/>
          <w:u w:val="none"/>
        </w:rPr>
        <w:t>Represented on Market Design Committee.</w:t>
      </w:r>
    </w:p>
    <w:p>
      <w:pPr>
        <w:pStyle w:val="Heading"/>
        <w:numPr>
          <w:ilvl w:val="1"/>
          <w:numId w:val="6"/>
        </w:numPr>
        <w:spacing w:lineRule="auto" w:line="360"/>
        <w:jc w:val="both"/>
        <w:rPr>
          <w:b w:val="false"/>
          <w:bCs w:val="false"/>
          <w:sz w:val="28"/>
          <w:u w:val="none"/>
        </w:rPr>
      </w:pPr>
      <w:r>
        <w:rPr>
          <w:b w:val="false"/>
          <w:bCs w:val="false"/>
          <w:sz w:val="28"/>
          <w:u w:val="none"/>
        </w:rPr>
        <w:t>Represented on IMO Board of Directors.</w:t>
      </w:r>
    </w:p>
    <w:p>
      <w:pPr>
        <w:pStyle w:val="Heading"/>
        <w:numPr>
          <w:ilvl w:val="1"/>
          <w:numId w:val="6"/>
        </w:numPr>
        <w:spacing w:lineRule="auto" w:line="360"/>
        <w:jc w:val="both"/>
        <w:rPr>
          <w:b w:val="false"/>
          <w:bCs w:val="false"/>
          <w:sz w:val="28"/>
          <w:u w:val="none"/>
        </w:rPr>
      </w:pPr>
      <w:r>
        <w:rPr>
          <w:b w:val="false"/>
          <w:bCs w:val="false"/>
          <w:sz w:val="28"/>
          <w:u w:val="none"/>
        </w:rPr>
        <w:t>Was Represented on IMO Technical Panel.</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0"/>
          <w:numId w:val="7"/>
        </w:numPr>
        <w:spacing w:lineRule="auto" w:line="360"/>
        <w:jc w:val="both"/>
        <w:rPr>
          <w:b w:val="false"/>
          <w:bCs w:val="false"/>
          <w:sz w:val="28"/>
          <w:u w:val="none"/>
        </w:rPr>
      </w:pPr>
      <w:r>
        <w:rPr>
          <w:b w:val="false"/>
          <w:bCs w:val="false"/>
          <w:sz w:val="28"/>
          <w:u w:val="none"/>
        </w:rPr>
        <w:t>Through ENERconnect, Enron Canada is providing wholesale and retail settlement services to over 40 MEU’s in the Province.</w:t>
      </w:r>
    </w:p>
    <w:p>
      <w:pPr>
        <w:pStyle w:val="Heading"/>
        <w:spacing w:lineRule="auto" w:line="360"/>
        <w:jc w:val="both"/>
        <w:rPr>
          <w:b w:val="false"/>
          <w:bCs w:val="false"/>
          <w:sz w:val="28"/>
          <w:u w:val="none"/>
        </w:rPr>
      </w:pPr>
      <w:r>
        <w:rPr>
          <w:b w:val="false"/>
          <w:bCs w:val="false"/>
          <w:sz w:val="28"/>
          <w:u w:val="none"/>
        </w:rPr>
      </w:r>
    </w:p>
    <w:p>
      <w:pPr>
        <w:pStyle w:val="Heading"/>
        <w:numPr>
          <w:ilvl w:val="0"/>
          <w:numId w:val="7"/>
        </w:numPr>
        <w:spacing w:lineRule="auto" w:line="360"/>
        <w:jc w:val="both"/>
        <w:rPr>
          <w:b w:val="false"/>
          <w:bCs w:val="false"/>
          <w:sz w:val="28"/>
          <w:u w:val="none"/>
        </w:rPr>
      </w:pPr>
      <w:r>
        <w:rPr>
          <w:b w:val="false"/>
          <w:bCs w:val="false"/>
          <w:sz w:val="28"/>
          <w:u w:val="none"/>
        </w:rPr>
        <w:t>We are also providing risk management, energy commodity, and related services to industrial customers – we have already sold 250 MW of long-term power to help customers lock in prices in advance of Market opening.</w:t>
      </w:r>
    </w:p>
    <w:p>
      <w:pPr>
        <w:pStyle w:val="Heading"/>
        <w:spacing w:lineRule="auto" w:line="360"/>
        <w:jc w:val="both"/>
        <w:rPr>
          <w:b w:val="false"/>
          <w:bCs w:val="false"/>
          <w:sz w:val="28"/>
          <w:u w:val="none"/>
        </w:rPr>
      </w:pPr>
      <w:r>
        <w:rPr>
          <w:b w:val="false"/>
          <w:bCs w:val="false"/>
          <w:sz w:val="28"/>
          <w:u w:val="none"/>
        </w:rPr>
      </w:r>
    </w:p>
    <w:p>
      <w:pPr>
        <w:pStyle w:val="Heading"/>
        <w:numPr>
          <w:ilvl w:val="0"/>
          <w:numId w:val="7"/>
        </w:numPr>
        <w:spacing w:lineRule="auto" w:line="360"/>
        <w:jc w:val="both"/>
        <w:rPr>
          <w:b w:val="false"/>
          <w:bCs w:val="false"/>
          <w:sz w:val="28"/>
          <w:u w:val="none"/>
        </w:rPr>
      </w:pPr>
      <w:r>
        <w:rPr>
          <w:b w:val="false"/>
          <w:bCs w:val="false"/>
          <w:sz w:val="28"/>
          <w:u w:val="none"/>
        </w:rPr>
        <w:t>The Ontario Electricity Finance Corporation has also recently awarded Enron Canada, through an RFP process, the responsibility for assisting OEFC in the management of the non-utility generation contracts (NUG contracts) formerly held by Ontario Hydro (1750 MW).</w:t>
      </w:r>
    </w:p>
    <w:p>
      <w:pPr>
        <w:pStyle w:val="Heading"/>
        <w:spacing w:lineRule="auto" w:line="360"/>
        <w:jc w:val="both"/>
        <w:rPr>
          <w:b w:val="false"/>
          <w:bCs w:val="false"/>
          <w:sz w:val="28"/>
          <w:u w:val="none"/>
        </w:rPr>
      </w:pPr>
      <w:r>
        <w:rPr>
          <w:b w:val="false"/>
          <w:bCs w:val="false"/>
          <w:sz w:val="28"/>
          <w:u w:val="none"/>
        </w:rPr>
      </w:r>
    </w:p>
    <w:p>
      <w:pPr>
        <w:pStyle w:val="Heading"/>
        <w:numPr>
          <w:ilvl w:val="0"/>
          <w:numId w:val="7"/>
        </w:numPr>
        <w:spacing w:lineRule="auto" w:line="360"/>
        <w:jc w:val="both"/>
        <w:rPr>
          <w:b w:val="false"/>
          <w:bCs w:val="false"/>
          <w:sz w:val="28"/>
          <w:u w:val="none"/>
        </w:rPr>
      </w:pPr>
      <w:r>
        <w:rPr>
          <w:b w:val="false"/>
          <w:bCs w:val="false"/>
          <w:sz w:val="28"/>
          <w:u w:val="none"/>
        </w:rPr>
        <w:t>In 1999, Enron Canada initiated the development and permitting of a gas fired power plant near Sarnia &amp; has spent several million dollars on this project including purchasing the turbines in 1999 for nearly 40 Million Dollars.  Was delayed due to uncertainty around Market opening.</w:t>
      </w:r>
      <w:r>
        <w:br w:type="page"/>
      </w:r>
    </w:p>
    <w:p>
      <w:pPr>
        <w:pStyle w:val="Heading"/>
        <w:spacing w:lineRule="auto" w:line="360"/>
        <w:ind w:start="288" w:end="0"/>
        <w:jc w:val="both"/>
        <w:rPr>
          <w:b w:val="false"/>
          <w:bCs w:val="false"/>
          <w:sz w:val="28"/>
          <w:u w:val="none"/>
        </w:rPr>
      </w:pPr>
      <w:r>
        <w:rPr>
          <w:b w:val="false"/>
          <w:bCs w:val="false"/>
          <w:sz w:val="28"/>
          <w:u w:val="none"/>
        </w:rPr>
      </w:r>
    </w:p>
    <w:p>
      <w:pPr>
        <w:pStyle w:val="Heading"/>
        <w:numPr>
          <w:ilvl w:val="0"/>
          <w:numId w:val="2"/>
        </w:numPr>
        <w:tabs>
          <w:tab w:val="left" w:pos="720" w:leader="none"/>
        </w:tabs>
        <w:spacing w:lineRule="auto" w:line="360"/>
        <w:ind w:hanging="720" w:start="720" w:end="0"/>
        <w:jc w:val="both"/>
        <w:rPr>
          <w:sz w:val="28"/>
          <w:u w:val="none"/>
        </w:rPr>
      </w:pPr>
      <w:r>
        <w:rPr>
          <w:sz w:val="28"/>
          <w:u w:val="none"/>
        </w:rPr>
        <w:t xml:space="preserve">WE BELIEVE ONTARIO SHOULD MAKE AND STICK TO A DATE (THE SOONER THE BETTER) TO DEREGULATE THE ENERGY SECTOR IN ONTARIO. </w:t>
      </w:r>
    </w:p>
    <w:p>
      <w:pPr>
        <w:pStyle w:val="Heading"/>
        <w:spacing w:lineRule="auto" w:line="360"/>
        <w:jc w:val="both"/>
        <w:rPr>
          <w:sz w:val="28"/>
          <w:u w:val="none"/>
        </w:rPr>
      </w:pPr>
      <w:r>
        <w:rPr>
          <w:sz w:val="28"/>
          <w:u w:val="none"/>
        </w:rPr>
      </w:r>
    </w:p>
    <w:p>
      <w:pPr>
        <w:pStyle w:val="Heading"/>
        <w:numPr>
          <w:ilvl w:val="2"/>
          <w:numId w:val="2"/>
        </w:numPr>
        <w:tabs>
          <w:tab w:val="left" w:pos="720" w:leader="none"/>
        </w:tabs>
        <w:spacing w:lineRule="auto" w:line="360"/>
        <w:ind w:hanging="360" w:start="720" w:end="0"/>
        <w:jc w:val="both"/>
        <w:rPr>
          <w:b w:val="false"/>
          <w:bCs w:val="false"/>
          <w:sz w:val="28"/>
          <w:u w:val="none"/>
        </w:rPr>
      </w:pPr>
      <w:r>
        <w:rPr>
          <w:b w:val="false"/>
          <w:bCs w:val="false"/>
          <w:sz w:val="28"/>
          <w:u w:val="none"/>
        </w:rPr>
        <w:t>Ontario should be in a position to announce a date certain in September after the Independent Market Operator and the Ontario Energy Board deliver their market readiness reports to the Minister of Energy.</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2"/>
          <w:numId w:val="2"/>
        </w:numPr>
        <w:tabs>
          <w:tab w:val="left" w:pos="720" w:leader="none"/>
        </w:tabs>
        <w:spacing w:lineRule="auto" w:line="360"/>
        <w:ind w:hanging="360" w:start="720" w:end="0"/>
        <w:jc w:val="both"/>
        <w:rPr>
          <w:b w:val="false"/>
          <w:bCs w:val="false"/>
          <w:sz w:val="28"/>
          <w:u w:val="none"/>
        </w:rPr>
      </w:pPr>
      <w:r>
        <w:rPr>
          <w:b w:val="false"/>
          <w:bCs w:val="false"/>
          <w:sz w:val="28"/>
          <w:u w:val="none"/>
        </w:rPr>
        <w:t>Our Ontario staff remains confident that those reports will be positive.</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2"/>
          <w:numId w:val="2"/>
        </w:numPr>
        <w:tabs>
          <w:tab w:val="left" w:pos="720" w:leader="none"/>
        </w:tabs>
        <w:spacing w:lineRule="auto" w:line="360"/>
        <w:ind w:hanging="360" w:start="720" w:end="0"/>
        <w:jc w:val="both"/>
        <w:rPr>
          <w:b w:val="false"/>
          <w:bCs w:val="false"/>
          <w:sz w:val="28"/>
          <w:u w:val="none"/>
        </w:rPr>
      </w:pPr>
      <w:r>
        <w:rPr>
          <w:rFonts w:eastAsia="Arial"/>
          <w:b w:val="false"/>
          <w:bCs w:val="false"/>
          <w:sz w:val="28"/>
          <w:u w:val="none"/>
        </w:rPr>
        <w:t xml:space="preserve"> </w:t>
      </w:r>
      <w:r>
        <w:rPr>
          <w:b w:val="false"/>
          <w:bCs w:val="false"/>
          <w:sz w:val="28"/>
          <w:u w:val="none"/>
        </w:rPr>
        <w:t xml:space="preserve">The announcement of a date certain (in September) and an accelerated permitting process are critical to maintain the supply demand balance in Ontario.  This is the key to not only reliable energy but also reasonable prices in the long run.  Ontario is growing and their needs to be increases in supply soon!!!  </w:t>
      </w:r>
    </w:p>
    <w:p>
      <w:pPr>
        <w:pStyle w:val="Heading"/>
        <w:tabs>
          <w:tab w:val="clear" w:pos="720"/>
          <w:tab w:val="left" w:pos="2520" w:leader="none"/>
        </w:tabs>
        <w:spacing w:lineRule="auto" w:line="360"/>
        <w:ind w:start="360" w:end="0"/>
        <w:jc w:val="both"/>
        <w:rPr>
          <w:b w:val="false"/>
          <w:bCs w:val="false"/>
          <w:sz w:val="28"/>
          <w:u w:val="none"/>
        </w:rPr>
      </w:pPr>
      <w:r>
        <w:rPr>
          <w:b w:val="false"/>
          <w:bCs w:val="false"/>
          <w:sz w:val="28"/>
          <w:u w:val="none"/>
        </w:rPr>
      </w:r>
    </w:p>
    <w:p>
      <w:pPr>
        <w:pStyle w:val="Heading"/>
        <w:numPr>
          <w:ilvl w:val="0"/>
          <w:numId w:val="12"/>
        </w:numPr>
        <w:tabs>
          <w:tab w:val="left" w:pos="720" w:leader="none"/>
          <w:tab w:val="left" w:pos="1080" w:leader="none"/>
        </w:tabs>
        <w:spacing w:lineRule="auto" w:line="360"/>
        <w:ind w:hanging="360" w:start="720" w:end="0"/>
        <w:jc w:val="both"/>
        <w:rPr>
          <w:b w:val="false"/>
          <w:bCs w:val="false"/>
          <w:sz w:val="28"/>
          <w:u w:val="none"/>
        </w:rPr>
      </w:pPr>
      <w:r>
        <w:rPr>
          <w:b w:val="false"/>
          <w:bCs w:val="false"/>
          <w:sz w:val="28"/>
          <w:u w:val="none"/>
        </w:rPr>
        <w:t xml:space="preserve">Currently, the lack of certainty is delaying or eliminating generation projects in the province.  </w:t>
      </w:r>
    </w:p>
    <w:p>
      <w:pPr>
        <w:pStyle w:val="Heading"/>
        <w:tabs>
          <w:tab w:val="clear" w:pos="720"/>
          <w:tab w:val="left" w:pos="2520" w:leader="none"/>
        </w:tabs>
        <w:spacing w:lineRule="auto" w:line="360"/>
        <w:jc w:val="both"/>
        <w:rPr>
          <w:b w:val="false"/>
          <w:bCs w:val="false"/>
          <w:sz w:val="28"/>
          <w:u w:val="none"/>
        </w:rPr>
      </w:pPr>
      <w:r>
        <w:rPr>
          <w:b w:val="false"/>
          <w:bCs w:val="false"/>
          <w:sz w:val="28"/>
          <w:u w:val="none"/>
        </w:rPr>
      </w:r>
    </w:p>
    <w:p>
      <w:pPr>
        <w:pStyle w:val="Heading"/>
        <w:numPr>
          <w:ilvl w:val="0"/>
          <w:numId w:val="12"/>
        </w:numPr>
        <w:tabs>
          <w:tab w:val="left" w:pos="720" w:leader="none"/>
          <w:tab w:val="left" w:pos="1080" w:leader="none"/>
        </w:tabs>
        <w:spacing w:lineRule="auto" w:line="360"/>
        <w:ind w:hanging="360" w:start="720" w:end="0"/>
        <w:jc w:val="both"/>
        <w:rPr>
          <w:b w:val="false"/>
          <w:bCs w:val="false"/>
          <w:sz w:val="28"/>
          <w:u w:val="none"/>
        </w:rPr>
      </w:pPr>
      <w:r>
        <w:rPr>
          <w:b w:val="false"/>
          <w:bCs w:val="false"/>
          <w:sz w:val="28"/>
          <w:u w:val="none"/>
        </w:rPr>
        <w:t>The conditional nature of the market opening prevents most investors from taking projects from the planning stage to the groundbreaking stage required to ultimately bring on new supply.</w:t>
      </w:r>
    </w:p>
    <w:p>
      <w:pPr>
        <w:pStyle w:val="Heading"/>
        <w:tabs>
          <w:tab w:val="clear" w:pos="720"/>
          <w:tab w:val="left" w:pos="2520" w:leader="none"/>
        </w:tabs>
        <w:spacing w:lineRule="auto" w:line="360"/>
        <w:jc w:val="both"/>
        <w:rPr>
          <w:b w:val="false"/>
          <w:bCs w:val="false"/>
          <w:sz w:val="28"/>
          <w:u w:val="none"/>
        </w:rPr>
      </w:pPr>
      <w:r>
        <w:rPr>
          <w:b w:val="false"/>
          <w:bCs w:val="false"/>
          <w:sz w:val="28"/>
          <w:u w:val="none"/>
        </w:rPr>
      </w:r>
    </w:p>
    <w:p>
      <w:pPr>
        <w:pStyle w:val="Heading"/>
        <w:numPr>
          <w:ilvl w:val="0"/>
          <w:numId w:val="12"/>
        </w:numPr>
        <w:tabs>
          <w:tab w:val="left" w:pos="720" w:leader="none"/>
          <w:tab w:val="left" w:pos="1080" w:leader="none"/>
        </w:tabs>
        <w:spacing w:lineRule="auto" w:line="360"/>
        <w:ind w:hanging="360" w:start="720" w:end="0"/>
        <w:jc w:val="both"/>
        <w:rPr>
          <w:b w:val="false"/>
          <w:bCs w:val="false"/>
          <w:sz w:val="28"/>
          <w:u w:val="none"/>
        </w:rPr>
      </w:pPr>
      <w:r>
        <w:rPr>
          <w:b w:val="false"/>
          <w:bCs w:val="false"/>
          <w:sz w:val="28"/>
          <w:u w:val="none"/>
        </w:rPr>
        <w:t>Texas announced their deregulation plan in xxxxx and stuck with it.  20,000 MWs of new generation has come on stream in the last 2 ½ years.  The combination of a firm deregulation plan and a reasonable permitting process has led to Texas having plush reserve margins and a 5 year forward market under 4 cents a KWH.</w:t>
      </w:r>
    </w:p>
    <w:p>
      <w:pPr>
        <w:pStyle w:val="Heading"/>
        <w:tabs>
          <w:tab w:val="left" w:pos="720" w:leader="none"/>
        </w:tabs>
        <w:spacing w:lineRule="auto" w:line="360"/>
        <w:ind w:hanging="360" w:start="720" w:end="0"/>
        <w:jc w:val="both"/>
        <w:rPr>
          <w:b w:val="false"/>
          <w:bCs w:val="false"/>
          <w:sz w:val="28"/>
          <w:u w:val="none"/>
        </w:rPr>
      </w:pPr>
      <w:r>
        <w:rPr>
          <w:b w:val="false"/>
          <w:bCs w:val="false"/>
          <w:sz w:val="28"/>
          <w:u w:val="none"/>
        </w:rPr>
      </w:r>
    </w:p>
    <w:p>
      <w:pPr>
        <w:pStyle w:val="Heading"/>
        <w:numPr>
          <w:ilvl w:val="0"/>
          <w:numId w:val="9"/>
        </w:numPr>
        <w:spacing w:lineRule="auto" w:line="360"/>
        <w:jc w:val="both"/>
        <w:rPr>
          <w:b w:val="false"/>
          <w:bCs w:val="false"/>
          <w:sz w:val="28"/>
          <w:u w:val="none"/>
        </w:rPr>
      </w:pPr>
      <w:r>
        <w:rPr>
          <w:b w:val="false"/>
          <w:bCs w:val="false"/>
          <w:sz w:val="28"/>
          <w:u w:val="none"/>
        </w:rPr>
        <w:t>Although Alberta was initially criticized for its deregulation of Power it now has over xxx MW’s of announced power projects with over xxx MW’s very likely.  This is in a 6000-7000 MW market.  The Alberta forward curve has fallen dramatically this year and currently you can buy 10 year power for 4.75 cents a KWH.  And most importantly, there is no talk of Blackouts.</w:t>
      </w:r>
    </w:p>
    <w:p>
      <w:pPr>
        <w:pStyle w:val="Heading"/>
        <w:tabs>
          <w:tab w:val="left" w:pos="720" w:leader="none"/>
        </w:tabs>
        <w:spacing w:lineRule="auto" w:line="360"/>
        <w:ind w:hanging="360" w:start="720" w:end="0"/>
        <w:jc w:val="both"/>
        <w:rPr>
          <w:b w:val="false"/>
          <w:bCs w:val="false"/>
          <w:sz w:val="28"/>
          <w:u w:val="none"/>
        </w:rPr>
      </w:pPr>
      <w:r>
        <w:rPr>
          <w:b w:val="false"/>
          <w:bCs w:val="false"/>
          <w:sz w:val="28"/>
          <w:u w:val="none"/>
        </w:rPr>
      </w:r>
    </w:p>
    <w:p>
      <w:pPr>
        <w:pStyle w:val="Heading"/>
        <w:numPr>
          <w:ilvl w:val="0"/>
          <w:numId w:val="12"/>
        </w:numPr>
        <w:tabs>
          <w:tab w:val="left" w:pos="720" w:leader="none"/>
          <w:tab w:val="left" w:pos="1080" w:leader="none"/>
        </w:tabs>
        <w:spacing w:lineRule="auto" w:line="360"/>
        <w:ind w:hanging="360" w:start="720" w:end="0"/>
        <w:jc w:val="both"/>
        <w:rPr>
          <w:b w:val="false"/>
          <w:bCs w:val="false"/>
          <w:sz w:val="28"/>
          <w:u w:val="none"/>
        </w:rPr>
      </w:pPr>
      <w:r>
        <w:rPr>
          <w:b w:val="false"/>
          <w:bCs w:val="false"/>
          <w:sz w:val="28"/>
          <w:u w:val="none"/>
        </w:rPr>
        <w:t>With a date certain, Market Participants will realize that there are real implications for not putting the resources in place to ensure their systems and staff are ready for the new marketplace.  This in turn will prompt all participants to be ready.   MARKET PARTICIPANTS WILL NEVER GET READY UNLESS THEY BELIEVE THEY HAVE TO.</w:t>
      </w:r>
    </w:p>
    <w:p>
      <w:pPr>
        <w:pStyle w:val="BodyText"/>
        <w:spacing w:lineRule="auto" w:line="360"/>
        <w:ind w:start="360" w:end="0"/>
        <w:rPr>
          <w:b w:val="false"/>
          <w:bCs w:val="false"/>
          <w:i w:val="false"/>
          <w:i w:val="false"/>
          <w:iCs w:val="false"/>
          <w:sz w:val="28"/>
          <w:u w:val="none"/>
        </w:rPr>
      </w:pPr>
      <w:r>
        <w:rPr>
          <w:b w:val="false"/>
          <w:bCs w:val="false"/>
          <w:i w:val="false"/>
          <w:iCs w:val="false"/>
          <w:sz w:val="28"/>
          <w:u w:val="none"/>
        </w:rPr>
      </w:r>
    </w:p>
    <w:p>
      <w:pPr>
        <w:pStyle w:val="BodyText"/>
        <w:spacing w:lineRule="auto" w:line="360"/>
        <w:ind w:hanging="720" w:start="720" w:end="0"/>
        <w:rPr/>
      </w:pPr>
      <w:r>
        <w:rPr>
          <w:i w:val="false"/>
          <w:iCs w:val="false"/>
          <w:sz w:val="28"/>
        </w:rPr>
        <w:t xml:space="preserve">3.  </w:t>
        <w:tab/>
        <w:t>WHAT IF THE MARKET OPENS AND THE RESULT IS HIGH PRICES?</w:t>
        <w:tab/>
        <w:tab/>
        <w:tab/>
        <w:tab/>
        <w:tab/>
        <w:tab/>
        <w:tab/>
        <w:tab/>
        <w:tab/>
        <w:tab/>
        <w:tab/>
        <w:tab/>
      </w:r>
      <w:r>
        <w:rPr>
          <w:b w:val="false"/>
          <w:bCs w:val="false"/>
          <w:i w:val="false"/>
          <w:iCs w:val="false"/>
          <w:sz w:val="28"/>
        </w:rPr>
        <w:tab/>
        <w:tab/>
        <w:tab/>
        <w:tab/>
        <w:tab/>
        <w:tab/>
        <w:tab/>
        <w:tab/>
        <w:tab/>
        <w:tab/>
      </w:r>
    </w:p>
    <w:p>
      <w:pPr>
        <w:pStyle w:val="BodyText"/>
        <w:numPr>
          <w:ilvl w:val="0"/>
          <w:numId w:val="12"/>
        </w:numPr>
        <w:tabs>
          <w:tab w:val="left" w:pos="720" w:leader="none"/>
        </w:tabs>
        <w:spacing w:lineRule="auto" w:line="360"/>
        <w:ind w:hanging="360" w:start="720" w:end="0"/>
        <w:rPr>
          <w:b w:val="false"/>
          <w:bCs w:val="false"/>
          <w:i w:val="false"/>
          <w:i w:val="false"/>
          <w:iCs w:val="false"/>
          <w:sz w:val="28"/>
        </w:rPr>
      </w:pPr>
      <w:r>
        <w:rPr>
          <w:b w:val="false"/>
          <w:bCs w:val="false"/>
          <w:i w:val="false"/>
          <w:iCs w:val="false"/>
          <w:sz w:val="28"/>
        </w:rPr>
        <w:t>All Ontario end-use consumers are protected against price spikes by the MPMA “rebate” mechanism.</w:t>
        <w:tab/>
      </w:r>
    </w:p>
    <w:p>
      <w:pPr>
        <w:pStyle w:val="BodyText"/>
        <w:numPr>
          <w:ilvl w:val="1"/>
          <w:numId w:val="12"/>
        </w:numPr>
        <w:spacing w:lineRule="auto" w:line="360"/>
        <w:rPr>
          <w:b w:val="false"/>
          <w:bCs w:val="false"/>
          <w:sz w:val="28"/>
        </w:rPr>
      </w:pPr>
      <w:r>
        <w:rPr>
          <w:b w:val="false"/>
          <w:bCs w:val="false"/>
          <w:sz w:val="28"/>
        </w:rPr>
        <w:t>[Note:  the hedge is on about 67% of consumption, and would decline to about 52% if the lease of the Bruce facility qualified to reduce the rebate obligation.  However, it is not clear that the Bruce lease will qualify because of certain terms of the OPG/Bruce lease.  The hedge should decline even further with additional decontrol/divestiture of OPG assets.]</w:t>
      </w:r>
    </w:p>
    <w:p>
      <w:pPr>
        <w:pStyle w:val="BodyText"/>
        <w:spacing w:lineRule="auto" w:line="360"/>
        <w:rPr>
          <w:b w:val="false"/>
          <w:bCs w:val="false"/>
          <w:i w:val="false"/>
          <w:i w:val="false"/>
          <w:iCs w:val="false"/>
          <w:sz w:val="28"/>
        </w:rPr>
      </w:pPr>
      <w:r>
        <w:rPr>
          <w:b w:val="false"/>
          <w:bCs w:val="false"/>
          <w:i w:val="false"/>
          <w:iCs w:val="false"/>
          <w:sz w:val="28"/>
        </w:rPr>
      </w:r>
    </w:p>
    <w:p>
      <w:pPr>
        <w:pStyle w:val="BodyText"/>
        <w:numPr>
          <w:ilvl w:val="2"/>
          <w:numId w:val="13"/>
        </w:numPr>
        <w:tabs>
          <w:tab w:val="clear" w:pos="720"/>
        </w:tabs>
        <w:spacing w:lineRule="auto" w:line="360"/>
        <w:ind w:hanging="360" w:start="720" w:end="0"/>
        <w:rPr>
          <w:b w:val="false"/>
          <w:bCs w:val="false"/>
          <w:i w:val="false"/>
          <w:i w:val="false"/>
          <w:iCs w:val="false"/>
          <w:sz w:val="28"/>
        </w:rPr>
      </w:pPr>
      <w:r>
        <w:rPr>
          <w:b w:val="false"/>
          <w:bCs w:val="false"/>
          <w:i w:val="false"/>
          <w:iCs w:val="false"/>
          <w:sz w:val="28"/>
        </w:rPr>
        <w:t>A significant number of the small volume customers have already signed with retailers and are, accordingly, already hedged against price spikes / higher prices.</w:t>
      </w:r>
    </w:p>
    <w:p>
      <w:pPr>
        <w:pStyle w:val="BodyText"/>
        <w:spacing w:lineRule="auto" w:line="360"/>
        <w:ind w:start="360" w:end="0"/>
        <w:rPr>
          <w:b w:val="false"/>
          <w:bCs w:val="false"/>
          <w:i w:val="false"/>
          <w:i w:val="false"/>
          <w:iCs w:val="false"/>
          <w:sz w:val="28"/>
        </w:rPr>
      </w:pPr>
      <w:r>
        <w:rPr>
          <w:b w:val="false"/>
          <w:bCs w:val="false"/>
          <w:i w:val="false"/>
          <w:iCs w:val="false"/>
          <w:sz w:val="28"/>
        </w:rPr>
      </w:r>
    </w:p>
    <w:p>
      <w:pPr>
        <w:pStyle w:val="BodyText"/>
        <w:numPr>
          <w:ilvl w:val="2"/>
          <w:numId w:val="13"/>
        </w:numPr>
        <w:tabs>
          <w:tab w:val="clear" w:pos="720"/>
        </w:tabs>
        <w:spacing w:lineRule="auto" w:line="360"/>
        <w:ind w:hanging="360" w:start="720" w:end="0"/>
        <w:rPr>
          <w:b w:val="false"/>
          <w:bCs w:val="false"/>
          <w:i w:val="false"/>
          <w:i w:val="false"/>
          <w:iCs w:val="false"/>
          <w:sz w:val="28"/>
        </w:rPr>
      </w:pPr>
      <w:r>
        <w:rPr>
          <w:b w:val="false"/>
          <w:bCs w:val="false"/>
          <w:i w:val="false"/>
          <w:iCs w:val="false"/>
          <w:sz w:val="28"/>
        </w:rPr>
        <w:t>Industry estimates are that over 600,000 consumers (out of 4.2 million) have already signed up with competitive retailers, and that in some urban centres, the enrollment rate is about 35 – 40%.  These numbers will grow before market opening.</w:t>
      </w:r>
    </w:p>
    <w:p>
      <w:pPr>
        <w:pStyle w:val="BodyText"/>
        <w:spacing w:lineRule="auto" w:line="360"/>
        <w:ind w:start="1080" w:end="0"/>
        <w:rPr>
          <w:b w:val="false"/>
          <w:bCs w:val="false"/>
          <w:i w:val="false"/>
          <w:i w:val="false"/>
          <w:iCs w:val="false"/>
          <w:sz w:val="28"/>
        </w:rPr>
      </w:pPr>
      <w:r>
        <w:rPr>
          <w:b w:val="false"/>
          <w:bCs w:val="false"/>
          <w:i w:val="false"/>
          <w:iCs w:val="false"/>
          <w:sz w:val="28"/>
        </w:rPr>
      </w:r>
    </w:p>
    <w:p>
      <w:pPr>
        <w:pStyle w:val="BodyText"/>
        <w:numPr>
          <w:ilvl w:val="2"/>
          <w:numId w:val="13"/>
        </w:numPr>
        <w:tabs>
          <w:tab w:val="clear" w:pos="720"/>
        </w:tabs>
        <w:spacing w:lineRule="auto" w:line="360"/>
        <w:ind w:hanging="360" w:start="720" w:end="0"/>
        <w:rPr>
          <w:b w:val="false"/>
          <w:bCs w:val="false"/>
          <w:i w:val="false"/>
          <w:i w:val="false"/>
          <w:iCs w:val="false"/>
          <w:sz w:val="28"/>
        </w:rPr>
      </w:pPr>
      <w:r>
        <w:rPr>
          <w:b w:val="false"/>
          <w:bCs w:val="false"/>
          <w:i w:val="false"/>
          <w:iCs w:val="false"/>
          <w:sz w:val="28"/>
        </w:rPr>
        <w:t>Those small volume consumers who do not enroll with a retailer will receive electricity from their incumbent distributor under a price mechanism that will “smooth out” volatility over the year.</w:t>
      </w:r>
    </w:p>
    <w:p>
      <w:pPr>
        <w:pStyle w:val="BodyText"/>
        <w:spacing w:lineRule="auto" w:line="360"/>
        <w:ind w:start="360" w:end="0"/>
        <w:rPr>
          <w:b w:val="false"/>
          <w:bCs w:val="false"/>
          <w:i w:val="false"/>
          <w:i w:val="false"/>
          <w:iCs w:val="false"/>
          <w:sz w:val="28"/>
        </w:rPr>
      </w:pPr>
      <w:r>
        <w:rPr>
          <w:b w:val="false"/>
          <w:bCs w:val="false"/>
          <w:i w:val="false"/>
          <w:iCs w:val="false"/>
          <w:sz w:val="28"/>
        </w:rPr>
      </w:r>
    </w:p>
    <w:p>
      <w:pPr>
        <w:pStyle w:val="BodyText"/>
        <w:numPr>
          <w:ilvl w:val="2"/>
          <w:numId w:val="13"/>
        </w:numPr>
        <w:tabs>
          <w:tab w:val="clear" w:pos="720"/>
        </w:tabs>
        <w:spacing w:lineRule="auto" w:line="360"/>
        <w:ind w:hanging="360" w:start="720" w:end="0"/>
        <w:rPr>
          <w:b w:val="false"/>
          <w:bCs w:val="false"/>
          <w:i w:val="false"/>
          <w:i w:val="false"/>
          <w:iCs w:val="false"/>
          <w:sz w:val="28"/>
        </w:rPr>
      </w:pPr>
      <w:r>
        <w:rPr>
          <w:b w:val="false"/>
          <w:bCs w:val="false"/>
          <w:i w:val="false"/>
          <w:iCs w:val="false"/>
          <w:sz w:val="28"/>
        </w:rPr>
        <w:t xml:space="preserve">A significant number of the large volume industrial customers are already hedged by the OPG “transitional rates”.  </w:t>
      </w:r>
    </w:p>
    <w:p>
      <w:pPr>
        <w:pStyle w:val="BodyText"/>
        <w:spacing w:lineRule="auto" w:line="360"/>
        <w:rPr>
          <w:b w:val="false"/>
          <w:bCs w:val="false"/>
          <w:i w:val="false"/>
          <w:i w:val="false"/>
          <w:iCs w:val="false"/>
          <w:sz w:val="28"/>
        </w:rPr>
      </w:pPr>
      <w:r>
        <w:rPr>
          <w:b w:val="false"/>
          <w:bCs w:val="false"/>
          <w:i w:val="false"/>
          <w:iCs w:val="false"/>
          <w:sz w:val="28"/>
        </w:rPr>
      </w:r>
    </w:p>
    <w:p>
      <w:pPr>
        <w:pStyle w:val="BodyText"/>
        <w:numPr>
          <w:ilvl w:val="2"/>
          <w:numId w:val="13"/>
        </w:numPr>
        <w:tabs>
          <w:tab w:val="clear" w:pos="720"/>
        </w:tabs>
        <w:spacing w:lineRule="auto" w:line="360"/>
        <w:ind w:hanging="360" w:start="720" w:end="0"/>
        <w:rPr>
          <w:b w:val="false"/>
          <w:bCs w:val="false"/>
          <w:i w:val="false"/>
          <w:i w:val="false"/>
          <w:iCs w:val="false"/>
          <w:sz w:val="28"/>
        </w:rPr>
      </w:pPr>
      <w:r>
        <w:rPr>
          <w:b w:val="false"/>
          <w:bCs w:val="false"/>
          <w:i w:val="false"/>
          <w:iCs w:val="false"/>
          <w:sz w:val="28"/>
        </w:rPr>
        <w:t>Moreover, such large industrial customers have the option of securing further price protection from a provider such as Enron, OPG or Toronto Hydro Energy Services. As mentioned earlier Enron has already sold 250 MW of long-term contracts to eliminate consumer price risk.</w:t>
      </w:r>
    </w:p>
    <w:p>
      <w:pPr>
        <w:pStyle w:val="BodyText"/>
        <w:spacing w:lineRule="auto" w:line="360"/>
        <w:ind w:start="360" w:end="0"/>
        <w:rPr>
          <w:b w:val="false"/>
          <w:bCs w:val="false"/>
          <w:i w:val="false"/>
          <w:i w:val="false"/>
          <w:iCs w:val="false"/>
          <w:sz w:val="28"/>
        </w:rPr>
      </w:pPr>
      <w:r>
        <w:rPr>
          <w:b w:val="false"/>
          <w:bCs w:val="false"/>
          <w:i w:val="false"/>
          <w:iCs w:val="false"/>
          <w:sz w:val="28"/>
        </w:rPr>
      </w:r>
    </w:p>
    <w:p>
      <w:pPr>
        <w:pStyle w:val="BodyText"/>
        <w:numPr>
          <w:ilvl w:val="2"/>
          <w:numId w:val="13"/>
        </w:numPr>
        <w:tabs>
          <w:tab w:val="clear" w:pos="720"/>
        </w:tabs>
        <w:spacing w:lineRule="auto" w:line="360"/>
        <w:ind w:hanging="360" w:start="720" w:end="0"/>
        <w:rPr>
          <w:b w:val="false"/>
          <w:bCs w:val="false"/>
          <w:i w:val="false"/>
          <w:i w:val="false"/>
          <w:iCs w:val="false"/>
          <w:sz w:val="28"/>
        </w:rPr>
      </w:pPr>
      <w:r>
        <w:rPr>
          <w:b w:val="false"/>
          <w:bCs w:val="false"/>
          <w:i w:val="false"/>
          <w:iCs w:val="false"/>
          <w:sz w:val="28"/>
        </w:rPr>
        <w:t>In other words, Enron sees minimal affect of “price shock” to end-use consumers as a consequence of opening the market.</w:t>
      </w:r>
    </w:p>
    <w:p>
      <w:pPr>
        <w:pStyle w:val="BodyText"/>
        <w:spacing w:lineRule="auto" w:line="360"/>
        <w:ind w:start="360" w:end="0"/>
        <w:rPr>
          <w:b w:val="false"/>
          <w:bCs w:val="false"/>
          <w:i w:val="false"/>
          <w:i w:val="false"/>
          <w:iCs w:val="false"/>
          <w:sz w:val="28"/>
        </w:rPr>
      </w:pPr>
      <w:r>
        <w:rPr>
          <w:b w:val="false"/>
          <w:bCs w:val="false"/>
          <w:i w:val="false"/>
          <w:iCs w:val="false"/>
          <w:sz w:val="28"/>
        </w:rPr>
      </w:r>
    </w:p>
    <w:p>
      <w:pPr>
        <w:pStyle w:val="Heading"/>
        <w:spacing w:lineRule="auto" w:line="360"/>
        <w:ind w:hanging="720" w:start="720" w:end="0"/>
        <w:jc w:val="both"/>
        <w:rPr>
          <w:sz w:val="28"/>
          <w:u w:val="none"/>
        </w:rPr>
      </w:pPr>
      <w:r>
        <w:rPr>
          <w:sz w:val="28"/>
          <w:u w:val="none"/>
        </w:rPr>
        <w:t>4.</w:t>
        <w:tab/>
        <w:t>DOES ECONOMIC VALUE LEAVE ONTARIO IF THE MARKET OPENS AND PRICES SPIKE?</w:t>
        <w:tab/>
        <w:tab/>
        <w:tab/>
        <w:tab/>
        <w:tab/>
      </w:r>
    </w:p>
    <w:p>
      <w:pPr>
        <w:pStyle w:val="Heading"/>
        <w:spacing w:lineRule="auto" w:line="360"/>
        <w:ind w:hanging="720" w:start="720" w:end="0"/>
        <w:jc w:val="both"/>
        <w:rPr>
          <w:sz w:val="28"/>
          <w:u w:val="none"/>
        </w:rPr>
      </w:pPr>
      <w:r>
        <w:rPr>
          <w:sz w:val="28"/>
          <w:u w:val="none"/>
        </w:rPr>
      </w:r>
    </w:p>
    <w:p>
      <w:pPr>
        <w:pStyle w:val="Heading"/>
        <w:numPr>
          <w:ilvl w:val="0"/>
          <w:numId w:val="11"/>
        </w:numPr>
        <w:tabs>
          <w:tab w:val="left" w:pos="720" w:leader="none"/>
        </w:tabs>
        <w:spacing w:lineRule="auto" w:line="360"/>
        <w:ind w:hanging="360" w:start="720" w:end="0"/>
        <w:jc w:val="both"/>
        <w:rPr>
          <w:b w:val="false"/>
          <w:bCs w:val="false"/>
          <w:sz w:val="28"/>
          <w:u w:val="none"/>
        </w:rPr>
      </w:pPr>
      <w:r>
        <w:rPr>
          <w:b w:val="false"/>
          <w:bCs w:val="false"/>
          <w:sz w:val="28"/>
          <w:u w:val="none"/>
        </w:rPr>
        <w:t xml:space="preserve">OPG still owns 82% of </w:t>
      </w:r>
      <w:r>
        <w:rPr>
          <w:b w:val="false"/>
          <w:bCs w:val="false"/>
          <w:sz w:val="28"/>
        </w:rPr>
        <w:t>in-service</w:t>
      </w:r>
      <w:r>
        <w:rPr>
          <w:b w:val="false"/>
          <w:bCs w:val="false"/>
          <w:sz w:val="28"/>
          <w:u w:val="none"/>
        </w:rPr>
        <w:t xml:space="preserve"> generation capacity in Ontario and is 100% owned by the Ontario government.  If prices spike, Ontario retains most of the benefit and should receive higher bids for its generation.</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1"/>
          <w:numId w:val="11"/>
        </w:numPr>
        <w:spacing w:lineRule="auto" w:line="360"/>
        <w:jc w:val="both"/>
        <w:rPr>
          <w:b w:val="false"/>
          <w:bCs w:val="false"/>
          <w:i/>
          <w:i/>
          <w:iCs/>
          <w:sz w:val="28"/>
          <w:u w:val="none"/>
        </w:rPr>
      </w:pPr>
      <w:r>
        <w:rPr>
          <w:b w:val="false"/>
          <w:bCs w:val="false"/>
          <w:i/>
          <w:iCs/>
          <w:sz w:val="28"/>
          <w:u w:val="none"/>
        </w:rPr>
        <w:t xml:space="preserve">[Note:  the figure is 79% of </w:t>
      </w:r>
      <w:r>
        <w:rPr>
          <w:b w:val="false"/>
          <w:bCs w:val="false"/>
          <w:i/>
          <w:iCs/>
          <w:sz w:val="28"/>
        </w:rPr>
        <w:t>installed</w:t>
      </w:r>
      <w:r>
        <w:rPr>
          <w:b w:val="false"/>
          <w:bCs w:val="false"/>
          <w:i/>
          <w:iCs/>
          <w:sz w:val="28"/>
          <w:u w:val="none"/>
        </w:rPr>
        <w:t xml:space="preserve"> capacity, which includes the laid up Bruce and Pickering nuclear units].</w:t>
      </w:r>
    </w:p>
    <w:p>
      <w:pPr>
        <w:pStyle w:val="Heading"/>
        <w:spacing w:lineRule="auto" w:line="360"/>
        <w:jc w:val="both"/>
        <w:rPr>
          <w:b w:val="false"/>
          <w:bCs w:val="false"/>
          <w:sz w:val="28"/>
          <w:u w:val="none"/>
        </w:rPr>
      </w:pPr>
      <w:r>
        <w:rPr>
          <w:b w:val="false"/>
          <w:bCs w:val="false"/>
          <w:sz w:val="28"/>
          <w:u w:val="none"/>
        </w:rPr>
        <w:tab/>
      </w:r>
    </w:p>
    <w:p>
      <w:pPr>
        <w:pStyle w:val="Heading"/>
        <w:spacing w:lineRule="auto" w:line="360"/>
        <w:jc w:val="both"/>
        <w:rPr>
          <w:sz w:val="28"/>
          <w:u w:val="none"/>
        </w:rPr>
      </w:pPr>
      <w:r>
        <w:rPr>
          <w:sz w:val="28"/>
          <w:u w:val="none"/>
        </w:rPr>
        <w:t xml:space="preserve">5.  </w:t>
        <w:tab/>
        <w:t>ARE PRICES GOING TO BE HIGH?</w:t>
      </w:r>
    </w:p>
    <w:p>
      <w:pPr>
        <w:pStyle w:val="Heading"/>
        <w:spacing w:lineRule="auto" w:line="360"/>
        <w:jc w:val="both"/>
        <w:rPr>
          <w:b w:val="false"/>
          <w:bCs w:val="false"/>
          <w:sz w:val="28"/>
          <w:u w:val="none"/>
        </w:rPr>
      </w:pPr>
      <w:r>
        <w:rPr>
          <w:b w:val="false"/>
          <w:bCs w:val="false"/>
          <w:sz w:val="28"/>
          <w:u w:val="none"/>
        </w:rPr>
      </w:r>
    </w:p>
    <w:p>
      <w:pPr>
        <w:pStyle w:val="Heading"/>
        <w:numPr>
          <w:ilvl w:val="0"/>
          <w:numId w:val="11"/>
        </w:numPr>
        <w:tabs>
          <w:tab w:val="left" w:pos="720" w:leader="none"/>
        </w:tabs>
        <w:spacing w:lineRule="auto" w:line="360"/>
        <w:ind w:hanging="360" w:start="720" w:end="0"/>
        <w:jc w:val="both"/>
        <w:rPr>
          <w:b w:val="false"/>
          <w:bCs w:val="false"/>
          <w:sz w:val="28"/>
          <w:u w:val="none"/>
        </w:rPr>
      </w:pPr>
      <w:r>
        <w:rPr>
          <w:b w:val="false"/>
          <w:bCs w:val="false"/>
          <w:sz w:val="28"/>
          <w:u w:val="none"/>
        </w:rPr>
        <w:t xml:space="preserve">The most relevant U.S. market is New York West.  You can buy power in New York West for xxx for 5 years.  </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0"/>
          <w:numId w:val="11"/>
        </w:numPr>
        <w:tabs>
          <w:tab w:val="left" w:pos="720" w:leader="none"/>
        </w:tabs>
        <w:spacing w:lineRule="auto" w:line="360"/>
        <w:ind w:hanging="360" w:start="720" w:end="0"/>
        <w:jc w:val="both"/>
        <w:rPr>
          <w:b w:val="false"/>
          <w:bCs w:val="false"/>
          <w:sz w:val="28"/>
          <w:u w:val="none"/>
        </w:rPr>
      </w:pPr>
      <w:r>
        <w:rPr>
          <w:b w:val="false"/>
          <w:bCs w:val="false"/>
          <w:sz w:val="28"/>
          <w:u w:val="none"/>
        </w:rPr>
        <w:t xml:space="preserve">The Eastern U.S. appears to have a very healthy power grid other that Manhattan and Florida.  </w:t>
      </w:r>
    </w:p>
    <w:p>
      <w:pPr>
        <w:pStyle w:val="Heading"/>
        <w:spacing w:lineRule="auto" w:line="360"/>
        <w:jc w:val="both"/>
        <w:rPr>
          <w:b w:val="false"/>
          <w:bCs w:val="false"/>
          <w:sz w:val="28"/>
          <w:u w:val="none"/>
        </w:rPr>
      </w:pPr>
      <w:r>
        <w:rPr>
          <w:b w:val="false"/>
          <w:bCs w:val="false"/>
          <w:sz w:val="28"/>
          <w:u w:val="none"/>
        </w:rPr>
      </w:r>
    </w:p>
    <w:p>
      <w:pPr>
        <w:pStyle w:val="Heading"/>
        <w:numPr>
          <w:ilvl w:val="0"/>
          <w:numId w:val="11"/>
        </w:numPr>
        <w:tabs>
          <w:tab w:val="left" w:pos="720" w:leader="none"/>
        </w:tabs>
        <w:spacing w:lineRule="auto" w:line="360"/>
        <w:ind w:hanging="360" w:start="720" w:end="0"/>
        <w:jc w:val="both"/>
        <w:rPr>
          <w:b w:val="false"/>
          <w:bCs w:val="false"/>
          <w:sz w:val="28"/>
          <w:u w:val="none"/>
        </w:rPr>
      </w:pPr>
      <w:r>
        <w:rPr>
          <w:b w:val="false"/>
          <w:bCs w:val="false"/>
          <w:sz w:val="28"/>
          <w:u w:val="none"/>
        </w:rPr>
        <w:t>The New York ISO’s latest assessment is that New York State and New York City now meet reserve requirements, and there should be no blackouts in New York City this summer.</w:t>
      </w:r>
    </w:p>
    <w:p>
      <w:pPr>
        <w:pStyle w:val="Heading"/>
        <w:spacing w:lineRule="auto" w:line="360"/>
        <w:jc w:val="both"/>
        <w:rPr>
          <w:b w:val="false"/>
          <w:bCs w:val="false"/>
          <w:sz w:val="28"/>
          <w:u w:val="none"/>
        </w:rPr>
      </w:pPr>
      <w:r>
        <w:rPr>
          <w:b w:val="false"/>
          <w:bCs w:val="false"/>
          <w:sz w:val="28"/>
          <w:u w:val="none"/>
        </w:rPr>
      </w:r>
    </w:p>
    <w:p>
      <w:pPr>
        <w:pStyle w:val="Heading"/>
        <w:spacing w:lineRule="auto" w:line="360"/>
        <w:ind w:start="720" w:end="0"/>
        <w:jc w:val="both"/>
        <w:rPr>
          <w:b w:val="false"/>
          <w:bCs w:val="false"/>
          <w:i/>
          <w:i/>
          <w:iCs/>
          <w:sz w:val="28"/>
          <w:u w:val="none"/>
        </w:rPr>
      </w:pPr>
      <w:r>
        <w:rPr>
          <w:b w:val="false"/>
          <w:bCs w:val="false"/>
          <w:i/>
          <w:iCs/>
          <w:sz w:val="28"/>
          <w:u w:val="none"/>
        </w:rPr>
        <w:t>[Note:  Harris is meeting Governor Pataki on June 25 – 26 in Buffalo and Niagara Falls.]</w:t>
      </w:r>
    </w:p>
    <w:p>
      <w:pPr>
        <w:pStyle w:val="Heading"/>
        <w:spacing w:lineRule="auto" w:line="360"/>
        <w:jc w:val="both"/>
        <w:rPr>
          <w:b w:val="false"/>
          <w:bCs w:val="false"/>
          <w:i/>
          <w:i/>
          <w:iCs/>
          <w:sz w:val="28"/>
          <w:u w:val="none"/>
        </w:rPr>
      </w:pPr>
      <w:r>
        <w:rPr>
          <w:b w:val="false"/>
          <w:bCs w:val="false"/>
          <w:i/>
          <w:iCs/>
          <w:sz w:val="28"/>
          <w:u w:val="none"/>
        </w:rPr>
      </w:r>
    </w:p>
    <w:p>
      <w:pPr>
        <w:pStyle w:val="Heading"/>
        <w:numPr>
          <w:ilvl w:val="0"/>
          <w:numId w:val="11"/>
        </w:numPr>
        <w:tabs>
          <w:tab w:val="left" w:pos="720" w:leader="none"/>
        </w:tabs>
        <w:spacing w:lineRule="auto" w:line="360"/>
        <w:ind w:hanging="360" w:start="720" w:end="0"/>
        <w:jc w:val="both"/>
        <w:rPr>
          <w:b w:val="false"/>
          <w:bCs w:val="false"/>
          <w:sz w:val="28"/>
          <w:u w:val="none"/>
        </w:rPr>
      </w:pPr>
      <w:r>
        <w:rPr>
          <w:b w:val="false"/>
          <w:bCs w:val="false"/>
          <w:sz w:val="28"/>
          <w:u w:val="none"/>
        </w:rPr>
        <w:t>Our analysis shows Ontario is in good shape but like everywhere else, needs to have increases in supply over the next several years.</w:t>
      </w:r>
    </w:p>
    <w:p>
      <w:pPr>
        <w:pStyle w:val="Heading"/>
        <w:spacing w:lineRule="auto" w:line="360"/>
        <w:jc w:val="both"/>
        <w:rPr>
          <w:b w:val="false"/>
          <w:bCs w:val="false"/>
          <w:sz w:val="28"/>
          <w:u w:val="none"/>
        </w:rPr>
      </w:pPr>
      <w:r>
        <w:rPr>
          <w:b w:val="false"/>
          <w:bCs w:val="false"/>
          <w:sz w:val="28"/>
          <w:u w:val="none"/>
        </w:rPr>
      </w:r>
    </w:p>
    <w:p>
      <w:pPr>
        <w:pStyle w:val="Heading"/>
        <w:numPr>
          <w:ilvl w:val="0"/>
          <w:numId w:val="3"/>
        </w:numPr>
        <w:spacing w:lineRule="auto" w:line="360"/>
        <w:ind w:hanging="720" w:start="720" w:end="0"/>
        <w:jc w:val="both"/>
        <w:rPr>
          <w:sz w:val="28"/>
          <w:u w:val="none"/>
        </w:rPr>
      </w:pPr>
      <w:r>
        <w:rPr>
          <w:sz w:val="28"/>
          <w:u w:val="none"/>
        </w:rPr>
        <w:t xml:space="preserve">IS CALIFORNIA A REASON TO DELAY DEREGULATION? </w:t>
      </w:r>
    </w:p>
    <w:p>
      <w:pPr>
        <w:pStyle w:val="Heading"/>
        <w:spacing w:lineRule="auto" w:line="360"/>
        <w:jc w:val="both"/>
        <w:rPr>
          <w:b w:val="false"/>
          <w:bCs w:val="false"/>
          <w:sz w:val="28"/>
          <w:u w:val="none"/>
        </w:rPr>
      </w:pPr>
      <w:r>
        <w:rPr>
          <w:b w:val="false"/>
          <w:bCs w:val="false"/>
          <w:sz w:val="28"/>
          <w:u w:val="none"/>
        </w:rPr>
      </w:r>
    </w:p>
    <w:p>
      <w:pPr>
        <w:pStyle w:val="Heading"/>
        <w:numPr>
          <w:ilvl w:val="1"/>
          <w:numId w:val="5"/>
        </w:numPr>
        <w:tabs>
          <w:tab w:val="left" w:pos="720" w:leader="none"/>
        </w:tabs>
        <w:spacing w:lineRule="auto" w:line="360"/>
        <w:ind w:hanging="360" w:start="720" w:end="0"/>
        <w:jc w:val="both"/>
        <w:rPr>
          <w:b w:val="false"/>
          <w:bCs w:val="false"/>
          <w:sz w:val="28"/>
          <w:u w:val="none"/>
        </w:rPr>
      </w:pPr>
      <w:r>
        <w:rPr>
          <w:b w:val="false"/>
          <w:bCs w:val="false"/>
          <w:sz w:val="28"/>
          <w:u w:val="none"/>
        </w:rPr>
        <w:t xml:space="preserve">NO – CALIFORNIA IS THE REASON TO DEREGULATE QUICKLY </w:t>
      </w:r>
    </w:p>
    <w:p>
      <w:pPr>
        <w:pStyle w:val="Heading"/>
        <w:spacing w:lineRule="auto" w:line="360"/>
        <w:ind w:start="360" w:end="0"/>
        <w:jc w:val="both"/>
        <w:rPr>
          <w:b w:val="false"/>
          <w:bCs w:val="false"/>
          <w:sz w:val="28"/>
          <w:u w:val="none"/>
        </w:rPr>
      </w:pPr>
      <w:r>
        <w:rPr>
          <w:b w:val="false"/>
          <w:bCs w:val="false"/>
          <w:sz w:val="28"/>
          <w:u w:val="none"/>
        </w:rPr>
      </w:r>
    </w:p>
    <w:p>
      <w:pPr>
        <w:pStyle w:val="Heading"/>
        <w:numPr>
          <w:ilvl w:val="1"/>
          <w:numId w:val="5"/>
        </w:numPr>
        <w:tabs>
          <w:tab w:val="left" w:pos="720" w:leader="none"/>
        </w:tabs>
        <w:spacing w:lineRule="auto" w:line="360"/>
        <w:ind w:hanging="360" w:start="720" w:end="0"/>
        <w:jc w:val="both"/>
        <w:rPr>
          <w:b w:val="false"/>
          <w:bCs w:val="false"/>
          <w:sz w:val="28"/>
          <w:u w:val="none"/>
        </w:rPr>
      </w:pPr>
      <w:r>
        <w:rPr>
          <w:b w:val="false"/>
          <w:bCs w:val="false"/>
          <w:sz w:val="28"/>
          <w:u w:val="none"/>
        </w:rPr>
        <w:t>WHAT ARE THE KEY FACTS TO UNDERSTAND ABOUT CALIFORNIA?</w:t>
      </w:r>
    </w:p>
    <w:p>
      <w:pPr>
        <w:pStyle w:val="BodyText"/>
        <w:spacing w:lineRule="auto" w:line="360"/>
        <w:rPr>
          <w:b w:val="false"/>
          <w:bCs w:val="false"/>
          <w:i w:val="false"/>
          <w:i w:val="false"/>
          <w:iCs w:val="false"/>
          <w:sz w:val="28"/>
          <w:u w:val="none"/>
        </w:rPr>
      </w:pPr>
      <w:r>
        <w:rPr>
          <w:b w:val="false"/>
          <w:bCs w:val="false"/>
          <w:i w:val="false"/>
          <w:iCs w:val="false"/>
          <w:sz w:val="28"/>
          <w:u w:val="none"/>
        </w:rPr>
      </w:r>
    </w:p>
    <w:p>
      <w:pPr>
        <w:pStyle w:val="BodyText"/>
        <w:numPr>
          <w:ilvl w:val="0"/>
          <w:numId w:val="8"/>
        </w:numPr>
        <w:spacing w:lineRule="auto" w:line="360"/>
        <w:rPr>
          <w:b w:val="false"/>
          <w:bCs w:val="false"/>
          <w:i w:val="false"/>
          <w:i w:val="false"/>
          <w:iCs w:val="false"/>
          <w:sz w:val="28"/>
        </w:rPr>
      </w:pPr>
      <w:r>
        <w:rPr>
          <w:b w:val="false"/>
          <w:bCs w:val="false"/>
          <w:i w:val="false"/>
          <w:iCs w:val="false"/>
          <w:sz w:val="28"/>
        </w:rPr>
        <w:t>California made it extremely difficult to permit a power.  Only xxxx MW were built in California from 1995 to 2000.  Demand grew by xxxx MW.  Industry wanted to build generation but California made it very difficult.</w:t>
      </w:r>
    </w:p>
    <w:p>
      <w:pPr>
        <w:pStyle w:val="BodyText"/>
        <w:spacing w:lineRule="auto" w:line="360"/>
        <w:rPr>
          <w:b w:val="false"/>
          <w:bCs w:val="false"/>
          <w:i w:val="false"/>
          <w:i w:val="false"/>
          <w:iCs w:val="false"/>
          <w:sz w:val="28"/>
        </w:rPr>
      </w:pPr>
      <w:r>
        <w:rPr>
          <w:b w:val="false"/>
          <w:bCs w:val="false"/>
          <w:i w:val="false"/>
          <w:iCs w:val="false"/>
          <w:sz w:val="28"/>
        </w:rPr>
      </w:r>
    </w:p>
    <w:p>
      <w:pPr>
        <w:pStyle w:val="BodyText"/>
        <w:numPr>
          <w:ilvl w:val="0"/>
          <w:numId w:val="8"/>
        </w:numPr>
        <w:spacing w:lineRule="auto" w:line="360"/>
        <w:rPr>
          <w:b w:val="false"/>
          <w:bCs w:val="false"/>
          <w:i w:val="false"/>
          <w:i w:val="false"/>
          <w:iCs w:val="false"/>
          <w:sz w:val="28"/>
        </w:rPr>
      </w:pPr>
      <w:r>
        <w:rPr>
          <w:b w:val="false"/>
          <w:bCs w:val="false"/>
          <w:i w:val="false"/>
          <w:iCs w:val="false"/>
          <w:sz w:val="28"/>
        </w:rPr>
        <w:t>California relied on Hydro generated power from the Northwest and left itself exposed to a bad hydro year.</w:t>
      </w:r>
    </w:p>
    <w:p>
      <w:pPr>
        <w:pStyle w:val="BodyText"/>
        <w:spacing w:lineRule="auto" w:line="360"/>
        <w:rPr>
          <w:b w:val="false"/>
          <w:bCs w:val="false"/>
          <w:i w:val="false"/>
          <w:i w:val="false"/>
          <w:iCs w:val="false"/>
          <w:sz w:val="28"/>
        </w:rPr>
      </w:pPr>
      <w:r>
        <w:rPr>
          <w:b w:val="false"/>
          <w:bCs w:val="false"/>
          <w:i w:val="false"/>
          <w:iCs w:val="false"/>
          <w:sz w:val="28"/>
        </w:rPr>
      </w:r>
    </w:p>
    <w:p>
      <w:pPr>
        <w:pStyle w:val="BodyText"/>
        <w:numPr>
          <w:ilvl w:val="1"/>
          <w:numId w:val="8"/>
        </w:numPr>
        <w:spacing w:lineRule="auto" w:line="360"/>
        <w:rPr>
          <w:b w:val="false"/>
          <w:bCs w:val="false"/>
          <w:i w:val="false"/>
          <w:i w:val="false"/>
          <w:iCs w:val="false"/>
          <w:sz w:val="28"/>
        </w:rPr>
      </w:pPr>
      <w:r>
        <w:rPr>
          <w:b w:val="false"/>
          <w:bCs w:val="false"/>
          <w:i w:val="false"/>
          <w:iCs w:val="false"/>
          <w:sz w:val="28"/>
        </w:rPr>
        <w:t xml:space="preserve">California did not allow its users of power to be exposed to price increases and therefore had zero demand side response when wholesale power prices increased.  </w:t>
      </w:r>
    </w:p>
    <w:p>
      <w:pPr>
        <w:pStyle w:val="BodyText"/>
        <w:spacing w:lineRule="auto" w:line="360"/>
        <w:rPr>
          <w:b w:val="false"/>
          <w:bCs w:val="false"/>
          <w:i w:val="false"/>
          <w:i w:val="false"/>
          <w:iCs w:val="false"/>
          <w:sz w:val="28"/>
        </w:rPr>
      </w:pPr>
      <w:r>
        <w:rPr>
          <w:b w:val="false"/>
          <w:bCs w:val="false"/>
          <w:i w:val="false"/>
          <w:iCs w:val="false"/>
          <w:sz w:val="28"/>
        </w:rPr>
      </w:r>
    </w:p>
    <w:p>
      <w:pPr>
        <w:pStyle w:val="BodyText"/>
        <w:numPr>
          <w:ilvl w:val="1"/>
          <w:numId w:val="8"/>
        </w:numPr>
        <w:spacing w:lineRule="auto" w:line="360"/>
        <w:rPr>
          <w:b w:val="false"/>
          <w:bCs w:val="false"/>
          <w:i w:val="false"/>
          <w:i w:val="false"/>
          <w:iCs w:val="false"/>
          <w:sz w:val="28"/>
        </w:rPr>
      </w:pPr>
      <w:r>
        <w:rPr>
          <w:b w:val="false"/>
          <w:bCs w:val="false"/>
          <w:i w:val="false"/>
          <w:iCs w:val="false"/>
          <w:sz w:val="28"/>
        </w:rPr>
        <w:t>California forced its Utilities to sell its generation and would not let them hedge power forward.</w:t>
      </w:r>
    </w:p>
    <w:p>
      <w:pPr>
        <w:pStyle w:val="BodyText"/>
        <w:spacing w:lineRule="auto" w:line="360"/>
        <w:ind w:start="720" w:end="0"/>
        <w:rPr>
          <w:b w:val="false"/>
          <w:bCs w:val="false"/>
          <w:i w:val="false"/>
          <w:i w:val="false"/>
          <w:iCs w:val="false"/>
          <w:sz w:val="28"/>
        </w:rPr>
      </w:pPr>
      <w:r>
        <w:rPr>
          <w:b w:val="false"/>
          <w:bCs w:val="false"/>
          <w:i w:val="false"/>
          <w:iCs w:val="false"/>
          <w:sz w:val="28"/>
        </w:rPr>
      </w:r>
    </w:p>
    <w:p>
      <w:pPr>
        <w:pStyle w:val="BodyText"/>
        <w:spacing w:lineRule="auto" w:line="360"/>
        <w:ind w:start="720" w:end="0"/>
        <w:rPr>
          <w:b w:val="false"/>
          <w:bCs w:val="false"/>
          <w:sz w:val="28"/>
        </w:rPr>
      </w:pPr>
      <w:r>
        <w:rPr>
          <w:b w:val="false"/>
          <w:bCs w:val="false"/>
          <w:sz w:val="28"/>
        </w:rPr>
        <w:t>[Note:  the problem with highlighting this point about utility procurement, is that Ontario has adopted much the same approach with respect to forward contracting by the Ontario distribution utilities.  We fought this issue two years ago.  At this point, our approach has been to avoid continued debate on this issue and say that Ontario will have to revisit the forward contracting issue as the size of the MPMA rebate declines.]</w:t>
      </w:r>
    </w:p>
    <w:p>
      <w:pPr>
        <w:pStyle w:val="BodyText"/>
        <w:spacing w:lineRule="auto" w:line="360"/>
        <w:ind w:start="720" w:end="0"/>
        <w:rPr>
          <w:b w:val="false"/>
          <w:bCs w:val="false"/>
          <w:i w:val="false"/>
          <w:i w:val="false"/>
          <w:iCs w:val="false"/>
          <w:sz w:val="28"/>
        </w:rPr>
      </w:pPr>
      <w:r>
        <w:rPr>
          <w:b w:val="false"/>
          <w:bCs w:val="false"/>
          <w:i w:val="false"/>
          <w:iCs w:val="false"/>
          <w:sz w:val="28"/>
        </w:rPr>
      </w:r>
    </w:p>
    <w:p>
      <w:pPr>
        <w:pStyle w:val="BodyText"/>
        <w:numPr>
          <w:ilvl w:val="1"/>
          <w:numId w:val="8"/>
        </w:numPr>
        <w:spacing w:lineRule="auto" w:line="360"/>
        <w:rPr>
          <w:b w:val="false"/>
          <w:bCs w:val="false"/>
          <w:i w:val="false"/>
          <w:i w:val="false"/>
          <w:iCs w:val="false"/>
          <w:sz w:val="28"/>
        </w:rPr>
      </w:pPr>
      <w:r>
        <w:rPr>
          <w:b w:val="false"/>
          <w:bCs w:val="false"/>
          <w:i w:val="false"/>
          <w:iCs w:val="false"/>
          <w:sz w:val="28"/>
        </w:rPr>
        <w:t>CALIFORNIA’S PROBLEM WAS SIMPLY ECONOMICS</w:t>
      </w:r>
    </w:p>
    <w:p>
      <w:pPr>
        <w:pStyle w:val="BodyText"/>
        <w:spacing w:lineRule="auto" w:line="360"/>
        <w:rPr>
          <w:b w:val="false"/>
          <w:bCs w:val="false"/>
          <w:i w:val="false"/>
          <w:i w:val="false"/>
          <w:iCs w:val="false"/>
          <w:sz w:val="28"/>
        </w:rPr>
      </w:pPr>
      <w:r>
        <w:rPr>
          <w:b w:val="false"/>
          <w:bCs w:val="false"/>
          <w:i w:val="false"/>
          <w:iCs w:val="false"/>
          <w:sz w:val="28"/>
        </w:rPr>
      </w:r>
    </w:p>
    <w:p>
      <w:pPr>
        <w:pStyle w:val="BodyText"/>
        <w:numPr>
          <w:ilvl w:val="0"/>
          <w:numId w:val="10"/>
        </w:numPr>
        <w:spacing w:lineRule="auto" w:line="360"/>
        <w:rPr>
          <w:b w:val="false"/>
          <w:bCs w:val="false"/>
          <w:i w:val="false"/>
          <w:i w:val="false"/>
          <w:iCs w:val="false"/>
          <w:sz w:val="28"/>
        </w:rPr>
      </w:pPr>
      <w:r>
        <w:rPr>
          <w:b w:val="false"/>
          <w:bCs w:val="false"/>
          <w:i w:val="false"/>
          <w:iCs w:val="false"/>
          <w:sz w:val="28"/>
        </w:rPr>
        <w:t>DEMAND INCREASED WITH THE U.S. ECONOMIC EXPANSION</w:t>
      </w:r>
    </w:p>
    <w:p>
      <w:pPr>
        <w:pStyle w:val="BodyText"/>
        <w:numPr>
          <w:ilvl w:val="0"/>
          <w:numId w:val="10"/>
        </w:numPr>
        <w:spacing w:lineRule="auto" w:line="360"/>
        <w:rPr>
          <w:b w:val="false"/>
          <w:bCs w:val="false"/>
          <w:i w:val="false"/>
          <w:i w:val="false"/>
          <w:iCs w:val="false"/>
          <w:sz w:val="28"/>
        </w:rPr>
      </w:pPr>
      <w:r>
        <w:rPr>
          <w:b w:val="false"/>
          <w:bCs w:val="false"/>
          <w:i w:val="false"/>
          <w:iCs w:val="false"/>
          <w:sz w:val="28"/>
        </w:rPr>
        <w:t>SUPPLY STAYED FLAT (DUE TO PERMITTING ISSUES) AND THEN DECLINED WITH POOR HYDRO YEARS.</w:t>
      </w:r>
    </w:p>
    <w:p>
      <w:pPr>
        <w:pStyle w:val="BodyText"/>
        <w:numPr>
          <w:ilvl w:val="0"/>
          <w:numId w:val="10"/>
        </w:numPr>
        <w:spacing w:lineRule="auto" w:line="360"/>
        <w:rPr>
          <w:b w:val="false"/>
          <w:bCs w:val="false"/>
          <w:i w:val="false"/>
          <w:i w:val="false"/>
          <w:iCs w:val="false"/>
          <w:sz w:val="28"/>
        </w:rPr>
      </w:pPr>
      <w:r>
        <w:rPr>
          <w:b w:val="false"/>
          <w:bCs w:val="false"/>
          <w:i w:val="false"/>
          <w:iCs w:val="false"/>
          <w:sz w:val="28"/>
        </w:rPr>
        <w:t>WHEN THE SUPPLY DEMAND BALANCE TIGHTENED, DEMAND DID NOT FALL DUE TO LACK OF PRICE SIGNALS TO END USERS.</w:t>
      </w:r>
    </w:p>
    <w:p>
      <w:pPr>
        <w:pStyle w:val="BodyText"/>
        <w:numPr>
          <w:ilvl w:val="0"/>
          <w:numId w:val="10"/>
        </w:numPr>
        <w:spacing w:lineRule="auto" w:line="360"/>
        <w:rPr>
          <w:b w:val="false"/>
          <w:bCs w:val="false"/>
          <w:i w:val="false"/>
          <w:i w:val="false"/>
          <w:iCs w:val="false"/>
          <w:sz w:val="28"/>
        </w:rPr>
      </w:pPr>
      <w:r>
        <w:rPr>
          <w:b w:val="false"/>
          <w:bCs w:val="false"/>
          <w:i w:val="false"/>
          <w:iCs w:val="false"/>
          <w:sz w:val="28"/>
        </w:rPr>
        <w:t>THE PROBLEM SPIRALED OUT OF CONTROL UNTIL THEY INCREASED PRICES TO END USERS AND STARTED EXPADITING THE PERMITTING PROCESS.</w:t>
      </w:r>
    </w:p>
    <w:p>
      <w:pPr>
        <w:pStyle w:val="BodyText"/>
        <w:numPr>
          <w:ilvl w:val="0"/>
          <w:numId w:val="10"/>
        </w:numPr>
        <w:spacing w:lineRule="auto" w:line="360"/>
        <w:rPr>
          <w:b w:val="false"/>
          <w:bCs w:val="false"/>
          <w:i w:val="false"/>
          <w:i w:val="false"/>
          <w:iCs w:val="false"/>
          <w:sz w:val="28"/>
        </w:rPr>
      </w:pPr>
      <w:r>
        <w:rPr>
          <w:b w:val="false"/>
          <w:bCs w:val="false"/>
          <w:i w:val="false"/>
          <w:iCs w:val="false"/>
          <w:sz w:val="28"/>
        </w:rPr>
        <w:t>DEMAND HAS PLUMMETED AND SUPPLY IS COMING.  CALIFORNIA’S PROBLEMS COULD HAVE BEEN AVOIDED.</w:t>
      </w:r>
    </w:p>
    <w:p>
      <w:pPr>
        <w:pStyle w:val="BodyText"/>
        <w:spacing w:lineRule="auto" w:line="360"/>
        <w:rPr>
          <w:b w:val="false"/>
          <w:bCs w:val="false"/>
          <w:i w:val="false"/>
          <w:i w:val="false"/>
          <w:iCs w:val="false"/>
          <w:sz w:val="28"/>
        </w:rPr>
      </w:pPr>
      <w:r>
        <w:rPr>
          <w:b w:val="false"/>
          <w:bCs w:val="false"/>
          <w:i w:val="false"/>
          <w:iCs w:val="false"/>
          <w:sz w:val="28"/>
        </w:rPr>
      </w:r>
    </w:p>
    <w:p>
      <w:pPr>
        <w:pStyle w:val="BodyText"/>
        <w:spacing w:lineRule="auto" w:line="360"/>
        <w:rPr>
          <w:b w:val="false"/>
          <w:bCs w:val="false"/>
          <w:i w:val="false"/>
          <w:i w:val="false"/>
          <w:iCs w:val="false"/>
          <w:sz w:val="28"/>
        </w:rPr>
      </w:pPr>
      <w:r>
        <w:rPr>
          <w:b w:val="false"/>
          <w:bCs w:val="false"/>
          <w:i w:val="false"/>
          <w:iCs w:val="false"/>
          <w:sz w:val="28"/>
        </w:rPr>
        <w:t>NATURAL GAS EXAMPLE!!!!</w:t>
      </w:r>
    </w:p>
    <w:p>
      <w:pPr>
        <w:pStyle w:val="BodyText"/>
        <w:spacing w:lineRule="auto" w:line="360"/>
        <w:rPr>
          <w:b w:val="false"/>
          <w:bCs w:val="false"/>
          <w:i w:val="false"/>
          <w:i w:val="false"/>
          <w:iCs w:val="false"/>
          <w:sz w:val="28"/>
        </w:rPr>
      </w:pPr>
      <w:r>
        <w:rPr>
          <w:b w:val="false"/>
          <w:bCs w:val="false"/>
          <w:i w:val="false"/>
          <w:iCs w:val="false"/>
          <w:sz w:val="28"/>
        </w:rPr>
      </w:r>
    </w:p>
    <w:p>
      <w:pPr>
        <w:pStyle w:val="BodyText"/>
        <w:spacing w:lineRule="auto" w:line="360"/>
        <w:rPr>
          <w:b w:val="false"/>
          <w:bCs w:val="false"/>
          <w:i w:val="false"/>
          <w:i w:val="false"/>
          <w:iCs w:val="false"/>
          <w:sz w:val="28"/>
        </w:rPr>
      </w:pPr>
      <w:r>
        <w:rPr>
          <w:b w:val="false"/>
          <w:bCs w:val="false"/>
          <w:i w:val="false"/>
          <w:iCs w:val="false"/>
          <w:sz w:val="28"/>
        </w:rPr>
        <w:t>WHAT SHOULD ONTARIO DO?</w:t>
      </w:r>
    </w:p>
    <w:p>
      <w:pPr>
        <w:pStyle w:val="BodyText"/>
        <w:spacing w:lineRule="auto" w:line="360"/>
        <w:ind w:firstLine="360" w:end="0"/>
        <w:rPr>
          <w:b w:val="false"/>
          <w:bCs w:val="false"/>
          <w:i w:val="false"/>
          <w:i w:val="false"/>
          <w:iCs w:val="false"/>
          <w:sz w:val="28"/>
        </w:rPr>
      </w:pPr>
      <w:r>
        <w:rPr>
          <w:b w:val="false"/>
          <w:bCs w:val="false"/>
          <w:i w:val="false"/>
          <w:iCs w:val="false"/>
          <w:sz w:val="28"/>
        </w:rPr>
      </w:r>
    </w:p>
    <w:p>
      <w:pPr>
        <w:pStyle w:val="BodyText"/>
        <w:spacing w:lineRule="auto" w:line="360"/>
        <w:ind w:hanging="360" w:start="720" w:end="0"/>
        <w:rPr>
          <w:b w:val="false"/>
          <w:bCs w:val="false"/>
          <w:i w:val="false"/>
          <w:i w:val="false"/>
          <w:iCs w:val="false"/>
          <w:sz w:val="28"/>
        </w:rPr>
      </w:pPr>
      <w:r>
        <w:rPr>
          <w:b w:val="false"/>
          <w:bCs w:val="false"/>
          <w:i w:val="false"/>
          <w:iCs w:val="false"/>
          <w:sz w:val="28"/>
        </w:rPr>
        <w:t>1.</w:t>
        <w:tab/>
        <w:t>SET A FIRM DEREGULATION DATE.</w:t>
      </w:r>
    </w:p>
    <w:p>
      <w:pPr>
        <w:pStyle w:val="BodyText"/>
        <w:numPr>
          <w:ilvl w:val="0"/>
          <w:numId w:val="3"/>
        </w:numPr>
        <w:spacing w:lineRule="auto" w:line="360"/>
        <w:rPr>
          <w:b w:val="false"/>
          <w:bCs w:val="false"/>
          <w:i w:val="false"/>
          <w:i w:val="false"/>
          <w:iCs w:val="false"/>
          <w:sz w:val="28"/>
        </w:rPr>
      </w:pPr>
      <w:r>
        <w:rPr>
          <w:b w:val="false"/>
          <w:bCs w:val="false"/>
          <w:i w:val="false"/>
          <w:iCs w:val="false"/>
          <w:sz w:val="28"/>
        </w:rPr>
        <w:t>ENCOURAGE NEW SUPPLY.</w:t>
      </w:r>
    </w:p>
    <w:p>
      <w:pPr>
        <w:pStyle w:val="BodyText"/>
        <w:numPr>
          <w:ilvl w:val="0"/>
          <w:numId w:val="3"/>
        </w:numPr>
        <w:spacing w:lineRule="auto" w:line="360"/>
        <w:rPr>
          <w:b w:val="false"/>
          <w:bCs w:val="false"/>
          <w:i w:val="false"/>
          <w:i w:val="false"/>
          <w:iCs w:val="false"/>
          <w:sz w:val="28"/>
        </w:rPr>
      </w:pPr>
      <w:r>
        <w:rPr>
          <w:b w:val="false"/>
          <w:bCs w:val="false"/>
          <w:i w:val="false"/>
          <w:iCs w:val="false"/>
          <w:sz w:val="28"/>
        </w:rPr>
        <w:t>MAKE SURE THAT THE ULTIMATE USERS OF POWER SEE PRICE SIGNALS.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3">
    <w:charset w:val="0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-52705</wp:posOffset>
              </wp:positionV>
              <wp:extent cx="5715000" cy="233680"/>
              <wp:effectExtent l="0" t="0" r="0" b="0"/>
              <wp:wrapSquare wrapText="bothSides"/>
              <wp:docPr id="2" name="Frame1"/>
              <a:graphic xmlns:a="http://schemas.openxmlformats.org/drawingml/2006/main">
                <a:graphicData uri="http://schemas.microsoft.com/office/word/2010/wordprocessingShape">
                  <wps:wsp>
                    <wps:cNvSpPr txBox="1"/>
                    <wps:spPr>
                      <a:xfrm>
                        <a:off x="0" y="0"/>
                        <a:ext cx="5715000" cy="233680"/>
                      </a:xfrm>
                      <a:prstGeom prst="rect"/>
                      <a:solidFill>
                        <a:srgbClr val="FFFFFF">
                          <a:alpha val="0"/>
                        </a:srgbClr>
                      </a:solidFill>
                    </wps:spPr>
                    <wps:txbx>
                      <w:txbxContent>
                        <w:p>
                          <w:pPr>
                            <w:pStyle w:val="Footer"/>
                            <w:rPr>
                              <w:rStyle w:val="PageNumber"/>
                              <w:sz w:val="16"/>
                            </w:rPr>
                          </w:pPr>
                          <w:r>
                            <w:rPr/>
                          </w:r>
                        </w:p>
                        <w:p>
                          <w:pPr>
                            <w:pStyle w:val="Footer"/>
                            <w:rPr>
                              <w:rStyle w:val="PageNumber"/>
                              <w:sz w:val="16"/>
                            </w:rPr>
                          </w:pPr>
                          <w:r>
                            <w:rPr/>
                          </w:r>
                        </w:p>
                      </w:txbxContent>
                    </wps:txbx>
                    <wps:bodyPr anchor="t" lIns="0" tIns="0" rIns="0" bIns="0">
                      <a:noAutofit/>
                    </wps:bodyPr>
                  </wps:wsp>
                </a:graphicData>
              </a:graphic>
            </wp:anchor>
          </w:drawing>
        </mc:Choice>
        <mc:Fallback>
          <w:pict>
            <v:rect fillcolor="#FFFFFF" style="position:absolute;rotation:-0;width:450pt;height:18.4pt;mso-wrap-distance-left:0pt;mso-wrap-distance-right:0pt;mso-wrap-distance-top:0pt;mso-wrap-distance-bottom:0pt;margin-top:-4.15pt;mso-position-vertical-relative:text;margin-left:9pt;mso-position-horizontal:center;mso-position-horizontal-relative:margin">
              <v:fill opacity="0f"/>
              <v:textbox inset="0in,0in,0in,0in">
                <w:txbxContent>
                  <w:p>
                    <w:pPr>
                      <w:pStyle w:val="Footer"/>
                      <w:rPr>
                        <w:rStyle w:val="PageNumber"/>
                        <w:sz w:val="16"/>
                      </w:rPr>
                    </w:pPr>
                    <w:r>
                      <w:rPr/>
                    </w:r>
                  </w:p>
                  <w:p>
                    <w:pPr>
                      <w:pStyle w:val="Footer"/>
                      <w:rPr>
                        <w:rStyle w:val="PageNumber"/>
                        <w:sz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2"/>
      <w:numFmt w:val="decimal"/>
      <w:lvlText w:val="%2"/>
      <w:lvlJc w:val="start"/>
      <w:pPr>
        <w:tabs>
          <w:tab w:val="num" w:pos="2235"/>
        </w:tabs>
        <w:ind w:start="2235" w:hanging="1155"/>
      </w:pPr>
      <w:rPr/>
    </w:lvl>
    <w:lvl w:ilvl="2">
      <w:start w:val="1"/>
      <w:numFmt w:val="bullet"/>
      <w:lvlText w:val=""/>
      <w:lvlJc w:val="start"/>
      <w:pPr>
        <w:tabs>
          <w:tab w:val="num" w:pos="2340"/>
        </w:tabs>
        <w:ind w:start="2340" w:hanging="360"/>
      </w:pPr>
      <w:rPr>
        <w:rFonts w:ascii="Symbol" w:hAnsi="Symbol" w:cs="Symbol" w:hint="default"/>
        <w:color w:val="000000"/>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6"/>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6"/>
      <w:numFmt w:val="decimal"/>
      <w:lvlText w:val="%1"/>
      <w:lvlJc w:val="start"/>
      <w:pPr>
        <w:tabs>
          <w:tab w:val="num" w:pos="720"/>
        </w:tabs>
        <w:ind w:start="720" w:hanging="360"/>
      </w:pPr>
      <w:rPr>
        <w:b/>
      </w:rPr>
    </w:lvl>
    <w:lvl w:ilvl="1">
      <w:start w:val="1"/>
      <w:numFmt w:val="bullet"/>
      <w:lvlText w:val=""/>
      <w:lvlJc w:val="start"/>
      <w:pPr>
        <w:tabs>
          <w:tab w:val="num" w:pos="1440"/>
        </w:tabs>
        <w:ind w:start="1440" w:hanging="360"/>
      </w:pPr>
      <w:rPr>
        <w:rFonts w:ascii="Symbol" w:hAnsi="Symbol" w:cs="Symbol" w:hint="default"/>
        <w:color w:val="000000"/>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2520"/>
        </w:tabs>
        <w:ind w:start="2520" w:hanging="360"/>
      </w:pPr>
      <w:rPr>
        <w:rFonts w:ascii="Symbol" w:hAnsi="Symbol" w:cs="Symbol" w:hint="default"/>
        <w:color w:val="000000"/>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Symbol" w:hAnsi="Symbol" w:cs="Symbol" w:hint="default"/>
        <w:color w:val="000000"/>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720"/>
        </w:tabs>
        <w:ind w:start="72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750"/>
        </w:tabs>
        <w:ind w:start="750" w:hanging="390"/>
      </w:pPr>
      <w:rPr/>
    </w:lvl>
  </w:abstractNum>
  <w:abstractNum w:abstractNumId="11">
    <w:lvl w:ilvl="0">
      <w:start w:val="1"/>
      <w:numFmt w:val="bullet"/>
      <w:lvlText w:val=""/>
      <w:lvlJc w:val="start"/>
      <w:pPr>
        <w:tabs>
          <w:tab w:val="num" w:pos="2160"/>
        </w:tabs>
        <w:ind w:start="216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2520"/>
        </w:tabs>
        <w:ind w:start="25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color w:val="000000"/>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both"/>
      <w:outlineLvl w:val="0"/>
    </w:pPr>
    <w:rPr>
      <w:rFonts w:ascii="Arial" w:hAnsi="Arial" w:cs="Arial"/>
      <w:b/>
      <w:bCs/>
    </w:rPr>
  </w:style>
  <w:style w:type="paragraph" w:styleId="Heading2">
    <w:name w:val="heading 2"/>
    <w:basedOn w:val="Normal"/>
    <w:next w:val="Normal"/>
    <w:qFormat/>
    <w:pPr>
      <w:keepNext w:val="true"/>
      <w:numPr>
        <w:ilvl w:val="1"/>
        <w:numId w:val="1"/>
      </w:numPr>
      <w:spacing w:lineRule="auto" w:line="480"/>
      <w:ind w:hanging="0" w:start="360" w:end="0"/>
      <w:jc w:val="both"/>
      <w:outlineLvl w:val="1"/>
    </w:pPr>
    <w:rPr>
      <w:rFonts w:ascii="Arial" w:hAnsi="Arial" w:cs="Arial"/>
      <w:b/>
      <w:bCs/>
    </w:rPr>
  </w:style>
  <w:style w:type="paragraph" w:styleId="Heading3">
    <w:name w:val="heading 3"/>
    <w:basedOn w:val="Normal"/>
    <w:next w:val="Normal"/>
    <w:qFormat/>
    <w:pPr>
      <w:keepNext w:val="true"/>
      <w:numPr>
        <w:ilvl w:val="2"/>
        <w:numId w:val="1"/>
      </w:numPr>
      <w:spacing w:lineRule="auto" w:line="480"/>
      <w:jc w:val="both"/>
      <w:outlineLvl w:val="2"/>
    </w:pPr>
    <w:rPr>
      <w:rFonts w:ascii="Arial" w:hAnsi="Arial" w:cs="Arial"/>
      <w:b/>
      <w:bCs/>
      <w:u w:val="single"/>
    </w:rPr>
  </w:style>
  <w:style w:type="character" w:styleId="WW8Num1z0">
    <w:name w:val="WW8Num1z0"/>
    <w:qFormat/>
    <w:rPr>
      <w:rFonts w:ascii="Courier New" w:hAnsi="Courier New" w:cs="Courier New"/>
    </w:rPr>
  </w:style>
  <w:style w:type="character" w:styleId="WW8Num1z2">
    <w:name w:val="WW8Num1z2"/>
    <w:qFormat/>
    <w:rPr>
      <w:rFonts w:ascii="Symbol" w:hAnsi="Symbol" w:cs="Symbol"/>
      <w:color w:val="000000"/>
    </w:rPr>
  </w:style>
  <w:style w:type="character" w:styleId="WW8Num1z3">
    <w:name w:val="WW8Num1z3"/>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Wingdings 3" w:hAnsi="Wingdings 3" w:cs="Wingdings 3"/>
    </w:rPr>
  </w:style>
  <w:style w:type="character" w:styleId="WW8Num7z7">
    <w:name w:val="WW8Num7z7"/>
    <w:qFormat/>
    <w:rPr>
      <w:rFonts w:ascii="Courier New" w:hAnsi="Courier New" w:cs="Courier New"/>
    </w:rPr>
  </w:style>
  <w:style w:type="character" w:styleId="WW8Num7z8">
    <w:name w:val="WW8Num7z8"/>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color w:val="000000"/>
      <w:sz w:val="20"/>
    </w:rPr>
  </w:style>
  <w:style w:type="character" w:styleId="WW8Num11z6">
    <w:name w:val="WW8Num11z6"/>
    <w:qFormat/>
    <w:rPr>
      <w:rFonts w:ascii="Symbol" w:hAnsi="Symbol" w:cs="Symbol"/>
    </w:rPr>
  </w:style>
  <w:style w:type="character" w:styleId="WW8Num12z0">
    <w:name w:val="WW8Num12z0"/>
    <w:qFormat/>
    <w:rPr>
      <w:rFonts w:ascii="Symbol" w:hAnsi="Symbol" w:cs="Symbol"/>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style>
  <w:style w:type="character" w:styleId="WW8Num17z2">
    <w:name w:val="WW8Num17z2"/>
    <w:qFormat/>
    <w:rPr>
      <w:rFonts w:ascii="Symbol" w:hAnsi="Symbol" w:cs="Symbol"/>
      <w:color w:val="000000"/>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b/>
    </w:rPr>
  </w:style>
  <w:style w:type="character" w:styleId="WW8Num23z1">
    <w:name w:val="WW8Num23z1"/>
    <w:qFormat/>
    <w:rPr>
      <w:rFonts w:ascii="Symbol" w:hAnsi="Symbol" w:cs="Symbol"/>
      <w:color w:val="000000"/>
    </w:rPr>
  </w:style>
  <w:style w:type="character" w:styleId="WW8Num24z0">
    <w:name w:val="WW8Num24z0"/>
    <w:qFormat/>
    <w:rPr>
      <w:rFonts w:ascii="Wingdings 3" w:hAnsi="Wingdings 3" w:cs="Wingdings 3"/>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000000"/>
      <w:sz w:val="2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3" w:hAnsi="Wingdings 3" w:cs="Wingdings 3"/>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2">
    <w:name w:val="WW8Num29z2"/>
    <w:qFormat/>
    <w:rPr>
      <w:rFonts w:ascii="Wingdings" w:hAnsi="Wingdings" w:cs="Wingdings"/>
    </w:rPr>
  </w:style>
  <w:style w:type="character" w:styleId="WW8Num29z4">
    <w:name w:val="WW8Num29z4"/>
    <w:qFormat/>
    <w:rPr>
      <w:rFonts w:ascii="Courier New" w:hAnsi="Courier New" w:cs="Courier New"/>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Wingdings 3" w:hAnsi="Wingdings 3" w:cs="Wingdings 3"/>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color w:val="000000"/>
      <w:sz w:val="2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6">
    <w:name w:val="WW8Num32z6"/>
    <w:qFormat/>
    <w:rPr>
      <w:rFonts w:ascii="Symbol" w:hAnsi="Symbol" w:cs="Symbol"/>
    </w:rPr>
  </w:style>
  <w:style w:type="character" w:styleId="WW8Num33z0">
    <w:name w:val="WW8Num33z0"/>
    <w:qFormat/>
    <w:rPr>
      <w:rFonts w:ascii="Wingdings 3" w:hAnsi="Wingdings 3" w:cs="Wingdings 3"/>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color w:val="000000"/>
      <w:sz w:val="20"/>
    </w:rPr>
  </w:style>
  <w:style w:type="character" w:styleId="WW8Num33z6">
    <w:name w:val="WW8Num33z6"/>
    <w:qFormat/>
    <w:rPr>
      <w:rFonts w:ascii="Symbol" w:hAnsi="Symbol" w:cs="Symbol"/>
    </w:rPr>
  </w:style>
  <w:style w:type="character" w:styleId="WW8Num34z0">
    <w:name w:val="WW8Num34z0"/>
    <w:qFormat/>
    <w:rPr>
      <w:rFonts w:ascii="Wingdings 3" w:hAnsi="Wingdings 3" w:cs="Wingdings 3"/>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color w:val="000000"/>
      <w:sz w:val="20"/>
    </w:rPr>
  </w:style>
  <w:style w:type="character" w:styleId="WW8Num34z6">
    <w:name w:val="WW8Num34z6"/>
    <w:qFormat/>
    <w:rPr>
      <w:rFonts w:ascii="Symbol" w:hAnsi="Symbol" w:cs="Symbol"/>
    </w:rPr>
  </w:style>
  <w:style w:type="character" w:styleId="WW8Num35z0">
    <w:name w:val="WW8Num35z0"/>
    <w:qFormat/>
    <w:rPr/>
  </w:style>
  <w:style w:type="character" w:styleId="WW8Num36z0">
    <w:name w:val="WW8Num36z0"/>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2">
    <w:name w:val="WW8Num37z2"/>
    <w:qFormat/>
    <w:rPr>
      <w:rFonts w:ascii="Wingdings" w:hAnsi="Wingdings" w:cs="Wingdings"/>
    </w:rPr>
  </w:style>
  <w:style w:type="character" w:styleId="WW8Num37z4">
    <w:name w:val="WW8Num37z4"/>
    <w:qFormat/>
    <w:rPr>
      <w:rFonts w:ascii="Courier New" w:hAnsi="Courier New" w:cs="Courier New"/>
    </w:rPr>
  </w:style>
  <w:style w:type="character" w:styleId="WW8Num38z0">
    <w:name w:val="WW8Num38z0"/>
    <w:qFormat/>
    <w:rPr>
      <w:rFonts w:ascii="Symbol" w:hAnsi="Symbol" w:cs="Symbol"/>
      <w:color w:val="00000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00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color w:val="000000"/>
      <w:sz w:val="2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3" w:hAnsi="Wingdings 3" w:cs="Wingdings 3"/>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color w:val="000000"/>
      <w:sz w:val="20"/>
    </w:rPr>
  </w:style>
  <w:style w:type="character" w:styleId="WW8Num43z6">
    <w:name w:val="WW8Num43z6"/>
    <w:qFormat/>
    <w:rPr>
      <w:rFonts w:ascii="Symbol" w:hAnsi="Symbol" w:cs="Symbol"/>
    </w:rPr>
  </w:style>
  <w:style w:type="character" w:styleId="WW8Num44z0">
    <w:name w:val="WW8Num44z0"/>
    <w:qFormat/>
    <w:rPr>
      <w:rFonts w:ascii="Symbol" w:hAnsi="Symbol" w:cs="Symbol"/>
      <w:color w:val="000000"/>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4z5">
    <w:name w:val="WW8Num44z5"/>
    <w:qFormat/>
    <w:rPr>
      <w:rFonts w:ascii="Wingdings" w:hAnsi="Wingdings" w:cs="Wingdings"/>
    </w:rPr>
  </w:style>
  <w:style w:type="character" w:styleId="WW8Num45z0">
    <w:name w:val="WW8Num45z0"/>
    <w:qFormat/>
    <w:rPr/>
  </w:style>
  <w:style w:type="character" w:styleId="WW8Num45z1">
    <w:name w:val="WW8Num45z1"/>
    <w:qFormat/>
    <w:rPr>
      <w:rFonts w:ascii="Symbol" w:hAnsi="Symbol" w:cs="Symbol"/>
    </w:rPr>
  </w:style>
  <w:style w:type="character" w:styleId="WW8Num45z2">
    <w:name w:val="WW8Num45z2"/>
    <w:qFormat/>
    <w:rPr>
      <w:rFonts w:ascii="Wingdings 3" w:hAnsi="Wingdings 3" w:cs="Wingdings 3"/>
    </w:rPr>
  </w:style>
  <w:style w:type="character" w:styleId="WW8Num46z0">
    <w:name w:val="WW8Num46z0"/>
    <w:qFormat/>
    <w:rPr>
      <w:rFonts w:ascii="Symbol" w:hAnsi="Symbol" w:cs="Symbol"/>
    </w:rPr>
  </w:style>
  <w:style w:type="character" w:styleId="WW8Num46z1">
    <w:name w:val="WW8Num46z1"/>
    <w:qFormat/>
    <w:rPr>
      <w:rFonts w:ascii="Wingdings 3" w:hAnsi="Wingdings 3" w:cs="Wingdings 3"/>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color w:val="00000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rFonts w:ascii="Symbol" w:hAnsi="Symbol" w:cs="Symbol"/>
    </w:rPr>
  </w:style>
  <w:style w:type="character" w:styleId="WW8Num49z2">
    <w:name w:val="WW8Num49z2"/>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rFonts w:ascii="Wingdings 3" w:hAnsi="Wingdings 3" w:cs="Wingdings 3"/>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color w:val="000000"/>
      <w:sz w:val="20"/>
    </w:rPr>
  </w:style>
  <w:style w:type="character" w:styleId="WW8Num50z6">
    <w:name w:val="WW8Num50z6"/>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2">
    <w:name w:val="WW8Num52z2"/>
    <w:qFormat/>
    <w:rPr>
      <w:rFonts w:ascii="Wingdings" w:hAnsi="Wingdings" w:cs="Wingdings"/>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color w:val="000000"/>
      <w:sz w:val="20"/>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Wingdings 3" w:hAnsi="Wingdings 3" w:cs="Wingdings 3"/>
    </w:rPr>
  </w:style>
  <w:style w:type="character" w:styleId="WW8Num53z6">
    <w:name w:val="WW8Num53z6"/>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color w:val="000000"/>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6z2">
    <w:name w:val="WW8Num56z2"/>
    <w:qFormat/>
    <w:rPr>
      <w:rFonts w:ascii="Wingdings" w:hAnsi="Wingdings" w:cs="Wingdings"/>
    </w:rPr>
  </w:style>
  <w:style w:type="character" w:styleId="WW8Num56z4">
    <w:name w:val="WW8Num56z4"/>
    <w:qFormat/>
    <w:rPr>
      <w:rFonts w:ascii="Courier New" w:hAnsi="Courier New" w:cs="Courier New"/>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Wingdings 3" w:hAnsi="Wingdings 3" w:cs="Wingdings 3"/>
    </w:rPr>
  </w:style>
  <w:style w:type="character" w:styleId="WW8Num58z1">
    <w:name w:val="WW8Num58z1"/>
    <w:qFormat/>
    <w:rPr>
      <w:rFonts w:ascii="Symbol" w:hAnsi="Symbol" w:cs="Symbol"/>
    </w:rPr>
  </w:style>
  <w:style w:type="character" w:styleId="WW8Num58z2">
    <w:name w:val="WW8Num58z2"/>
    <w:qFormat/>
    <w:rPr>
      <w:rFonts w:ascii="Wingdings" w:hAnsi="Wingdings" w:cs="Wingdings"/>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rPr>
  </w:style>
  <w:style w:type="character" w:styleId="WW8Num59z2">
    <w:name w:val="WW8Num59z2"/>
    <w:qFormat/>
    <w:rPr>
      <w:rFonts w:ascii="Wingdings" w:hAnsi="Wingdings" w:cs="Wingdings"/>
    </w:rPr>
  </w:style>
  <w:style w:type="character" w:styleId="WW8Num59z4">
    <w:name w:val="WW8Num59z4"/>
    <w:qFormat/>
    <w:rPr>
      <w:rFonts w:ascii="Courier New" w:hAnsi="Courier New" w:cs="Courier New"/>
    </w:rPr>
  </w:style>
  <w:style w:type="character" w:styleId="WW8Num60z0">
    <w:name w:val="WW8Num60z0"/>
    <w:qFormat/>
    <w:rPr>
      <w:rFonts w:ascii="Symbol" w:hAnsi="Symbol" w:cs="Symbol"/>
      <w:color w:val="000000"/>
      <w:sz w:val="20"/>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Wingdings 3" w:hAnsi="Wingdings 3" w:cs="Wingdings 3"/>
    </w:rPr>
  </w:style>
  <w:style w:type="character" w:styleId="WW8Num60z6">
    <w:name w:val="WW8Num60z6"/>
    <w:qFormat/>
    <w:rPr>
      <w:rFonts w:ascii="Symbol" w:hAnsi="Symbol" w:cs="Symbol"/>
    </w:rPr>
  </w:style>
  <w:style w:type="character" w:styleId="WW8Num61z0">
    <w:name w:val="WW8Num61z0"/>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style>
  <w:style w:type="character" w:styleId="WW8Num65z0">
    <w:name w:val="WW8Num65z0"/>
    <w:qFormat/>
    <w:rPr>
      <w:rFonts w:ascii="Wingdings 3" w:hAnsi="Wingdings 3" w:cs="Wingdings 3"/>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color w:val="000000"/>
      <w:sz w:val="20"/>
    </w:rPr>
  </w:style>
  <w:style w:type="character" w:styleId="WW8Num65z6">
    <w:name w:val="WW8Num65z6"/>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7z2">
    <w:name w:val="WW8Num67z2"/>
    <w:qFormat/>
    <w:rPr>
      <w:rFonts w:ascii="Wingdings" w:hAnsi="Wingdings" w:cs="Wingdings"/>
    </w:rPr>
  </w:style>
  <w:style w:type="character" w:styleId="WW8Num67z4">
    <w:name w:val="WW8Num67z4"/>
    <w:qFormat/>
    <w:rPr>
      <w:rFonts w:ascii="Courier New" w:hAnsi="Courier New" w:cs="Courier New"/>
    </w:rPr>
  </w:style>
  <w:style w:type="character" w:styleId="WW8Num68z0">
    <w:name w:val="WW8Num68z0"/>
    <w:qFormat/>
    <w:rPr>
      <w:rFonts w:ascii="Symbol" w:hAnsi="Symbol" w:cs="Symbol"/>
      <w:color w:val="000000"/>
      <w:sz w:val="2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Wingdings 3" w:hAnsi="Wingdings 3" w:cs="Wingdings 3"/>
    </w:rPr>
  </w:style>
  <w:style w:type="character" w:styleId="WW8Num68z6">
    <w:name w:val="WW8Num68z6"/>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000000"/>
      <w:sz w:val="2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6">
    <w:name w:val="WW8Num70z6"/>
    <w:qFormat/>
    <w:rPr>
      <w:rFonts w:ascii="Symbol" w:hAnsi="Symbol" w:cs="Symbol"/>
    </w:rPr>
  </w:style>
  <w:style w:type="character" w:styleId="WW8Num71z0">
    <w:name w:val="WW8Num71z0"/>
    <w:qFormat/>
    <w:rPr>
      <w:rFonts w:ascii="Wingdings 3" w:hAnsi="Wingdings 3" w:cs="Wingdings 3"/>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color w:val="000000"/>
      <w:sz w:val="20"/>
    </w:rPr>
  </w:style>
  <w:style w:type="character" w:styleId="WW8Num71z6">
    <w:name w:val="WW8Num71z6"/>
    <w:qFormat/>
    <w:rPr>
      <w:rFonts w:ascii="Symbol" w:hAnsi="Symbol" w:cs="Symbol"/>
    </w:rPr>
  </w:style>
  <w:style w:type="character" w:styleId="WW8Num72z0">
    <w:name w:val="WW8Num72z0"/>
    <w:qFormat/>
    <w:rPr>
      <w:rFonts w:ascii="Symbol" w:hAnsi="Symbol" w:cs="Symbol"/>
      <w:color w:val="000000"/>
      <w:sz w:val="20"/>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Wingdings 3" w:hAnsi="Wingdings 3" w:cs="Wingdings 3"/>
    </w:rPr>
  </w:style>
  <w:style w:type="character" w:styleId="WW8Num72z6">
    <w:name w:val="WW8Num72z6"/>
    <w:qFormat/>
    <w:rPr>
      <w:rFonts w:ascii="Symbol" w:hAnsi="Symbol" w:cs="Symbol"/>
    </w:rPr>
  </w:style>
  <w:style w:type="character" w:styleId="WW8Num73z0">
    <w:name w:val="WW8Num73z0"/>
    <w:qFormat/>
    <w:rPr>
      <w:rFonts w:ascii="Symbol" w:hAnsi="Symbol" w:cs="Symbol"/>
      <w:color w:val="000000"/>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3z5">
    <w:name w:val="WW8Num73z5"/>
    <w:qFormat/>
    <w:rPr>
      <w:rFonts w:ascii="Wingdings" w:hAnsi="Wingdings" w:cs="Wingdings"/>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color w:val="00000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Symbol" w:hAnsi="Symbol" w:cs="Symbol"/>
      <w:color w:val="000000"/>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80z0">
    <w:name w:val="WW8Num80z0"/>
    <w:qFormat/>
    <w:rPr>
      <w:rFonts w:ascii="Wingdings 3" w:hAnsi="Wingdings 3" w:cs="Wingdings 3"/>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color w:val="000000"/>
      <w:sz w:val="20"/>
    </w:rPr>
  </w:style>
  <w:style w:type="character" w:styleId="WW8Num80z6">
    <w:name w:val="WW8Num80z6"/>
    <w:qFormat/>
    <w:rPr>
      <w:rFonts w:ascii="Symbol" w:hAnsi="Symbol" w:cs="Symbol"/>
    </w:rPr>
  </w:style>
  <w:style w:type="character" w:styleId="WW8Num81z0">
    <w:name w:val="WW8Num81z0"/>
    <w:qFormat/>
    <w:rPr/>
  </w:style>
  <w:style w:type="character" w:styleId="WW8Num82z0">
    <w:name w:val="WW8Num82z0"/>
    <w:qFormat/>
    <w:rPr>
      <w:rFonts w:ascii="Wingdings 3" w:hAnsi="Wingdings 3" w:cs="Wingdings 3"/>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color w:val="000000"/>
      <w:sz w:val="20"/>
    </w:rPr>
  </w:style>
  <w:style w:type="character" w:styleId="WW8Num82z6">
    <w:name w:val="WW8Num82z6"/>
    <w:qFormat/>
    <w:rPr>
      <w:rFonts w:ascii="Symbol" w:hAnsi="Symbol" w:cs="Symbol"/>
    </w:rPr>
  </w:style>
  <w:style w:type="character" w:styleId="WW8Num83z0">
    <w:name w:val="WW8Num83z0"/>
    <w:qFormat/>
    <w:rPr>
      <w:rFonts w:ascii="Symbol" w:hAnsi="Symbol" w:cs="Symbol"/>
    </w:rPr>
  </w:style>
  <w:style w:type="character" w:styleId="WW8Num83z2">
    <w:name w:val="WW8Num83z2"/>
    <w:qFormat/>
    <w:rPr>
      <w:rFonts w:ascii="Wingdings" w:hAnsi="Wingdings" w:cs="Wingdings"/>
    </w:rPr>
  </w:style>
  <w:style w:type="character" w:styleId="WW8Num83z4">
    <w:name w:val="WW8Num83z4"/>
    <w:qFormat/>
    <w:rPr>
      <w:rFonts w:ascii="Courier New" w:hAnsi="Courier New" w:cs="Courier New"/>
    </w:rPr>
  </w:style>
  <w:style w:type="character" w:styleId="WW8Num84z0">
    <w:name w:val="WW8Num84z0"/>
    <w:qFormat/>
    <w:rPr>
      <w:rFonts w:ascii="Wingdings 3" w:hAnsi="Wingdings 3" w:cs="Wingdings 3"/>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color w:val="000000"/>
      <w:sz w:val="20"/>
    </w:rPr>
  </w:style>
  <w:style w:type="character" w:styleId="WW8Num84z6">
    <w:name w:val="WW8Num84z6"/>
    <w:qFormat/>
    <w:rPr>
      <w:rFonts w:ascii="Symbol" w:hAnsi="Symbol" w:cs="Symbol"/>
    </w:rPr>
  </w:style>
  <w:style w:type="character" w:styleId="WW8Num85z0">
    <w:name w:val="WW8Num85z0"/>
    <w:qFormat/>
    <w:rPr>
      <w:rFonts w:ascii="Symbol" w:hAnsi="Symbol" w:cs="Symbol"/>
    </w:rPr>
  </w:style>
  <w:style w:type="character" w:styleId="WW8Num85z2">
    <w:name w:val="WW8Num85z2"/>
    <w:qFormat/>
    <w:rPr>
      <w:rFonts w:ascii="Wingdings" w:hAnsi="Wingdings" w:cs="Wingdings"/>
    </w:rPr>
  </w:style>
  <w:style w:type="character" w:styleId="WW8Num85z4">
    <w:name w:val="WW8Num85z4"/>
    <w:qFormat/>
    <w:rPr>
      <w:rFonts w:ascii="Courier New" w:hAnsi="Courier New" w:cs="Courier New"/>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8z1">
    <w:name w:val="WW8Num88z1"/>
    <w:qFormat/>
    <w:rPr>
      <w:rFonts w:cs="Courier New"/>
    </w:rPr>
  </w:style>
  <w:style w:type="character" w:styleId="WW8Num88z2">
    <w:name w:val="WW8Num88z2"/>
    <w:qFormat/>
    <w:rPr>
      <w:rFonts w:ascii="Wingdings" w:hAnsi="Wingdings" w:cs="Wingdings"/>
    </w:rPr>
  </w:style>
  <w:style w:type="character" w:styleId="WW8Num88z4">
    <w:name w:val="WW8Num88z4"/>
    <w:qFormat/>
    <w:rPr>
      <w:rFonts w:ascii="Courier New" w:hAnsi="Courier New" w:cs="Courier New"/>
    </w:rPr>
  </w:style>
  <w:style w:type="character" w:styleId="WW8Num89z0">
    <w:name w:val="WW8Num89z0"/>
    <w:qFormat/>
    <w:rPr>
      <w:rFonts w:ascii="Symbol" w:hAnsi="Symbol" w:cs="Symbol"/>
    </w:rPr>
  </w:style>
  <w:style w:type="character" w:styleId="WW8Num89z2">
    <w:name w:val="WW8Num89z2"/>
    <w:qFormat/>
    <w:rPr>
      <w:rFonts w:ascii="Wingdings" w:hAnsi="Wingdings" w:cs="Wingdings"/>
    </w:rPr>
  </w:style>
  <w:style w:type="character" w:styleId="WW8Num89z4">
    <w:name w:val="WW8Num89z4"/>
    <w:qFormat/>
    <w:rPr>
      <w:rFonts w:ascii="Courier New" w:hAnsi="Courier New" w:cs="Courier New"/>
    </w:rPr>
  </w:style>
  <w:style w:type="character" w:styleId="WW8Num90z0">
    <w:name w:val="WW8Num90z0"/>
    <w:qFormat/>
    <w:rPr>
      <w:rFonts w:ascii="Wingdings 3" w:hAnsi="Wingdings 3" w:cs="Wingdings 3"/>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color w:val="000000"/>
      <w:sz w:val="20"/>
    </w:rPr>
  </w:style>
  <w:style w:type="character" w:styleId="WW8Num90z6">
    <w:name w:val="WW8Num90z6"/>
    <w:qFormat/>
    <w:rPr>
      <w:rFonts w:ascii="Symbol" w:hAnsi="Symbol" w:cs="Symbol"/>
    </w:rPr>
  </w:style>
  <w:style w:type="character" w:styleId="WW8Num91z0">
    <w:name w:val="WW8Num91z0"/>
    <w:qFormat/>
    <w:rPr>
      <w:rFonts w:ascii="Symbol" w:hAnsi="Symbol" w:cs="Symbol"/>
    </w:rPr>
  </w:style>
  <w:style w:type="character" w:styleId="WW8Num91z1">
    <w:name w:val="WW8Num91z1"/>
    <w:qFormat/>
    <w:rPr/>
  </w:style>
  <w:style w:type="character" w:styleId="WW8Num91z2">
    <w:name w:val="WW8Num91z2"/>
    <w:qFormat/>
    <w:rPr>
      <w:rFonts w:ascii="Wingdings" w:hAnsi="Wingdings" w:cs="Wingdings"/>
    </w:rPr>
  </w:style>
  <w:style w:type="character" w:styleId="WW8Num91z4">
    <w:name w:val="WW8Num91z4"/>
    <w:qFormat/>
    <w:rPr>
      <w:rFonts w:ascii="Courier New" w:hAnsi="Courier New" w:cs="Courier New"/>
    </w:rPr>
  </w:style>
  <w:style w:type="character" w:styleId="WW8Num92z0">
    <w:name w:val="WW8Num92z0"/>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color w:val="000000"/>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Wingdings 3" w:hAnsi="Wingdings 3" w:cs="Wingdings 3"/>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color w:val="000000"/>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Wingdings 3" w:hAnsi="Wingdings 3" w:cs="Wingdings 3"/>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color w:val="000000"/>
      <w:sz w:val="20"/>
    </w:rPr>
  </w:style>
  <w:style w:type="character" w:styleId="WW8Num97z6">
    <w:name w:val="WW8Num97z6"/>
    <w:qFormat/>
    <w:rPr>
      <w:rFonts w:ascii="Symbol" w:hAnsi="Symbol" w:cs="Symbol"/>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2">
    <w:name w:val="WW8Num99z2"/>
    <w:qFormat/>
    <w:rPr>
      <w:rFonts w:ascii="Wingdings" w:hAnsi="Wingdings" w:cs="Wingdings"/>
    </w:rPr>
  </w:style>
  <w:style w:type="character" w:styleId="WW8Num99z4">
    <w:name w:val="WW8Num99z4"/>
    <w:qFormat/>
    <w:rPr>
      <w:rFonts w:ascii="Courier New" w:hAnsi="Courier New" w:cs="Courier New"/>
    </w:rPr>
  </w:style>
  <w:style w:type="character" w:styleId="WW8Num100z0">
    <w:name w:val="WW8Num100z0"/>
    <w:qFormat/>
    <w:rPr/>
  </w:style>
  <w:style w:type="character" w:styleId="WW8Num101z0">
    <w:name w:val="WW8Num101z0"/>
    <w:qFormat/>
    <w:rPr>
      <w:rFonts w:ascii="Symbol" w:hAnsi="Symbol" w:cs="Symbol"/>
      <w:color w:val="000000"/>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3z4">
    <w:name w:val="WW8Num103z4"/>
    <w:qFormat/>
    <w:rPr>
      <w:rFonts w:ascii="Courier New" w:hAnsi="Courier New" w:cs="Courier New"/>
    </w:rPr>
  </w:style>
  <w:style w:type="character" w:styleId="WW8Num104z0">
    <w:name w:val="WW8Num104z0"/>
    <w:qFormat/>
    <w:rPr>
      <w:rFonts w:ascii="Wingdings 3" w:hAnsi="Wingdings 3" w:cs="Wingdings 3"/>
    </w:rPr>
  </w:style>
  <w:style w:type="character" w:styleId="WW8Num104z1">
    <w:name w:val="WW8Num104z1"/>
    <w:qFormat/>
    <w:rPr>
      <w:rFonts w:ascii="Symbol" w:hAnsi="Symbol" w:cs="Symbol"/>
    </w:rPr>
  </w:style>
  <w:style w:type="character" w:styleId="WW8Num104z4">
    <w:name w:val="WW8Num104z4"/>
    <w:qFormat/>
    <w:rPr>
      <w:rFonts w:ascii="Courier New" w:hAnsi="Courier New" w:cs="Courier New"/>
    </w:rPr>
  </w:style>
  <w:style w:type="character" w:styleId="WW8Num104z5">
    <w:name w:val="WW8Num104z5"/>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color w:val="000000"/>
    </w:rPr>
  </w:style>
  <w:style w:type="character" w:styleId="WW8Num106z1">
    <w:name w:val="WW8Num106z1"/>
    <w:qFormat/>
    <w:rPr>
      <w:rFonts w:ascii="Courier New" w:hAnsi="Courier New" w:cs="Courier New"/>
    </w:rPr>
  </w:style>
  <w:style w:type="character" w:styleId="WW8Num106z3">
    <w:name w:val="WW8Num106z3"/>
    <w:qFormat/>
    <w:rPr>
      <w:rFonts w:ascii="Symbol" w:hAnsi="Symbol" w:cs="Symbol"/>
    </w:rPr>
  </w:style>
  <w:style w:type="character" w:styleId="WW8Num106z5">
    <w:name w:val="WW8Num106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u w:val="single"/>
    </w:rPr>
  </w:style>
  <w:style w:type="paragraph" w:styleId="BodyText">
    <w:name w:val="Body Text"/>
    <w:basedOn w:val="Normal"/>
    <w:pPr>
      <w:jc w:val="both"/>
    </w:pPr>
    <w:rPr>
      <w:rFonts w:ascii="Arial" w:hAnsi="Arial" w:cs="Arial"/>
      <w:b/>
      <w:bCs/>
      <w:i/>
      <w:i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title">
    <w:name w:val="Subtitle"/>
    <w:basedOn w:val="Normal"/>
    <w:next w:val="BodyText"/>
    <w:qFormat/>
    <w:pPr>
      <w:spacing w:lineRule="auto" w:line="480"/>
      <w:jc w:val="both"/>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2001-06-18T11:00:00Z</dcterms:created>
  <dc:creator>lhuculia</dc:creator>
  <dc:description/>
  <dc:language>en-CA</dc:language>
  <cp:lastModifiedBy>lassaf</cp:lastModifiedBy>
  <cp:lastPrinted>2001-06-18T10:51:00Z</cp:lastPrinted>
  <dcterms:modified xsi:type="dcterms:W3CDTF">2001-06-18T12:31:00Z</dcterms:modified>
  <cp:revision>12</cp:revision>
  <dc:subject/>
  <dc:title>Market Opening</dc:title>
</cp:coreProperties>
</file>