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u w:val="single"/>
        </w:rPr>
      </w:pPr>
      <w:r>
        <w:rPr>
          <w:b/>
          <w:u w:val="single"/>
        </w:rPr>
        <w:t>Amoco Energy Trading, et al., v. El Paso Natural Gas Co.</w:t>
      </w:r>
    </w:p>
    <w:p>
      <w:pPr>
        <w:pStyle w:val="Normal"/>
        <w:jc w:val="center"/>
        <w:rPr>
          <w:b/>
        </w:rPr>
      </w:pPr>
      <w:r>
        <w:rPr>
          <w:b/>
        </w:rPr>
        <w:t>RP99-507-000</w:t>
      </w:r>
    </w:p>
    <w:p>
      <w:pPr>
        <w:pStyle w:val="Normal"/>
        <w:jc w:val="center"/>
        <w:rPr>
          <w:b/>
        </w:rPr>
      </w:pPr>
      <w:r>
        <w:rPr>
          <w:b/>
        </w:rPr>
      </w:r>
    </w:p>
    <w:p>
      <w:pPr>
        <w:pStyle w:val="Normal"/>
        <w:jc w:val="center"/>
        <w:rPr>
          <w:b/>
        </w:rPr>
      </w:pPr>
      <w:r>
        <w:rPr>
          <w:b/>
        </w:rPr>
      </w:r>
    </w:p>
    <w:p>
      <w:pPr>
        <w:pStyle w:val="Normal"/>
        <w:jc w:val="center"/>
        <w:rPr>
          <w:b/>
        </w:rPr>
      </w:pPr>
      <w:r>
        <w:rPr>
          <w:b/>
        </w:rPr>
        <w:t>El Paso Natural Gas Company Settlement Proposal</w:t>
      </w:r>
    </w:p>
    <w:p>
      <w:pPr>
        <w:pStyle w:val="Normal"/>
        <w:jc w:val="center"/>
        <w:rPr>
          <w:b/>
        </w:rPr>
      </w:pPr>
      <w:r>
        <w:rPr>
          <w:b/>
        </w:rPr>
        <w:t>June 6, 2000</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rPr/>
      </w:pPr>
      <w:r>
        <w:rPr>
          <w:rFonts w:eastAsia="Symbol" w:cs="Symbol" w:ascii="Symbol" w:hAnsi="Symbol"/>
        </w:rPr>
        <w:sym w:font="Symbol" w:char="f0b7"/>
      </w:r>
      <w:r>
        <w:rPr/>
        <w:tab/>
      </w:r>
      <w:r>
        <w:rPr>
          <w:b/>
        </w:rPr>
        <w:t>Allocation of Receipt Point Rights/Preservation of Full Requirements Service</w:t>
      </w:r>
    </w:p>
    <w:p>
      <w:pPr>
        <w:pStyle w:val="Normal"/>
        <w:rPr>
          <w:b/>
        </w:rPr>
      </w:pPr>
      <w:r>
        <w:rPr>
          <w:b/>
        </w:rPr>
      </w:r>
    </w:p>
    <w:p>
      <w:pPr>
        <w:pStyle w:val="Normal"/>
        <w:ind w:hanging="720" w:start="1440" w:end="0"/>
        <w:rPr/>
      </w:pPr>
      <w:r>
        <w:rPr/>
        <w:t>1.</w:t>
        <w:tab/>
        <w:t>Specification of receipt rights:</w:t>
      </w:r>
    </w:p>
    <w:p>
      <w:pPr>
        <w:pStyle w:val="Normal"/>
        <w:ind w:hanging="720" w:start="1440" w:end="0"/>
        <w:rPr/>
      </w:pPr>
      <w:r>
        <w:rPr/>
      </w:r>
    </w:p>
    <w:p>
      <w:pPr>
        <w:pStyle w:val="Normal"/>
        <w:ind w:hanging="720" w:start="2160" w:end="0"/>
        <w:rPr/>
      </w:pPr>
      <w:r>
        <w:rPr/>
        <w:t>a.</w:t>
        <w:tab/>
        <w:t>FT-2 shippers retain systemwide receipt points and are scheduled “off the top.”</w:t>
      </w:r>
    </w:p>
    <w:p>
      <w:pPr>
        <w:pStyle w:val="Normal"/>
        <w:ind w:hanging="720" w:start="1440" w:end="0"/>
        <w:rPr/>
      </w:pPr>
      <w:r>
        <w:rPr/>
      </w:r>
    </w:p>
    <w:p>
      <w:pPr>
        <w:pStyle w:val="Normal"/>
        <w:ind w:hanging="720" w:start="2160" w:end="0"/>
        <w:rPr/>
      </w:pPr>
      <w:r>
        <w:rPr/>
        <w:t>b.</w:t>
        <w:tab/>
        <w:t xml:space="preserve">Burlington (97J4) and Amoco (97JB) are relieved of their San Juan-only contracts for 300 MMcf/d and 60 MMcf/d, respectively.  El Paso absorbs the lost revenues.  </w:t>
      </w:r>
    </w:p>
    <w:p>
      <w:pPr>
        <w:pStyle w:val="Normal"/>
        <w:ind w:hanging="720" w:start="1440" w:end="0"/>
        <w:rPr/>
      </w:pPr>
      <w:r>
        <w:rPr/>
      </w:r>
    </w:p>
    <w:p>
      <w:pPr>
        <w:pStyle w:val="Normal"/>
        <w:ind w:hanging="720" w:start="2160" w:end="0"/>
        <w:rPr/>
      </w:pPr>
      <w:r>
        <w:rPr/>
        <w:t>c.</w:t>
        <w:tab/>
        <w:t xml:space="preserve">Using a portion of the San Juan receipt capacity made available from the Burlington (97J4) and Amoco (97JB) contracts, the Havasu shippers’ contracts are amended to limit their receipt point rights to the San Juan Basin, and such shippers, whose CDs total 180 MMcf/d in the aggregate, are assigned receipt points rights in the San Juan Basin only.  </w:t>
      </w:r>
    </w:p>
    <w:p>
      <w:pPr>
        <w:pStyle w:val="Normal"/>
        <w:ind w:hanging="720" w:start="1440" w:end="0"/>
        <w:rPr/>
      </w:pPr>
      <w:r>
        <w:rPr/>
      </w:r>
    </w:p>
    <w:p>
      <w:pPr>
        <w:pStyle w:val="Normal"/>
        <w:ind w:hanging="720" w:start="2160" w:end="0"/>
        <w:rPr/>
      </w:pPr>
      <w:r>
        <w:rPr/>
        <w:t>d.</w:t>
        <w:tab/>
        <w:t xml:space="preserve">All other shippers are assigned specific receipt point capacity pro rata based on CDs or BDs according to their contractual receipt point rights, with the exception that the remainder of the additional San Juan receipt capacity available from the Burlington (97J4) and Amoco (97JB) contracts is allocated pro rata among the FT-1 full requirements shippers only.  Note:  If the full requirements shippers want to divide their aggregate San Juan receipt rights in a manner other than pro rata, El Paso will work with them to achieve an acceptable allocation. </w:t>
      </w:r>
    </w:p>
    <w:p>
      <w:pPr>
        <w:pStyle w:val="Normal"/>
        <w:ind w:hanging="720" w:start="2160" w:end="0"/>
        <w:rPr/>
      </w:pPr>
      <w:r>
        <w:rPr/>
      </w:r>
    </w:p>
    <w:p>
      <w:pPr>
        <w:pStyle w:val="Normal"/>
        <w:ind w:hanging="720" w:start="2160" w:end="0"/>
        <w:rPr/>
      </w:pPr>
      <w:r>
        <w:rPr/>
        <w:t>e.</w:t>
        <w:tab/>
        <w:t>Full requirement shippers retain systemwide receipt point rights in addition to their specified receipt point rights.  Full requirements shippers nominate their daily requirements above BDs on a systemwide receipt point basis.</w:t>
      </w:r>
    </w:p>
    <w:p>
      <w:pPr>
        <w:pStyle w:val="Normal"/>
        <w:ind w:hanging="720" w:start="1440" w:end="0"/>
        <w:rPr/>
      </w:pPr>
      <w:r>
        <w:rPr/>
      </w:r>
    </w:p>
    <w:p>
      <w:pPr>
        <w:pStyle w:val="Normal"/>
        <w:ind w:hanging="720" w:start="2160" w:end="0"/>
        <w:rPr/>
      </w:pPr>
      <w:r>
        <w:rPr/>
        <w:t>f.</w:t>
        <w:tab/>
        <w:t>Systemwide receipt points are eliminated for CD shippers; however, the rules governing scheduling of transactions involving alternate points will be amended to give a priority to shippers moving from an alternate receipt point to a primary delivery point over shippers utilizing alternate delivery points.</w:t>
      </w:r>
    </w:p>
    <w:p>
      <w:pPr>
        <w:pStyle w:val="Normal"/>
        <w:ind w:hanging="720" w:start="2160" w:end="0"/>
        <w:rPr/>
      </w:pPr>
      <w:r>
        <w:rPr/>
      </w:r>
    </w:p>
    <w:p>
      <w:pPr>
        <w:pStyle w:val="Normal"/>
        <w:ind w:hanging="720" w:start="2160" w:end="0"/>
        <w:rPr/>
      </w:pPr>
      <w:r>
        <w:rPr/>
        <w:t>g.</w:t>
        <w:tab/>
        <w:t xml:space="preserve">Attached is a list showing the approximate receipt point rights assigned to each of the existing contracts under the proposal as presented.  El Paso reserves the right to operate its system as required to effectuate deliveries using the receipt point rights established in this proposal.    </w:t>
      </w:r>
    </w:p>
    <w:p>
      <w:pPr>
        <w:pStyle w:val="Normal"/>
        <w:ind w:hanging="720" w:start="1440" w:end="0"/>
        <w:rPr/>
      </w:pPr>
      <w:r>
        <w:rPr/>
      </w:r>
    </w:p>
    <w:p>
      <w:pPr>
        <w:pStyle w:val="Normal"/>
        <w:ind w:hanging="720" w:start="1440" w:end="0"/>
        <w:rPr/>
      </w:pPr>
      <w:r>
        <w:rPr/>
        <w:t>2.</w:t>
        <w:tab/>
        <w:t xml:space="preserve">Nominations and Scheduling:  System capacity is allocated to shippers during the scheduling process in the following order:  FT-2 shippers; shippers utilizing their specified receipt point rights; full requirements shippers utilizing systemwide receipt points; shippers transporting on an alternate firm basis; and finally to interruptible transportation shippers.  As noted above, shippers using primary delivery points will be scheduled before those using alternate delivery points. </w:t>
      </w:r>
    </w:p>
    <w:p>
      <w:pPr>
        <w:pStyle w:val="Normal"/>
        <w:ind w:hanging="720" w:start="1440" w:end="0"/>
        <w:rPr>
          <w:u w:val="single"/>
        </w:rPr>
      </w:pPr>
      <w:r>
        <w:rPr>
          <w:u w:val="single"/>
        </w:rPr>
      </w:r>
    </w:p>
    <w:p>
      <w:pPr>
        <w:pStyle w:val="Normal"/>
        <w:keepNext w:val="true"/>
        <w:keepLines/>
        <w:ind w:hanging="720" w:start="1440" w:end="0"/>
        <w:rPr/>
      </w:pPr>
      <w:r>
        <w:rPr/>
        <w:t>3.</w:t>
        <w:tab/>
        <w:t>Receipt points on the El Paso system:</w:t>
      </w:r>
    </w:p>
    <w:p>
      <w:pPr>
        <w:pStyle w:val="Normal"/>
        <w:keepNext w:val="true"/>
        <w:keepLines/>
        <w:ind w:hanging="720" w:start="1440" w:end="0"/>
        <w:rPr/>
      </w:pPr>
      <w:r>
        <w:rPr/>
      </w:r>
    </w:p>
    <w:p>
      <w:pPr>
        <w:pStyle w:val="Normal"/>
        <w:ind w:hanging="720" w:start="2160" w:end="0"/>
        <w:rPr/>
      </w:pPr>
      <w:r>
        <w:rPr/>
        <w:t>a.</w:t>
        <w:tab/>
        <w:t>San Juan and Permian Basins - As previously discussed, given the broad pooling areas currently in use on the system, capacity constraints sometimes occur within a pooling area.  This is especially true in the Bondad pool.  For that reason, we again propose to split that pool in two pools.  El Paso has identified a total of sixteen potential pooling areas that could be used as receipt points based on the objective of minimizing the probability of internal constraints.  However, based on the feedback received to date, receipt points in this proposal are assigned to firm shippers, based on contractual entitlements, using only six pooling areas:  Blanco, Bondad Mainline,</w:t>
      </w:r>
      <w:r>
        <w:rPr>
          <w:rStyle w:val="FootnoteCharacters"/>
          <w:rStyle w:val="FootnoteReference"/>
        </w:rPr>
        <w:footnoteReference w:id="2"/>
      </w:r>
      <w:r>
        <w:rPr/>
        <w:t xml:space="preserve"> Bondad Station,</w:t>
      </w:r>
      <w:r>
        <w:rPr>
          <w:rStyle w:val="FootnoteCharacters"/>
          <w:rStyle w:val="FootnoteReference"/>
        </w:rPr>
        <w:footnoteReference w:id="3"/>
      </w:r>
      <w:r>
        <w:rPr/>
        <w:t xml:space="preserve"> Keystone, Plains, and Waha. </w:t>
      </w:r>
    </w:p>
    <w:p>
      <w:pPr>
        <w:pStyle w:val="Normal"/>
        <w:ind w:hanging="720" w:start="2160" w:end="0"/>
        <w:rPr/>
      </w:pPr>
      <w:r>
        <w:rPr/>
      </w:r>
    </w:p>
    <w:p>
      <w:pPr>
        <w:pStyle w:val="Normal"/>
        <w:ind w:hanging="720" w:start="2160" w:end="0"/>
        <w:rPr/>
      </w:pPr>
      <w:r>
        <w:rPr/>
        <w:t>b.</w:t>
        <w:tab/>
        <w:t>Anadarko Basin - West flow shippers were not assigned any receipt point rights in the Anadarko Basin, however such receipt rights were assigned to East End shippers as called for in their contracts.  Full requirements and FT-2 shippers may access this basin using their systemwide receipt point rights.  CD shippers may access this basin on an alternate firm basis.</w:t>
      </w:r>
    </w:p>
    <w:p>
      <w:pPr>
        <w:pStyle w:val="Normal"/>
        <w:ind w:hanging="720" w:start="2160" w:end="0"/>
        <w:rPr/>
      </w:pPr>
      <w:r>
        <w:rPr/>
      </w:r>
    </w:p>
    <w:p>
      <w:pPr>
        <w:pStyle w:val="Normal"/>
        <w:ind w:hanging="720" w:start="1440" w:end="0"/>
        <w:rPr/>
      </w:pPr>
      <w:r>
        <w:rPr/>
        <w:t>4.</w:t>
        <w:tab/>
        <w:t>Capacity release of receipt point rights:</w:t>
      </w:r>
    </w:p>
    <w:p>
      <w:pPr>
        <w:pStyle w:val="Normal"/>
        <w:ind w:hanging="720" w:start="1440" w:end="0"/>
        <w:rPr/>
      </w:pPr>
      <w:r>
        <w:rPr/>
      </w:r>
    </w:p>
    <w:p>
      <w:pPr>
        <w:pStyle w:val="Normal"/>
        <w:ind w:hanging="720" w:start="2160" w:end="0"/>
        <w:rPr/>
      </w:pPr>
      <w:r>
        <w:rPr/>
        <w:t>a.</w:t>
        <w:tab/>
        <w:t>Subsequent to implementation, shippers may release their assigned receipt point rights through the capacity release program.</w:t>
      </w:r>
    </w:p>
    <w:p>
      <w:pPr>
        <w:pStyle w:val="Normal"/>
        <w:ind w:hanging="720" w:start="2160" w:end="0"/>
        <w:rPr/>
      </w:pPr>
      <w:r>
        <w:rPr/>
      </w:r>
    </w:p>
    <w:p>
      <w:pPr>
        <w:pStyle w:val="Normal"/>
        <w:ind w:hanging="720" w:start="2160" w:end="0"/>
        <w:rPr/>
      </w:pPr>
      <w:r>
        <w:rPr/>
        <w:t>b.</w:t>
        <w:tab/>
        <w:t xml:space="preserve">All such releases will be subject to El Paso’s confirmation that it has the operational ability to serve the resulting receipt/delivery combinations on a firm basis.  </w:t>
      </w:r>
    </w:p>
    <w:p>
      <w:pPr>
        <w:pStyle w:val="Normal"/>
        <w:ind w:hanging="720" w:start="2880" w:end="0"/>
        <w:rPr/>
      </w:pPr>
      <w:r>
        <w:rPr/>
      </w:r>
    </w:p>
    <w:p>
      <w:pPr>
        <w:pStyle w:val="Normal"/>
        <w:ind w:hanging="720" w:start="2160" w:end="0"/>
        <w:rPr/>
      </w:pPr>
      <w:r>
        <w:rPr/>
        <w:t>c.</w:t>
        <w:tab/>
        <w:t>The ability to release receipt point rights is subject to the requirement that assigned receipt point rights revert to the original contract prior to or at the time of contract expiration.</w:t>
      </w:r>
    </w:p>
    <w:p>
      <w:pPr>
        <w:pStyle w:val="Normal"/>
        <w:ind w:hanging="720" w:start="2880" w:end="0"/>
        <w:rPr/>
      </w:pPr>
      <w:r>
        <w:rPr/>
      </w:r>
    </w:p>
    <w:p>
      <w:pPr>
        <w:pStyle w:val="Normal"/>
        <w:jc w:val="both"/>
        <w:rPr>
          <w:b/>
          <w:u w:val="single"/>
        </w:rPr>
      </w:pPr>
      <w:r>
        <w:rPr>
          <w:b/>
          <w:u w:val="single"/>
        </w:rPr>
      </w:r>
    </w:p>
    <w:p>
      <w:pPr>
        <w:pStyle w:val="Normal"/>
        <w:ind w:hanging="720" w:start="720" w:end="0"/>
        <w:rPr/>
      </w:pPr>
      <w:r>
        <w:rPr>
          <w:rFonts w:eastAsia="Symbol" w:cs="Symbol" w:ascii="Symbol" w:hAnsi="Symbol"/>
        </w:rPr>
        <w:sym w:font="Symbol" w:char="f0b7"/>
      </w:r>
      <w:r>
        <w:rPr/>
        <w:tab/>
      </w:r>
      <w:r>
        <w:rPr>
          <w:b/>
        </w:rPr>
        <w:t>Allocation of SoCal Topock Delivery Rights</w:t>
      </w:r>
    </w:p>
    <w:p>
      <w:pPr>
        <w:pStyle w:val="Normal"/>
        <w:ind w:hanging="720" w:start="720" w:end="0"/>
        <w:rPr>
          <w:b/>
        </w:rPr>
      </w:pPr>
      <w:r>
        <w:rPr>
          <w:b/>
        </w:rPr>
      </w:r>
    </w:p>
    <w:p>
      <w:pPr>
        <w:pStyle w:val="Normal"/>
        <w:ind w:hanging="720" w:start="1440" w:end="0"/>
        <w:rPr/>
      </w:pPr>
      <w:r>
        <w:rPr/>
        <w:t>1.</w:t>
        <w:tab/>
        <w:t>Block II turned-back capacity will not be sold to SoCal Topock.</w:t>
      </w:r>
    </w:p>
    <w:p>
      <w:pPr>
        <w:pStyle w:val="Normal"/>
        <w:ind w:hanging="720" w:start="2160" w:end="0"/>
        <w:rPr/>
      </w:pPr>
      <w:r>
        <w:rPr/>
      </w:r>
    </w:p>
    <w:p>
      <w:pPr>
        <w:pStyle w:val="Normal"/>
        <w:ind w:hanging="720" w:start="1440" w:end="0"/>
        <w:rPr/>
      </w:pPr>
      <w:r>
        <w:rPr/>
        <w:t>2.</w:t>
        <w:tab/>
        <w:t>Shippers with delivery rights to SoCal Topock are allocated a pro rata share of the 540 MMcf/d of the SoCal delivery meter capacity based on CDs.  Note:  El Paso offers this allocation as a “default” method but encourages SoCal Topock shippers to address among themselves whether there is a more acceptable method of allocating the 540 MMcf/d of capacity for the remaining term of the 1996 Settlement.</w:t>
      </w:r>
    </w:p>
    <w:p>
      <w:pPr>
        <w:pStyle w:val="Normal"/>
        <w:ind w:hanging="720" w:start="2160" w:end="0"/>
        <w:rPr/>
      </w:pPr>
      <w:r>
        <w:rPr/>
      </w:r>
    </w:p>
    <w:p>
      <w:pPr>
        <w:pStyle w:val="Normal"/>
        <w:ind w:hanging="720" w:start="1440" w:end="0"/>
        <w:rPr/>
      </w:pPr>
      <w:r>
        <w:rPr/>
        <w:t>3.</w:t>
        <w:tab/>
        <w:t>SoCal Topock shippers who wish to access southern California markets through the Mojave system will be given a discount on interruptible transportation to the Mojave Hector delivery point.</w:t>
      </w:r>
    </w:p>
    <w:p>
      <w:pPr>
        <w:pStyle w:val="Normal"/>
        <w:ind w:hanging="720" w:start="2160" w:end="0"/>
        <w:rPr/>
      </w:pPr>
      <w:r>
        <w:rPr/>
      </w:r>
    </w:p>
    <w:p>
      <w:pPr>
        <w:pStyle w:val="Normal"/>
        <w:ind w:hanging="720" w:start="720" w:end="0"/>
        <w:rPr/>
      </w:pPr>
      <w:r>
        <w:rPr>
          <w:rFonts w:eastAsia="Symbol" w:cs="Symbol" w:ascii="Symbol" w:hAnsi="Symbol"/>
        </w:rPr>
        <w:sym w:font="Symbol" w:char="f0b7"/>
      </w:r>
      <w:r>
        <w:rPr>
          <w:b/>
        </w:rPr>
        <w:tab/>
        <w:t>Block II Recall Rights</w:t>
      </w:r>
    </w:p>
    <w:p>
      <w:pPr>
        <w:pStyle w:val="Normal"/>
        <w:ind w:hanging="720" w:start="1440" w:end="0"/>
        <w:rPr>
          <w:b/>
        </w:rPr>
      </w:pPr>
      <w:r>
        <w:rPr>
          <w:b/>
        </w:rPr>
      </w:r>
    </w:p>
    <w:p>
      <w:pPr>
        <w:pStyle w:val="Normal"/>
        <w:ind w:start="720" w:end="0"/>
        <w:rPr/>
      </w:pPr>
      <w:r>
        <w:rPr/>
        <w:t>El Paso agrees to apply the recall rights applicable to Block II turned-back capacity consistent with the position advanced on appeal by PG&amp;E and the CPUC; namely, (i) capacity can be recalled by a northern California shipper if the capacity is not being used by the contracted shipper; and (ii) the ability of the originally contracted shipper to recall capacity recalled by a northern California shipper is eliminated.</w:t>
      </w:r>
    </w:p>
    <w:p>
      <w:pPr>
        <w:pStyle w:val="Normal"/>
        <w:ind w:hanging="720" w:start="1440" w:end="0"/>
        <w:rPr/>
      </w:pPr>
      <w:r>
        <w:rPr/>
      </w:r>
    </w:p>
    <w:p>
      <w:pPr>
        <w:pStyle w:val="Normal"/>
        <w:ind w:hanging="720" w:start="720" w:end="0"/>
        <w:rPr/>
      </w:pPr>
      <w:r>
        <w:rPr>
          <w:rFonts w:eastAsia="Symbol" w:cs="Symbol" w:ascii="Symbol" w:hAnsi="Symbol"/>
        </w:rPr>
        <w:sym w:font="Symbol" w:char="f0b7"/>
      </w:r>
      <w:r>
        <w:rPr/>
        <w:tab/>
      </w:r>
      <w:r>
        <w:rPr>
          <w:b/>
        </w:rPr>
        <w:t>Fuel</w:t>
      </w:r>
    </w:p>
    <w:p>
      <w:pPr>
        <w:pStyle w:val="Normal"/>
        <w:ind w:hanging="720" w:start="720" w:end="0"/>
        <w:rPr>
          <w:b/>
        </w:rPr>
      </w:pPr>
      <w:r>
        <w:rPr>
          <w:b/>
        </w:rPr>
      </w:r>
    </w:p>
    <w:p>
      <w:pPr>
        <w:pStyle w:val="Normal"/>
        <w:ind w:hanging="720" w:start="1440" w:end="0"/>
        <w:jc w:val="both"/>
        <w:rPr/>
      </w:pPr>
      <w:r>
        <w:rPr/>
        <w:t>1.</w:t>
        <w:tab/>
        <w:t xml:space="preserve">Fuel used in facilities refunctionalized as gathering will be removed from El Paso’s fuel charges in accordance with the biennial fuel adjustment included in the 1996 Settlement (see Section 26 of the General Terms and Conditions of El Paso’s FERC tariff).  </w:t>
      </w:r>
    </w:p>
    <w:p>
      <w:pPr>
        <w:pStyle w:val="Normal"/>
        <w:jc w:val="both"/>
        <w:rPr/>
      </w:pPr>
      <w:r>
        <w:rPr/>
      </w:r>
    </w:p>
    <w:p>
      <w:pPr>
        <w:pStyle w:val="Normal"/>
        <w:ind w:hanging="720" w:start="1440" w:end="0"/>
        <w:jc w:val="both"/>
        <w:rPr/>
      </w:pPr>
      <w:r>
        <w:rPr/>
        <w:t>2.</w:t>
        <w:tab/>
        <w:t>Fuel imbalances will be corrected back to February 1, 2000, to eliminate the fuel adjustment that occurred on that date.</w:t>
      </w:r>
    </w:p>
    <w:p>
      <w:pPr>
        <w:pStyle w:val="Normal"/>
        <w:ind w:hanging="720" w:start="1440" w:end="0"/>
        <w:jc w:val="both"/>
        <w:rPr/>
      </w:pPr>
      <w:r>
        <w:rPr/>
      </w:r>
    </w:p>
    <w:p>
      <w:pPr>
        <w:pStyle w:val="Normal"/>
        <w:ind w:hanging="720" w:start="1440" w:end="0"/>
        <w:jc w:val="both"/>
        <w:rPr/>
      </w:pPr>
      <w:r>
        <w:rPr/>
        <w:t>3.</w:t>
        <w:tab/>
        <w:t>Fuel used in the Blanco compressors will be removed from the calculation of El Paso's fuel charge as of the date El Paso receives abandonment authorization, which El Paso anticipates will not be before October 1, 2000.  Therefore, pursuant to the settlement fuel adjustment mechanism, fuel used in the Blanco compressors will begin to be removed from El Paso's fuel charge as of January 1, 2003.</w:t>
      </w:r>
    </w:p>
    <w:p>
      <w:pPr>
        <w:pStyle w:val="Normal"/>
        <w:ind w:hanging="720" w:start="1440" w:end="0"/>
        <w:jc w:val="both"/>
        <w:rPr/>
      </w:pPr>
      <w:r>
        <w:rPr/>
      </w:r>
    </w:p>
    <w:p>
      <w:pPr>
        <w:pStyle w:val="Normal"/>
        <w:ind w:hanging="720" w:start="1440" w:end="0"/>
        <w:jc w:val="both"/>
        <w:rPr/>
      </w:pPr>
      <w:r>
        <w:rPr/>
        <w:t>4.</w:t>
        <w:tab/>
        <w:t xml:space="preserve">The impact of the three changes proposed above is to undo the fuel filing made effective on February 1, 2000, returning the forward haul fuel rate to the 4.85% in effect prior to that date.  Using the fuel consumption data from the last filing as a proxy for recent experience, the fuel filing to be made later this year (to take effect January 1, 2001) would result in a forward haul fuel rate of approximately 4.4% based on the complete removal of the Chaco and South Carlsbad fuel but the retention of the Blanco fuel.  Assuming no other changes, the forward haul fuel rate which takes effect on January 1, 2003 would be 3.88% or slightly higher, depending on when abandonment authority is received for the Blanco facilities.  </w:t>
      </w:r>
    </w:p>
    <w:p>
      <w:pPr>
        <w:pStyle w:val="Normal"/>
        <w:jc w:val="both"/>
        <w:rPr/>
      </w:pPr>
      <w:r>
        <w:rPr/>
      </w:r>
    </w:p>
    <w:p>
      <w:pPr>
        <w:pStyle w:val="Normal"/>
        <w:ind w:hanging="720" w:start="720" w:end="0"/>
        <w:rPr/>
      </w:pPr>
      <w:r>
        <w:rPr>
          <w:rFonts w:eastAsia="Symbol" w:cs="Symbol" w:ascii="Symbol" w:hAnsi="Symbol"/>
        </w:rPr>
        <w:sym w:font="Symbol" w:char="f0b7"/>
      </w:r>
      <w:r>
        <w:rPr/>
        <w:tab/>
      </w:r>
      <w:r>
        <w:rPr>
          <w:b/>
        </w:rPr>
        <w:t>Pooling</w:t>
      </w:r>
    </w:p>
    <w:p>
      <w:pPr>
        <w:pStyle w:val="Normal"/>
        <w:ind w:hanging="720" w:start="720" w:end="0"/>
        <w:rPr>
          <w:b/>
        </w:rPr>
      </w:pPr>
      <w:r>
        <w:rPr>
          <w:b/>
        </w:rPr>
      </w:r>
    </w:p>
    <w:p>
      <w:pPr>
        <w:pStyle w:val="Normal"/>
        <w:ind w:start="720" w:end="0"/>
        <w:rPr/>
      </w:pPr>
      <w:r>
        <w:rPr/>
        <w:t>El Paso commits to retaining a method of unlimited pooling that will conform to GISB timelines.  The separately formed “pooling” committee will make an initial report to the parties at the ADR session to be held in San Francisco on June 12</w:t>
        <w:noBreakHyphen/>
        <w:t>13.</w:t>
      </w:r>
    </w:p>
    <w:p>
      <w:pPr>
        <w:pStyle w:val="Normal"/>
        <w:ind w:start="720" w:end="0"/>
        <w:rPr/>
      </w:pPr>
      <w:r>
        <w:rPr/>
      </w:r>
    </w:p>
    <w:sectPr>
      <w:headerReference w:type="default" r:id="rId2"/>
      <w:headerReference w:type="first" r:id="rId3"/>
      <w:footerReference w:type="default" r:id="rId4"/>
      <w:footerReference w:type="first" r:id="rId5"/>
      <w:footnotePr>
        <w:numFmt w:val="decimal"/>
      </w:footnotePr>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ind w:hanging="432" w:start="432" w:end="0"/>
        <w:jc w:val="both"/>
        <w:rPr/>
      </w:pPr>
      <w:r>
        <w:rPr>
          <w:rStyle w:val="FootnoteCharacters"/>
        </w:rPr>
        <w:footnoteRef/>
      </w:r>
      <w:r>
        <w:rPr/>
        <w:t xml:space="preserve"> </w:t>
      </w:r>
      <w:r>
        <w:rPr/>
        <w:tab/>
        <w:t>Consisting of the southern half of the existing Bondad pool beginning at the outlet of the Bondad compressors.</w:t>
      </w:r>
    </w:p>
  </w:footnote>
  <w:footnote w:id="3">
    <w:p>
      <w:pPr>
        <w:pStyle w:val="FootnoteText"/>
        <w:spacing w:before="0" w:after="120"/>
        <w:ind w:hanging="432" w:start="432" w:end="0"/>
        <w:jc w:val="both"/>
        <w:rPr/>
      </w:pPr>
      <w:r>
        <w:rPr>
          <w:rStyle w:val="FootnoteCharacters"/>
        </w:rPr>
        <w:footnoteRef/>
      </w:r>
      <w:r>
        <w:rPr/>
        <w:t xml:space="preserve"> </w:t>
      </w:r>
      <w:r>
        <w:rPr/>
        <w:tab/>
        <w:t>Consisting of the northernmost portion of the current Bondad area, including receipts from Northwest Pipeline Corporation at Ignacio.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u w:val="single"/>
      </w:rPr>
    </w:pPr>
    <w:r>
      <w:rPr>
        <w:b/>
        <w:u w:val="single"/>
      </w:rPr>
      <w:t>PRIVILEGED MATERIAL</w:t>
    </w:r>
  </w:p>
  <w:p>
    <w:pPr>
      <w:pStyle w:val="Header"/>
      <w:rPr>
        <w:b/>
        <w:u w:val="single"/>
      </w:rPr>
    </w:pPr>
    <w:r>
      <w:rPr>
        <w:b/>
        <w:u w:val="single"/>
      </w:rPr>
      <w:t>FOR SETTLEMENT PURPOSES ONLY</w:t>
    </w:r>
  </w:p>
  <w:p>
    <w:pPr>
      <w:pStyle w:val="Header"/>
      <w:rPr>
        <w:b/>
        <w:u w:val="single"/>
      </w:rPr>
    </w:pPr>
    <w:r>
      <w:rPr>
        <w:b/>
        <w:u w:val="single"/>
      </w:rPr>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u w:val="single"/>
      </w:rPr>
    </w:pPr>
    <w:r>
      <w:rPr>
        <w:b/>
        <w:u w:val="single"/>
      </w:rPr>
      <w:t>PRIVILEGED MATERIAL</w:t>
    </w:r>
  </w:p>
  <w:p>
    <w:pPr>
      <w:pStyle w:val="Header"/>
      <w:rPr>
        <w:b/>
      </w:rPr>
    </w:pPr>
    <w:r>
      <w:rPr>
        <w:b/>
        <w:u w:val="single"/>
      </w:rPr>
      <w:t>FOR SETTLEMENT PURPOSES ONLY</w:t>
    </w:r>
  </w:p>
  <w:p>
    <w:pPr>
      <w:pStyle w:val="Header"/>
      <w:rPr>
        <w:b/>
      </w:rPr>
    </w:pPr>
    <w:r>
      <w:rPr>
        <w:b/>
      </w:rPr>
    </w:r>
  </w:p>
  <w:p>
    <w:pPr>
      <w:pStyle w:val="Head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b/>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tabs>
        <w:tab w:val="clear" w:pos="720"/>
        <w:tab w:val="left" w:pos="432" w:leader="none"/>
      </w:tabs>
      <w:spacing w:before="0" w:after="120"/>
      <w:ind w:hanging="432" w:start="432" w:end="0"/>
      <w:jc w:val="both"/>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2000-06-06T17:32:00Z</dcterms:created>
  <dc:creator>Preferred Customer</dc:creator>
  <dc:description/>
  <dc:language>en-CA</dc:language>
  <cp:lastModifiedBy>Bill Healy</cp:lastModifiedBy>
  <cp:lastPrinted>2000-06-02T17:19:00Z</cp:lastPrinted>
  <dcterms:modified xsi:type="dcterms:W3CDTF">2000-06-06T22:34:00Z</dcterms:modified>
  <cp:revision>6</cp:revision>
  <dc:subject/>
  <dc:title>SETTLEMENT OPTIONS</dc:title>
</cp:coreProperties>
</file>