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Outline for Regulatory and PR Strategy in Germany</w:t>
      </w:r>
    </w:p>
    <w:p>
      <w:pPr>
        <w:pStyle w:val="Normal"/>
        <w:rPr/>
      </w:pPr>
      <w:r>
        <w:rPr/>
        <w:t>Draft: Paul Hennemeyer, April 6, 2001</w:t>
      </w:r>
    </w:p>
    <w:p>
      <w:pPr>
        <w:pStyle w:val="Normal"/>
        <w:rPr/>
      </w:pPr>
      <w:r>
        <w:rPr/>
      </w:r>
    </w:p>
    <w:p>
      <w:pPr>
        <w:pStyle w:val="Normal"/>
        <w:rPr/>
      </w:pPr>
      <w:r>
        <w:rPr>
          <w:b/>
          <w:bCs/>
          <w:sz w:val="28"/>
        </w:rPr>
        <w:t>1. Goals</w:t>
      </w:r>
      <w:r>
        <w:rPr/>
        <w:t>:</w:t>
      </w:r>
    </w:p>
    <w:p>
      <w:pPr>
        <w:pStyle w:val="Normal"/>
        <w:rPr/>
      </w:pPr>
      <w:r>
        <w:rPr/>
      </w:r>
    </w:p>
    <w:p>
      <w:pPr>
        <w:pStyle w:val="Normal"/>
        <w:numPr>
          <w:ilvl w:val="0"/>
          <w:numId w:val="2"/>
        </w:numPr>
        <w:rPr/>
      </w:pPr>
      <w:r>
        <w:rPr>
          <w:b/>
          <w:bCs/>
        </w:rPr>
        <w:t xml:space="preserve">Establishment of Regulated Third Party Access </w:t>
      </w:r>
      <w:r>
        <w:rPr/>
        <w:t xml:space="preserve">to Gas and Electricity Networks </w:t>
      </w:r>
    </w:p>
    <w:p>
      <w:pPr>
        <w:pStyle w:val="Normal"/>
        <w:numPr>
          <w:ilvl w:val="1"/>
          <w:numId w:val="2"/>
        </w:numPr>
        <w:rPr/>
      </w:pPr>
      <w:r>
        <w:rPr/>
        <w:t xml:space="preserve">All pressure/voltage levels.  </w:t>
      </w:r>
    </w:p>
    <w:p>
      <w:pPr>
        <w:pStyle w:val="Normal"/>
        <w:numPr>
          <w:ilvl w:val="1"/>
          <w:numId w:val="2"/>
        </w:numPr>
        <w:rPr/>
      </w:pPr>
      <w:r>
        <w:rPr/>
        <w:t>Non-discriminatory, tranparent access to networks and network services (gas=storage, balancing, blending; electricity=balancing energy, reserves, voltage and frequency control)</w:t>
      </w:r>
    </w:p>
    <w:p>
      <w:pPr>
        <w:pStyle w:val="Normal"/>
        <w:numPr>
          <w:ilvl w:val="0"/>
          <w:numId w:val="2"/>
        </w:numPr>
        <w:rPr/>
      </w:pPr>
      <w:r>
        <w:rPr>
          <w:b/>
          <w:bCs/>
        </w:rPr>
        <w:t>Corporate Unbundling:</w:t>
      </w:r>
      <w:r>
        <w:rPr/>
        <w:t xml:space="preserve"> </w:t>
      </w:r>
    </w:p>
    <w:p>
      <w:pPr>
        <w:pStyle w:val="Normal"/>
        <w:numPr>
          <w:ilvl w:val="1"/>
          <w:numId w:val="2"/>
        </w:numPr>
        <w:rPr/>
      </w:pPr>
      <w:r>
        <w:rPr/>
        <w:t>Management, resource, and legal separation of networks (all pressure and votlage levels) from supply/trading businesses in gas and electricity.</w:t>
      </w:r>
    </w:p>
    <w:p>
      <w:pPr>
        <w:pStyle w:val="Normal"/>
        <w:numPr>
          <w:ilvl w:val="0"/>
          <w:numId w:val="2"/>
        </w:numPr>
        <w:rPr/>
      </w:pPr>
      <w:r>
        <w:rPr>
          <w:b/>
          <w:bCs/>
        </w:rPr>
        <w:t>Free Cross Border Trade</w:t>
      </w:r>
      <w:r>
        <w:rPr/>
        <w:t xml:space="preserve">: </w:t>
      </w:r>
    </w:p>
    <w:p>
      <w:pPr>
        <w:pStyle w:val="Normal"/>
        <w:numPr>
          <w:ilvl w:val="1"/>
          <w:numId w:val="2"/>
        </w:numPr>
        <w:rPr/>
      </w:pPr>
      <w:r>
        <w:rPr/>
        <w:t xml:space="preserve">Opening of all interconnector capacity on a market-basis; </w:t>
      </w:r>
    </w:p>
    <w:p>
      <w:pPr>
        <w:pStyle w:val="Normal"/>
        <w:numPr>
          <w:ilvl w:val="1"/>
          <w:numId w:val="2"/>
        </w:numPr>
        <w:rPr/>
      </w:pPr>
      <w:r>
        <w:rPr/>
        <w:t xml:space="preserve">Remove “Altvertrage” and require only minimum necessary reservation of capacity for system stability purposes. </w:t>
      </w:r>
    </w:p>
    <w:p>
      <w:pPr>
        <w:pStyle w:val="Normal"/>
        <w:numPr>
          <w:ilvl w:val="1"/>
          <w:numId w:val="2"/>
        </w:numPr>
        <w:rPr/>
      </w:pPr>
      <w:r>
        <w:rPr/>
        <w:t xml:space="preserve">Cross-border fees must be genuinley cost-reflective and shared by all parties equally. </w:t>
      </w:r>
    </w:p>
    <w:p>
      <w:pPr>
        <w:pStyle w:val="Normal"/>
        <w:numPr>
          <w:ilvl w:val="1"/>
          <w:numId w:val="2"/>
        </w:numPr>
        <w:rPr/>
      </w:pPr>
      <w:r>
        <w:rPr/>
        <w:t>Income from auctions of congested capacity used to i) reduce network fees or ii) expand facility.</w:t>
      </w:r>
    </w:p>
    <w:p>
      <w:pPr>
        <w:pStyle w:val="Normal"/>
        <w:numPr>
          <w:ilvl w:val="1"/>
          <w:numId w:val="2"/>
        </w:numPr>
        <w:rPr/>
      </w:pPr>
      <w:r>
        <w:rPr/>
        <w:t>Reduce or eliminate planned restrictions from application of reciprocity clause in gas and electricity.</w:t>
      </w:r>
    </w:p>
    <w:p>
      <w:pPr>
        <w:pStyle w:val="Normal"/>
        <w:rPr/>
      </w:pPr>
      <w:r>
        <w:rPr/>
      </w:r>
    </w:p>
    <w:p>
      <w:pPr>
        <w:pStyle w:val="Heading1"/>
        <w:ind w:hanging="0" w:start="0"/>
        <w:rPr/>
      </w:pPr>
      <w:r>
        <w:rPr/>
        <w:t xml:space="preserve">Time Frame: </w:t>
      </w:r>
      <w:r>
        <w:rPr>
          <w:b w:val="false"/>
          <w:bCs w:val="false"/>
        </w:rPr>
        <w:t>12- 18 months</w:t>
      </w:r>
    </w:p>
    <w:p>
      <w:pPr>
        <w:pStyle w:val="Normal"/>
        <w:rPr>
          <w:b/>
          <w:bCs/>
        </w:rPr>
      </w:pPr>
      <w:r>
        <w:rPr>
          <w:b/>
          <w:bCs/>
        </w:rPr>
      </w:r>
    </w:p>
    <w:p>
      <w:pPr>
        <w:pStyle w:val="Heading3"/>
        <w:ind w:hanging="0" w:start="0"/>
        <w:rPr/>
      </w:pPr>
      <w:r>
        <w:rPr/>
        <w:t>2. Implementation</w:t>
      </w:r>
    </w:p>
    <w:p>
      <w:pPr>
        <w:pStyle w:val="Heading1"/>
        <w:ind w:hanging="0" w:start="0"/>
        <w:rPr/>
      </w:pPr>
      <w:r>
        <w:rPr/>
      </w:r>
    </w:p>
    <w:p>
      <w:pPr>
        <w:pStyle w:val="Heading1"/>
        <w:ind w:hanging="0" w:start="0"/>
        <w:rPr/>
      </w:pPr>
      <w:r>
        <w:rPr/>
        <w:t>Lobby Work</w:t>
      </w:r>
    </w:p>
    <w:p>
      <w:pPr>
        <w:pStyle w:val="Normal"/>
        <w:rPr/>
      </w:pPr>
      <w:r>
        <w:rPr/>
      </w:r>
    </w:p>
    <w:p>
      <w:pPr>
        <w:pStyle w:val="Normal"/>
        <w:numPr>
          <w:ilvl w:val="0"/>
          <w:numId w:val="2"/>
        </w:numPr>
        <w:rPr/>
      </w:pPr>
      <w:r>
        <w:rPr/>
        <w:t>Focussed lobbying efforts on key decision makers and “swing” votes</w:t>
      </w:r>
    </w:p>
    <w:p>
      <w:pPr>
        <w:pStyle w:val="Normal"/>
        <w:numPr>
          <w:ilvl w:val="1"/>
          <w:numId w:val="2"/>
        </w:numPr>
        <w:rPr/>
      </w:pPr>
      <w:r>
        <w:rPr/>
        <w:t>Identify and support key allies in German political parties (max 6)</w:t>
      </w:r>
    </w:p>
    <w:p>
      <w:pPr>
        <w:pStyle w:val="Normal"/>
        <w:numPr>
          <w:ilvl w:val="1"/>
          <w:numId w:val="2"/>
        </w:numPr>
        <w:rPr/>
      </w:pPr>
      <w:r>
        <w:rPr/>
        <w:t>Persuade key “undecided” players (i.e. Volker Jung –SPD)</w:t>
      </w:r>
    </w:p>
    <w:p>
      <w:pPr>
        <w:pStyle w:val="Normal"/>
        <w:numPr>
          <w:ilvl w:val="1"/>
          <w:numId w:val="2"/>
        </w:numPr>
        <w:rPr/>
      </w:pPr>
      <w:r>
        <w:rPr/>
        <w:t>Involvement of German industrial and consumer associations who favour regulated TPA</w:t>
      </w:r>
    </w:p>
    <w:p>
      <w:pPr>
        <w:pStyle w:val="Normal"/>
        <w:numPr>
          <w:ilvl w:val="1"/>
          <w:numId w:val="2"/>
        </w:numPr>
        <w:rPr/>
      </w:pPr>
      <w:r>
        <w:rPr/>
        <w:t>Create or join Berlin-based lobby group</w:t>
      </w:r>
    </w:p>
    <w:p>
      <w:pPr>
        <w:pStyle w:val="Normal"/>
        <w:numPr>
          <w:ilvl w:val="1"/>
          <w:numId w:val="2"/>
        </w:numPr>
        <w:rPr/>
      </w:pPr>
      <w:r>
        <w:rPr/>
        <w:t>Continue active support and dialogue with EU (DG Tren and DG Comp)</w:t>
      </w:r>
    </w:p>
    <w:p>
      <w:pPr>
        <w:pStyle w:val="Normal"/>
        <w:numPr>
          <w:ilvl w:val="1"/>
          <w:numId w:val="2"/>
        </w:numPr>
        <w:rPr/>
      </w:pPr>
      <w:r>
        <w:rPr/>
        <w:t>Continue to work with key Euro MPs</w:t>
      </w:r>
    </w:p>
    <w:p>
      <w:pPr>
        <w:pStyle w:val="Normal"/>
        <w:numPr>
          <w:ilvl w:val="1"/>
          <w:numId w:val="2"/>
        </w:numPr>
        <w:rPr/>
      </w:pPr>
      <w:r>
        <w:rPr/>
        <w:t>Organise one senior level meeting (Skilling and de Palacio)</w:t>
      </w:r>
    </w:p>
    <w:p>
      <w:pPr>
        <w:pStyle w:val="Normal"/>
        <w:rPr/>
      </w:pPr>
      <w:r>
        <w:rPr/>
      </w:r>
    </w:p>
    <w:p>
      <w:pPr>
        <w:pStyle w:val="Normal"/>
        <w:rPr/>
      </w:pPr>
      <w:r>
        <w:rPr/>
      </w:r>
    </w:p>
    <w:p>
      <w:pPr>
        <w:pStyle w:val="Heading1"/>
        <w:ind w:hanging="0" w:start="0"/>
        <w:rPr/>
      </w:pPr>
      <w:r>
        <w:rPr/>
        <w:t>Public Relations</w:t>
      </w:r>
    </w:p>
    <w:p>
      <w:pPr>
        <w:pStyle w:val="Normal"/>
        <w:rPr/>
      </w:pPr>
      <w:r>
        <w:rPr/>
      </w:r>
    </w:p>
    <w:p>
      <w:pPr>
        <w:pStyle w:val="Normal"/>
        <w:numPr>
          <w:ilvl w:val="0"/>
          <w:numId w:val="2"/>
        </w:numPr>
        <w:rPr/>
      </w:pPr>
      <w:r>
        <w:rPr/>
        <w:t>Target high profile media outlets read by decision makers in German Government and industry. (ie. FAZ, die Welt , Berliner Morgenpost). Reduce coverage in Fachzeitschriften.</w:t>
      </w:r>
    </w:p>
    <w:p>
      <w:pPr>
        <w:pStyle w:val="Normal"/>
        <w:numPr>
          <w:ilvl w:val="0"/>
          <w:numId w:val="2"/>
        </w:numPr>
        <w:rPr/>
      </w:pPr>
      <w:r>
        <w:rPr/>
        <w:t>Continue interviews with German press. Increase press presence in Brussels</w:t>
      </w:r>
    </w:p>
    <w:p>
      <w:pPr>
        <w:pStyle w:val="Normal"/>
        <w:numPr>
          <w:ilvl w:val="0"/>
          <w:numId w:val="2"/>
        </w:numPr>
        <w:rPr/>
      </w:pPr>
      <w:r>
        <w:rPr/>
        <w:t>Tighten PR message within Europe (strike balance between trading and origination; short-term and long-term)</w:t>
      </w:r>
    </w:p>
    <w:p>
      <w:pPr>
        <w:pStyle w:val="Normal"/>
        <w:numPr>
          <w:ilvl w:val="0"/>
          <w:numId w:val="2"/>
        </w:numPr>
        <w:rPr/>
      </w:pPr>
      <w:r>
        <w:rPr/>
        <w:t>One to two Parlimentary Evenings in Berlin on energy liberalisation</w:t>
      </w:r>
    </w:p>
    <w:p>
      <w:pPr>
        <w:pStyle w:val="Normal"/>
        <w:numPr>
          <w:ilvl w:val="0"/>
          <w:numId w:val="2"/>
        </w:numPr>
        <w:rPr/>
      </w:pPr>
      <w:r>
        <w:rPr/>
        <w:t>Establish relevant association in Germany or join existing association in Berlin</w:t>
      </w:r>
    </w:p>
    <w:p>
      <w:pPr>
        <w:pStyle w:val="Normal"/>
        <w:numPr>
          <w:ilvl w:val="0"/>
          <w:numId w:val="2"/>
        </w:numPr>
        <w:rPr/>
      </w:pPr>
      <w:r>
        <w:rPr/>
        <w:t>Contract EWI or other institute for 1 –2 studies on current energy liberalisation topics. (i.e. Security of Gas Supply and Competition)</w:t>
      </w:r>
    </w:p>
    <w:p>
      <w:pPr>
        <w:pStyle w:val="Normal"/>
        <w:numPr>
          <w:ilvl w:val="0"/>
          <w:numId w:val="2"/>
        </w:numPr>
        <w:rPr/>
      </w:pPr>
      <w:r>
        <w:rPr/>
        <w:t>Ensure broader distribution of research results already undertaken (European Gas Tariff Regimes (</w:t>
      </w:r>
      <w:r>
        <w:rPr>
          <w:i/>
          <w:iCs/>
        </w:rPr>
        <w:t>Brattle</w:t>
      </w:r>
      <w:r>
        <w:rPr/>
        <w:t>), Network Access Regime for Gas in Germany (</w:t>
      </w:r>
      <w:r>
        <w:rPr>
          <w:i/>
          <w:iCs/>
        </w:rPr>
        <w:t>Frontier</w:t>
      </w:r>
      <w:r>
        <w:rPr/>
        <w:t>), Interconnector Capacity and Allocation (</w:t>
      </w:r>
      <w:r>
        <w:rPr>
          <w:i/>
          <w:iCs/>
        </w:rPr>
        <w:t>NERA and BET</w:t>
      </w:r>
      <w:r>
        <w:rPr/>
        <w:t>)</w:t>
      </w:r>
    </w:p>
    <w:p>
      <w:pPr>
        <w:pStyle w:val="Normal"/>
        <w:rPr/>
      </w:pPr>
      <w:r>
        <w:rPr/>
      </w:r>
    </w:p>
    <w:p>
      <w:pPr>
        <w:pStyle w:val="Heading1"/>
        <w:ind w:hanging="0" w:start="0"/>
        <w:rPr/>
      </w:pPr>
      <w:r>
        <w:rPr/>
        <w:t>Possible Court Action</w:t>
      </w:r>
    </w:p>
    <w:p>
      <w:pPr>
        <w:pStyle w:val="Normal"/>
        <w:rPr/>
      </w:pPr>
      <w:r>
        <w:rPr/>
        <w:t>These must be carefully assessed and be based on commercial objectives with an added regulatory objective. I will need ideas and feed back from origination team as well as Kresse.</w:t>
      </w:r>
    </w:p>
    <w:p>
      <w:pPr>
        <w:pStyle w:val="Normal"/>
        <w:rPr>
          <w:b/>
          <w:bCs/>
        </w:rPr>
      </w:pPr>
      <w:r>
        <w:rPr>
          <w:b/>
          <w:bCs/>
        </w:rPr>
      </w:r>
    </w:p>
    <w:p>
      <w:pPr>
        <w:pStyle w:val="Normal"/>
        <w:numPr>
          <w:ilvl w:val="0"/>
          <w:numId w:val="2"/>
        </w:numPr>
        <w:rPr/>
      </w:pPr>
      <w:r>
        <w:rPr/>
        <w:t>Sue GVS/MVV – even if they chose not to sue us. Do not settle out of court.</w:t>
      </w:r>
    </w:p>
    <w:p>
      <w:pPr>
        <w:pStyle w:val="Normal"/>
        <w:numPr>
          <w:ilvl w:val="0"/>
          <w:numId w:val="2"/>
        </w:numPr>
        <w:rPr/>
      </w:pPr>
      <w:r>
        <w:rPr/>
        <w:t>Target one abusive pricing case: (WFG violation of Kartellamt Auflage? Ruhrgas use of dominant position to cross-subsidize SW?)</w:t>
      </w:r>
    </w:p>
    <w:p>
      <w:pPr>
        <w:pStyle w:val="Normal"/>
        <w:numPr>
          <w:ilvl w:val="0"/>
          <w:numId w:val="2"/>
        </w:numPr>
        <w:rPr/>
      </w:pPr>
      <w:r>
        <w:rPr/>
        <w:t>Target and sue for non-discriminatory storage accesss</w:t>
      </w:r>
    </w:p>
    <w:p>
      <w:pPr>
        <w:pStyle w:val="Normal"/>
        <w:numPr>
          <w:ilvl w:val="0"/>
          <w:numId w:val="2"/>
        </w:numPr>
        <w:rPr/>
      </w:pPr>
      <w:r>
        <w:rPr/>
        <w:t>Target and sue for interconnector capacity on non-disciminatory basis</w:t>
      </w:r>
    </w:p>
    <w:p>
      <w:pPr>
        <w:pStyle w:val="Normal"/>
        <w:rPr/>
      </w:pPr>
      <w:r>
        <w:rPr/>
      </w:r>
    </w:p>
    <w:p>
      <w:pPr>
        <w:pStyle w:val="Heading1"/>
        <w:ind w:hanging="0" w:start="0"/>
        <w:rPr/>
      </w:pPr>
      <w:r>
        <w:rPr/>
        <w:t>Commercial Activities</w:t>
      </w:r>
    </w:p>
    <w:p>
      <w:pPr>
        <w:pStyle w:val="Normal"/>
        <w:rPr>
          <w:b/>
          <w:bCs/>
        </w:rPr>
      </w:pPr>
      <w:r>
        <w:rPr>
          <w:b/>
          <w:bCs/>
        </w:rPr>
      </w:r>
    </w:p>
    <w:p>
      <w:pPr>
        <w:pStyle w:val="Normal"/>
        <w:rPr/>
      </w:pPr>
      <w:r>
        <w:rPr/>
        <w:t>Just a comment here, because this is not my area. The electricity industry and, to a greater extent, the gas industry have built up several lines of defence. These are</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Defences</w:t>
            </w:r>
          </w:p>
        </w:tc>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Electricity</w:t>
            </w:r>
          </w:p>
        </w:tc>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Gas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Cross Border Trade</w:t>
            </w:r>
          </w:p>
        </w:tc>
        <w:tc>
          <w:tcPr>
            <w:tcW w:w="2952"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pPr>
            <w:r>
              <w:rPr/>
              <w:t>Interconnector ownership and control</w:t>
            </w:r>
          </w:p>
          <w:p>
            <w:pPr>
              <w:pStyle w:val="Normal"/>
              <w:numPr>
                <w:ilvl w:val="0"/>
                <w:numId w:val="3"/>
              </w:numPr>
              <w:rPr/>
            </w:pPr>
            <w:r>
              <w:rPr/>
              <w:t>Altvertrage with long-term capacity reservations</w:t>
            </w:r>
          </w:p>
          <w:p>
            <w:pPr>
              <w:pStyle w:val="Normal"/>
              <w:numPr>
                <w:ilvl w:val="0"/>
                <w:numId w:val="3"/>
              </w:numPr>
              <w:rPr/>
            </w:pPr>
            <w:r>
              <w:rPr/>
              <w:t>Economic and environmental reciprocity</w:t>
            </w:r>
          </w:p>
        </w:tc>
        <w:tc>
          <w:tcPr>
            <w:tcW w:w="2952"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pPr>
            <w:r>
              <w:rPr/>
              <w:t>Long term Take or Pay Contracts</w:t>
            </w:r>
          </w:p>
          <w:p>
            <w:pPr>
              <w:pStyle w:val="Normal"/>
              <w:numPr>
                <w:ilvl w:val="0"/>
                <w:numId w:val="3"/>
              </w:numPr>
              <w:rPr/>
            </w:pPr>
            <w:r>
              <w:rPr/>
              <w:t>Upstream equity ownership</w:t>
            </w:r>
          </w:p>
          <w:p>
            <w:pPr>
              <w:pStyle w:val="Normal"/>
              <w:numPr>
                <w:ilvl w:val="0"/>
                <w:numId w:val="3"/>
              </w:numPr>
              <w:rPr/>
            </w:pPr>
            <w:r>
              <w:rPr/>
              <w:t>Pipeline ownership and control</w:t>
            </w:r>
          </w:p>
          <w:p>
            <w:pPr>
              <w:pStyle w:val="Normal"/>
              <w:numPr>
                <w:ilvl w:val="0"/>
                <w:numId w:val="3"/>
              </w:numPr>
              <w:rPr/>
            </w:pPr>
            <w:r>
              <w:rPr/>
              <w:t>Economic and environmental reciprocity</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Production and Supply</w:t>
            </w:r>
          </w:p>
        </w:tc>
        <w:tc>
          <w:tcPr>
            <w:tcW w:w="2952"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pPr>
            <w:r>
              <w:rPr/>
              <w:t>Significant concentration in generation and wholesale supply</w:t>
            </w:r>
          </w:p>
          <w:p>
            <w:pPr>
              <w:pStyle w:val="Normal"/>
              <w:numPr>
                <w:ilvl w:val="0"/>
                <w:numId w:val="3"/>
              </w:numPr>
              <w:rPr/>
            </w:pPr>
            <w:r>
              <w:rPr/>
              <w:t>Cross –subsidies</w:t>
            </w:r>
          </w:p>
          <w:p>
            <w:pPr>
              <w:pStyle w:val="Normal"/>
              <w:numPr>
                <w:ilvl w:val="0"/>
                <w:numId w:val="3"/>
              </w:numPr>
              <w:rPr/>
            </w:pPr>
            <w:r>
              <w:rPr/>
              <w:t>Price Dumping</w:t>
            </w:r>
          </w:p>
        </w:tc>
        <w:tc>
          <w:tcPr>
            <w:tcW w:w="2952"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pPr>
            <w:r>
              <w:rPr/>
              <w:t>Tight Supply Cartel</w:t>
            </w:r>
          </w:p>
          <w:p>
            <w:pPr>
              <w:pStyle w:val="Normal"/>
              <w:numPr>
                <w:ilvl w:val="0"/>
                <w:numId w:val="3"/>
              </w:numPr>
              <w:rPr/>
            </w:pPr>
            <w:r>
              <w:rPr/>
              <w:t>Security of Supply</w:t>
            </w:r>
          </w:p>
          <w:p>
            <w:pPr>
              <w:pStyle w:val="Normal"/>
              <w:numPr>
                <w:ilvl w:val="0"/>
                <w:numId w:val="3"/>
              </w:numPr>
              <w:rPr/>
            </w:pPr>
            <w:r>
              <w:rPr/>
              <w:t>Downstream, restrictive contracts</w:t>
            </w:r>
          </w:p>
          <w:p>
            <w:pPr>
              <w:pStyle w:val="Normal"/>
              <w:numPr>
                <w:ilvl w:val="0"/>
                <w:numId w:val="3"/>
              </w:numPr>
              <w:rPr/>
            </w:pPr>
            <w:r>
              <w:rPr/>
              <w:t>Cross-subsidies and abuse of dominant position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Transport</w:t>
            </w:r>
          </w:p>
        </w:tc>
        <w:tc>
          <w:tcPr>
            <w:tcW w:w="2952"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pPr>
            <w:r>
              <w:rPr/>
              <w:t>Discriminatory TPA</w:t>
            </w:r>
          </w:p>
          <w:p>
            <w:pPr>
              <w:pStyle w:val="Normal"/>
              <w:numPr>
                <w:ilvl w:val="0"/>
                <w:numId w:val="3"/>
              </w:numPr>
              <w:rPr/>
            </w:pPr>
            <w:r>
              <w:rPr/>
              <w:t>Lack of unbundling and transparency</w:t>
            </w:r>
          </w:p>
          <w:p>
            <w:pPr>
              <w:pStyle w:val="Normal"/>
              <w:numPr>
                <w:ilvl w:val="0"/>
                <w:numId w:val="3"/>
              </w:numPr>
              <w:rPr/>
            </w:pPr>
            <w:r>
              <w:rPr/>
              <w:t>Negotiated TPA</w:t>
            </w:r>
          </w:p>
          <w:p>
            <w:pPr>
              <w:pStyle w:val="Normal"/>
              <w:ind w:start="360" w:end="0"/>
              <w:rPr/>
            </w:pPr>
            <w:r>
              <w:rPr/>
            </w:r>
          </w:p>
          <w:p>
            <w:pPr>
              <w:pStyle w:val="Normal"/>
              <w:ind w:start="360" w:end="0"/>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pPr>
            <w:r>
              <w:rPr/>
              <w:t>Discriminatory TPA</w:t>
            </w:r>
          </w:p>
          <w:p>
            <w:pPr>
              <w:pStyle w:val="Normal"/>
              <w:numPr>
                <w:ilvl w:val="0"/>
                <w:numId w:val="3"/>
              </w:numPr>
              <w:rPr/>
            </w:pPr>
            <w:r>
              <w:rPr/>
              <w:t>Lack of unbundling and transparency</w:t>
            </w:r>
          </w:p>
          <w:p>
            <w:pPr>
              <w:pStyle w:val="Normal"/>
              <w:numPr>
                <w:ilvl w:val="0"/>
                <w:numId w:val="3"/>
              </w:numPr>
              <w:rPr/>
            </w:pPr>
            <w:r>
              <w:rPr/>
              <w:t>Negotiated TPA</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Customer Supply </w:t>
            </w:r>
          </w:p>
        </w:tc>
        <w:tc>
          <w:tcPr>
            <w:tcW w:w="2952"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pPr>
            <w:r>
              <w:rPr/>
              <w:t>Equity ownership in SW</w:t>
            </w:r>
          </w:p>
          <w:p>
            <w:pPr>
              <w:pStyle w:val="Normal"/>
              <w:numPr>
                <w:ilvl w:val="0"/>
                <w:numId w:val="3"/>
              </w:numPr>
              <w:rPr/>
            </w:pPr>
            <w:r>
              <w:rPr/>
              <w:t>Vertriebspartner.</w:t>
            </w:r>
          </w:p>
          <w:p>
            <w:pPr>
              <w:pStyle w:val="Normal"/>
              <w:numPr>
                <w:ilvl w:val="0"/>
                <w:numId w:val="3"/>
              </w:numPr>
              <w:rPr/>
            </w:pPr>
            <w:r>
              <w:rPr/>
              <w:t>Multiple contracts</w:t>
            </w:r>
          </w:p>
          <w:p>
            <w:pPr>
              <w:pStyle w:val="Normal"/>
              <w:numPr>
                <w:ilvl w:val="0"/>
                <w:numId w:val="3"/>
              </w:numPr>
              <w:rPr/>
            </w:pPr>
            <w:r>
              <w:rPr/>
              <w:t>Switching costs</w:t>
            </w:r>
          </w:p>
          <w:p>
            <w:pPr>
              <w:pStyle w:val="Normal"/>
              <w:numPr>
                <w:ilvl w:val="0"/>
                <w:numId w:val="3"/>
              </w:numPr>
              <w:rPr/>
            </w:pPr>
            <w:r>
              <w:rPr/>
              <w:t>Industrial holdings</w:t>
            </w:r>
          </w:p>
        </w:tc>
        <w:tc>
          <w:tcPr>
            <w:tcW w:w="2952"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pPr>
            <w:r>
              <w:rPr/>
              <w:t>Equity ownership in SW</w:t>
            </w:r>
          </w:p>
          <w:p>
            <w:pPr>
              <w:pStyle w:val="Normal"/>
              <w:numPr>
                <w:ilvl w:val="0"/>
                <w:numId w:val="3"/>
              </w:numPr>
              <w:rPr/>
            </w:pPr>
            <w:r>
              <w:rPr/>
              <w:t>Vertriebspartner.</w:t>
            </w:r>
          </w:p>
          <w:p>
            <w:pPr>
              <w:pStyle w:val="Normal"/>
              <w:numPr>
                <w:ilvl w:val="0"/>
                <w:numId w:val="3"/>
              </w:numPr>
              <w:rPr/>
            </w:pPr>
            <w:r>
              <w:rPr/>
              <w:t>Multiple contracts</w:t>
            </w:r>
          </w:p>
          <w:p>
            <w:pPr>
              <w:pStyle w:val="Normal"/>
              <w:numPr>
                <w:ilvl w:val="0"/>
                <w:numId w:val="3"/>
              </w:numPr>
              <w:rPr/>
            </w:pPr>
            <w:r>
              <w:rPr/>
              <w:t>Contract constraints</w:t>
            </w:r>
          </w:p>
          <w:p>
            <w:pPr>
              <w:pStyle w:val="Normal"/>
              <w:numPr>
                <w:ilvl w:val="0"/>
                <w:numId w:val="3"/>
              </w:numPr>
              <w:rPr/>
            </w:pPr>
            <w:r>
              <w:rPr/>
              <w:t>Retribution against customers</w:t>
            </w:r>
          </w:p>
          <w:p>
            <w:pPr>
              <w:pStyle w:val="Normal"/>
              <w:ind w:start="360" w:end="0"/>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Political and Pseudo-Legal</w:t>
            </w:r>
          </w:p>
          <w:p>
            <w:pPr>
              <w:pStyle w:val="Normal"/>
              <w:rPr/>
            </w:pPr>
            <w:r>
              <w:rPr/>
              <w:t xml:space="preserve">Arguements </w:t>
            </w:r>
          </w:p>
        </w:tc>
        <w:tc>
          <w:tcPr>
            <w:tcW w:w="2952"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pPr>
            <w:r>
              <w:rPr/>
              <w:t>Expropriation</w:t>
            </w:r>
          </w:p>
          <w:p>
            <w:pPr>
              <w:pStyle w:val="Normal"/>
              <w:numPr>
                <w:ilvl w:val="0"/>
                <w:numId w:val="3"/>
              </w:numPr>
              <w:rPr/>
            </w:pPr>
            <w:r>
              <w:rPr/>
              <w:t>Stranded costs</w:t>
            </w:r>
          </w:p>
          <w:p>
            <w:pPr>
              <w:pStyle w:val="Normal"/>
              <w:numPr>
                <w:ilvl w:val="0"/>
                <w:numId w:val="3"/>
              </w:numPr>
              <w:rPr/>
            </w:pPr>
            <w:r>
              <w:rPr/>
              <w:t>Network competition</w:t>
            </w:r>
          </w:p>
          <w:p>
            <w:pPr>
              <w:pStyle w:val="Normal"/>
              <w:numPr>
                <w:ilvl w:val="0"/>
                <w:numId w:val="3"/>
              </w:numPr>
              <w:rPr/>
            </w:pPr>
            <w:r>
              <w:rPr/>
              <w:t>Network security and reliability</w:t>
            </w:r>
          </w:p>
          <w:p>
            <w:pPr>
              <w:pStyle w:val="Normal"/>
              <w:numPr>
                <w:ilvl w:val="0"/>
                <w:numId w:val="3"/>
              </w:numPr>
              <w:rPr/>
            </w:pPr>
            <w:r>
              <w:rPr/>
              <w:t>Self-regulation more efficient</w:t>
            </w:r>
          </w:p>
        </w:tc>
        <w:tc>
          <w:tcPr>
            <w:tcW w:w="2952"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pPr>
            <w:r>
              <w:rPr/>
              <w:t>Expropriation</w:t>
            </w:r>
          </w:p>
          <w:p>
            <w:pPr>
              <w:pStyle w:val="Normal"/>
              <w:numPr>
                <w:ilvl w:val="0"/>
                <w:numId w:val="3"/>
              </w:numPr>
              <w:rPr/>
            </w:pPr>
            <w:r>
              <w:rPr/>
              <w:t>Stranded costs</w:t>
            </w:r>
          </w:p>
          <w:p>
            <w:pPr>
              <w:pStyle w:val="Normal"/>
              <w:numPr>
                <w:ilvl w:val="0"/>
                <w:numId w:val="3"/>
              </w:numPr>
              <w:rPr/>
            </w:pPr>
            <w:r>
              <w:rPr/>
              <w:t>Network competition</w:t>
            </w:r>
          </w:p>
          <w:p>
            <w:pPr>
              <w:pStyle w:val="Normal"/>
              <w:numPr>
                <w:ilvl w:val="0"/>
                <w:numId w:val="3"/>
              </w:numPr>
              <w:rPr/>
            </w:pPr>
            <w:r>
              <w:rPr/>
              <w:t>Security of supply</w:t>
            </w:r>
          </w:p>
          <w:p>
            <w:pPr>
              <w:pStyle w:val="Normal"/>
              <w:numPr>
                <w:ilvl w:val="0"/>
                <w:numId w:val="3"/>
              </w:numPr>
              <w:rPr/>
            </w:pPr>
            <w:r>
              <w:rPr/>
              <w:t>Network security</w:t>
            </w:r>
          </w:p>
          <w:p>
            <w:pPr>
              <w:pStyle w:val="Normal"/>
              <w:numPr>
                <w:ilvl w:val="0"/>
                <w:numId w:val="3"/>
              </w:numPr>
              <w:rPr/>
            </w:pPr>
            <w:r>
              <w:rPr/>
              <w:t>Self-regulation more efficient</w:t>
            </w:r>
          </w:p>
        </w:tc>
      </w:tr>
    </w:tbl>
    <w:p>
      <w:pPr>
        <w:pStyle w:val="Normal"/>
        <w:rPr/>
      </w:pPr>
      <w:r>
        <w:rPr/>
      </w:r>
    </w:p>
    <w:p>
      <w:pPr>
        <w:pStyle w:val="Normal"/>
        <w:rPr>
          <w:b/>
          <w:bCs/>
        </w:rPr>
      </w:pPr>
      <w:r>
        <w:rPr>
          <w:b/>
          <w:bCs/>
        </w:rPr>
        <w:t>Assessment:</w:t>
      </w:r>
    </w:p>
    <w:p>
      <w:pPr>
        <w:pStyle w:val="Normal"/>
        <w:rPr/>
      </w:pPr>
      <w:r>
        <w:rPr/>
        <w:t xml:space="preserve">Without significant change in political will, it will be almost impossible to tear these defences down in a reasonable time frame and cost. Therefore, we need to focus our efforts where needed. </w:t>
      </w:r>
    </w:p>
    <w:p>
      <w:pPr>
        <w:pStyle w:val="Normal"/>
        <w:rPr/>
      </w:pPr>
      <w:r>
        <w:rPr/>
      </w:r>
    </w:p>
    <w:p>
      <w:pPr>
        <w:pStyle w:val="Normal"/>
        <w:numPr>
          <w:ilvl w:val="0"/>
          <w:numId w:val="2"/>
        </w:numPr>
        <w:rPr/>
      </w:pPr>
      <w:r>
        <w:rPr/>
        <w:t>Regulatory efforts must target the key weaknesses: network and borders. By opening these, we can greatly improve our opportunities to develop a wholesale orgination business and build greater trading liquidity. Both open border and open network have significant support in Brussels and we must continue to build the pressure here too.</w:t>
      </w:r>
    </w:p>
    <w:p>
      <w:pPr>
        <w:pStyle w:val="Normal"/>
        <w:numPr>
          <w:ilvl w:val="0"/>
          <w:numId w:val="2"/>
        </w:numPr>
        <w:rPr/>
      </w:pPr>
      <w:r>
        <w:rPr/>
        <w:t>The cartel – particularly in gas – is vulnerable to a “rogue player” who seeks to break out and therefore force price/quantitiy competition. To get the cartel to tear itself up, would be most useful. We should think creatively about how to do this. Does Thyseengas or the GFU break-up provide us with this opportunity.</w:t>
      </w:r>
    </w:p>
    <w:p>
      <w:pPr>
        <w:pStyle w:val="Normal"/>
        <w:numPr>
          <w:ilvl w:val="0"/>
          <w:numId w:val="2"/>
        </w:numPr>
        <w:rPr/>
      </w:pPr>
      <w:r>
        <w:rPr/>
        <w:t>The cartel is also vulnerable to the fact that most of what they do is illegal under EU and German law. Threatening court action (with accompany PR effort) to expose key elements of the cartel – i.e. supply contracts – may force the gas industry and electricity to create more commercial space for Enron in the market.</w:t>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3">
    <w:lvl w:ilvl="0">
      <w:start w:val="8"/>
      <w:numFmt w:val="bullet"/>
      <w:lvlText w:val="-"/>
      <w:lvlJc w:val="start"/>
      <w:pPr>
        <w:tabs>
          <w:tab w:val="num" w:pos="720"/>
        </w:tabs>
        <w:ind w:start="720" w:hanging="360"/>
      </w:pPr>
      <w:rPr>
        <w:rFonts w:ascii="Times New Roman" w:hAnsi="Times New Roman" w:cs="Times New Roman"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i/>
      <w:iCs/>
    </w:rPr>
  </w:style>
  <w:style w:type="paragraph" w:styleId="Heading3">
    <w:name w:val="heading 3"/>
    <w:basedOn w:val="Normal"/>
    <w:next w:val="Normal"/>
    <w:qFormat/>
    <w:pPr>
      <w:keepNext w:val="true"/>
      <w:numPr>
        <w:ilvl w:val="2"/>
        <w:numId w:val="1"/>
      </w:numPr>
      <w:outlineLvl w:val="2"/>
    </w:pPr>
    <w:rPr>
      <w:b/>
      <w:bCs/>
      <w:sz w:val="28"/>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2001-04-06T06:04:00Z</dcterms:created>
  <dc:creator>Hennemezer</dc:creator>
  <dc:description/>
  <dc:language>en-CA</dc:language>
  <cp:lastModifiedBy>Hennemezer</cp:lastModifiedBy>
  <dcterms:modified xsi:type="dcterms:W3CDTF">2001-04-06T07:31:00Z</dcterms:modified>
  <cp:revision>2</cp:revision>
  <dc:subject/>
  <dc:title>Outline for Regulatory and PR Strategy in Germany</dc:title>
</cp:coreProperties>
</file>