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Team an outline of topics and concepts for our handout on the 17th</w:t>
      </w:r>
    </w:p>
    <w:p>
      <w:pPr>
        <w:pStyle w:val="Normal"/>
        <w:rPr/>
      </w:pPr>
      <w:r>
        <w:rPr/>
      </w:r>
    </w:p>
    <w:p>
      <w:pPr>
        <w:pStyle w:val="Normal"/>
        <w:rPr/>
      </w:pPr>
      <w:r>
        <w:rPr/>
        <w:t>SECTION 1 - WHO IS TRANSWESTERN</w:t>
      </w:r>
    </w:p>
    <w:p>
      <w:pPr>
        <w:pStyle w:val="Normal"/>
        <w:rPr/>
      </w:pPr>
      <w:r>
        <w:rPr/>
      </w:r>
    </w:p>
    <w:p>
      <w:pPr>
        <w:pStyle w:val="Normal"/>
        <w:rPr/>
      </w:pPr>
      <w:r>
        <w:rPr/>
        <w:t>Include:</w:t>
      </w:r>
    </w:p>
    <w:p>
      <w:pPr>
        <w:pStyle w:val="Normal"/>
        <w:rPr/>
      </w:pPr>
      <w:r>
        <w:rPr/>
      </w:r>
    </w:p>
    <w:p>
      <w:pPr>
        <w:pStyle w:val="Normal"/>
        <w:numPr>
          <w:ilvl w:val="0"/>
          <w:numId w:val="8"/>
        </w:numPr>
        <w:rPr/>
      </w:pPr>
      <w:r>
        <w:rPr/>
        <w:t>Full system map</w:t>
      </w:r>
    </w:p>
    <w:p>
      <w:pPr>
        <w:pStyle w:val="Normal"/>
        <w:rPr/>
      </w:pPr>
      <w:r>
        <w:rPr/>
      </w:r>
    </w:p>
    <w:p>
      <w:pPr>
        <w:pStyle w:val="Normal"/>
        <w:numPr>
          <w:ilvl w:val="0"/>
          <w:numId w:val="8"/>
        </w:numPr>
        <w:rPr/>
      </w:pPr>
      <w:r>
        <w:rPr/>
        <w:t>Listed receipt points and capacities to California</w:t>
      </w:r>
    </w:p>
    <w:p>
      <w:pPr>
        <w:pStyle w:val="Normal"/>
        <w:rPr/>
      </w:pPr>
      <w:r>
        <w:rPr/>
      </w:r>
    </w:p>
    <w:p>
      <w:pPr>
        <w:pStyle w:val="Normal"/>
        <w:numPr>
          <w:ilvl w:val="0"/>
          <w:numId w:val="8"/>
        </w:numPr>
        <w:rPr/>
      </w:pPr>
      <w:r>
        <w:rPr/>
        <w:t>History of send outs to SoCal and PG&amp;E for 1998, 1999, and 2000; probably just annual average, peak day, peak months, and percentage of capacity figures as well.</w:t>
      </w:r>
    </w:p>
    <w:p>
      <w:pPr>
        <w:pStyle w:val="Normal"/>
        <w:rPr/>
      </w:pPr>
      <w:r>
        <w:rPr/>
      </w:r>
    </w:p>
    <w:p>
      <w:pPr>
        <w:pStyle w:val="Normal"/>
        <w:numPr>
          <w:ilvl w:val="0"/>
          <w:numId w:val="8"/>
        </w:numPr>
        <w:rPr/>
      </w:pPr>
      <w:r>
        <w:rPr/>
        <w:t>Probably a good section to note our single best distinction to other Southwest pipelines, our point-to-point firm system capacity protocol.  Perhaps a notation of zonal rates.</w:t>
      </w:r>
    </w:p>
    <w:p>
      <w:pPr>
        <w:pStyle w:val="Normal"/>
        <w:rPr/>
      </w:pPr>
      <w:r>
        <w:rPr/>
      </w:r>
    </w:p>
    <w:p>
      <w:pPr>
        <w:pStyle w:val="Normal"/>
        <w:numPr>
          <w:ilvl w:val="0"/>
          <w:numId w:val="8"/>
        </w:numPr>
        <w:rPr/>
      </w:pPr>
      <w:r>
        <w:rPr/>
        <w:t>Recap of our supply diversity, perhaps a percentage breakdown of San Juan, Rockies, and Permian Supply.</w:t>
      </w:r>
    </w:p>
    <w:p>
      <w:pPr>
        <w:pStyle w:val="Normal"/>
        <w:rPr/>
      </w:pPr>
      <w:r>
        <w:rPr/>
      </w:r>
    </w:p>
    <w:p>
      <w:pPr>
        <w:pStyle w:val="Normal"/>
        <w:rPr/>
      </w:pPr>
      <w:r>
        <w:rPr/>
        <w:t>SECTION 2 - TRANSWESTERM COMMITMENT TO MEETING CALIFORNIA'S NATURAL GAS DEMANDS</w:t>
      </w:r>
    </w:p>
    <w:p>
      <w:pPr>
        <w:pStyle w:val="Normal"/>
        <w:rPr/>
      </w:pPr>
      <w:r>
        <w:rPr/>
      </w:r>
    </w:p>
    <w:p>
      <w:pPr>
        <w:pStyle w:val="Normal"/>
        <w:numPr>
          <w:ilvl w:val="0"/>
          <w:numId w:val="7"/>
        </w:numPr>
        <w:rPr/>
      </w:pPr>
      <w:r>
        <w:rPr/>
        <w:t>History of service to California</w:t>
      </w:r>
    </w:p>
    <w:p>
      <w:pPr>
        <w:pStyle w:val="Normal"/>
        <w:rPr/>
      </w:pPr>
      <w:r>
        <w:rPr/>
      </w:r>
    </w:p>
    <w:p>
      <w:pPr>
        <w:pStyle w:val="Normal"/>
        <w:numPr>
          <w:ilvl w:val="0"/>
          <w:numId w:val="7"/>
        </w:numPr>
        <w:rPr/>
      </w:pPr>
      <w:r>
        <w:rPr/>
        <w:t>Recap of previous two years' expansion activity to California</w:t>
      </w:r>
    </w:p>
    <w:p>
      <w:pPr>
        <w:pStyle w:val="Normal"/>
        <w:rPr/>
      </w:pPr>
      <w:r>
        <w:rPr/>
      </w:r>
    </w:p>
    <w:p>
      <w:pPr>
        <w:pStyle w:val="Normal"/>
        <w:numPr>
          <w:ilvl w:val="0"/>
          <w:numId w:val="4"/>
        </w:numPr>
        <w:rPr/>
      </w:pPr>
      <w:r>
        <w:rPr/>
        <w:t>Gallup Expansion, break out split between PG&amp;E and SoCal if we can work it in.  At the request of our customers, major California generators we expanded capacity with California and particularly PG&amp;E.</w:t>
      </w:r>
    </w:p>
    <w:p>
      <w:pPr>
        <w:pStyle w:val="Normal"/>
        <w:rPr/>
      </w:pPr>
      <w:r>
        <w:rPr/>
      </w:r>
    </w:p>
    <w:p>
      <w:pPr>
        <w:pStyle w:val="Normal"/>
        <w:numPr>
          <w:ilvl w:val="0"/>
          <w:numId w:val="6"/>
        </w:numPr>
        <w:rPr/>
      </w:pPr>
      <w:r>
        <w:rPr/>
        <w:t>Increase in interconnection with PG&amp;E to 400 MMcfd.</w:t>
      </w:r>
    </w:p>
    <w:p>
      <w:pPr>
        <w:pStyle w:val="Normal"/>
        <w:rPr/>
      </w:pPr>
      <w:r>
        <w:rPr/>
      </w:r>
    </w:p>
    <w:p>
      <w:pPr>
        <w:pStyle w:val="BodyTextIndent"/>
        <w:ind w:start="720" w:end="0"/>
        <w:rPr/>
      </w:pPr>
      <w:r>
        <w:rPr/>
        <w:t>To the extent we can discuss these issues, I would note the magnitude of $ we spent on the PG&amp;E side of the system to increase the "firmness and certainty" of our interconnection and their takeaway capacity (useful when we defend our concept contained in the GIR of all new FERC pipeline interconnects should enter the existing LDC system on a secondary basis, unless "they" pay for incremental facilities that make the LDC takeaway firm receipt point).</w:t>
      </w:r>
    </w:p>
    <w:p>
      <w:pPr>
        <w:pStyle w:val="Normal"/>
        <w:rPr/>
      </w:pPr>
      <w:r>
        <w:rPr/>
      </w:r>
    </w:p>
    <w:p>
      <w:pPr>
        <w:pStyle w:val="Normal"/>
        <w:numPr>
          <w:ilvl w:val="0"/>
          <w:numId w:val="1"/>
        </w:numPr>
        <w:rPr/>
      </w:pPr>
      <w:r>
        <w:rPr/>
        <w:t>Recent success with our open season.  Note which California market (north or south) took capacity.</w:t>
      </w:r>
    </w:p>
    <w:p>
      <w:pPr>
        <w:pStyle w:val="Normal"/>
        <w:rPr/>
      </w:pPr>
      <w:r>
        <w:rPr/>
      </w:r>
    </w:p>
    <w:p>
      <w:pPr>
        <w:pStyle w:val="Normal"/>
        <w:numPr>
          <w:ilvl w:val="0"/>
          <w:numId w:val="2"/>
        </w:numPr>
        <w:rPr/>
      </w:pPr>
      <w:r>
        <w:rPr/>
        <w:t>If we can note the general outline of features of possible future expansions e.g. 200 MMcfd at 50 to 70 cents per MMcfd, etc. and note that it could reach either SoCal or PG&amp;E that would be helpful</w:t>
      </w:r>
    </w:p>
    <w:p>
      <w:pPr>
        <w:pStyle w:val="Normal"/>
        <w:rPr/>
      </w:pPr>
      <w:r>
        <w:rPr/>
      </w:r>
    </w:p>
    <w:p>
      <w:pPr>
        <w:pStyle w:val="Normal"/>
        <w:numPr>
          <w:ilvl w:val="0"/>
          <w:numId w:val="7"/>
        </w:numPr>
        <w:rPr/>
      </w:pPr>
      <w:r>
        <w:rPr/>
        <w:t>A statement or characterization of our efforts to increase connected supply to our system at all basins or major interconnects; if we can say something like we have or will increase connected supply to our pipeline by 20 percent within the next 2 years that would be significant of the staff's sense of security with Transwestern.</w:t>
      </w:r>
    </w:p>
    <w:p>
      <w:pPr>
        <w:pStyle w:val="Normal"/>
        <w:rPr/>
      </w:pPr>
      <w:r>
        <w:rPr/>
        <w:t>SECTION 3 – TRANSWESTERN'S COMMITMENT TO WORK WITH CALIFORNIA'S REGULATORY PROCESS</w:t>
      </w:r>
    </w:p>
    <w:p>
      <w:pPr>
        <w:pStyle w:val="Normal"/>
        <w:rPr/>
      </w:pPr>
      <w:r>
        <w:rPr/>
      </w:r>
    </w:p>
    <w:p>
      <w:pPr>
        <w:pStyle w:val="Normal"/>
        <w:rPr/>
      </w:pPr>
      <w:r>
        <w:rPr/>
        <w:t>Key Policies:</w:t>
      </w:r>
    </w:p>
    <w:p>
      <w:pPr>
        <w:pStyle w:val="Normal"/>
        <w:rPr/>
      </w:pPr>
      <w:r>
        <w:rPr/>
      </w:r>
    </w:p>
    <w:p>
      <w:pPr>
        <w:pStyle w:val="Normal"/>
        <w:numPr>
          <w:ilvl w:val="0"/>
          <w:numId w:val="9"/>
        </w:numPr>
        <w:rPr/>
      </w:pPr>
      <w:r>
        <w:rPr/>
        <w:t>Assuring a rational, predictable, open-access system into California's LDCs</w:t>
      </w:r>
    </w:p>
    <w:p>
      <w:pPr>
        <w:pStyle w:val="Normal"/>
        <w:rPr/>
      </w:pPr>
      <w:r>
        <w:rPr/>
      </w:r>
    </w:p>
    <w:p>
      <w:pPr>
        <w:pStyle w:val="Normal"/>
        <w:numPr>
          <w:ilvl w:val="0"/>
          <w:numId w:val="9"/>
        </w:numPr>
        <w:rPr/>
      </w:pPr>
      <w:r>
        <w:rPr/>
        <w:t>Create a California receipt point/takeaway environment that promotes pipeline capacity investments for parties upstream and downstream of the new and expanded receipt points.</w:t>
      </w:r>
    </w:p>
    <w:p>
      <w:pPr>
        <w:pStyle w:val="Normal"/>
        <w:rPr/>
      </w:pPr>
      <w:r>
        <w:rPr/>
      </w:r>
    </w:p>
    <w:p>
      <w:pPr>
        <w:pStyle w:val="Normal"/>
        <w:numPr>
          <w:ilvl w:val="0"/>
          <w:numId w:val="9"/>
        </w:numPr>
        <w:rPr/>
      </w:pPr>
      <w:r>
        <w:rPr/>
        <w:t>Create delivery and access certainty at LDC receipt points that promote long-term arrangements amongst California users, pipelines, and suppliers.</w:t>
      </w:r>
    </w:p>
    <w:p>
      <w:pPr>
        <w:pStyle w:val="Normal"/>
        <w:rPr/>
      </w:pPr>
      <w:r>
        <w:rPr/>
      </w:r>
    </w:p>
    <w:p>
      <w:pPr>
        <w:pStyle w:val="Normal"/>
        <w:numPr>
          <w:ilvl w:val="0"/>
          <w:numId w:val="9"/>
        </w:numPr>
        <w:rPr/>
      </w:pPr>
      <w:r>
        <w:rPr/>
        <w:t>Assure the benefits and opportunities of competition are available to all parties in California.</w:t>
      </w:r>
    </w:p>
    <w:p>
      <w:pPr>
        <w:pStyle w:val="Normal"/>
        <w:rPr/>
      </w:pPr>
      <w:r>
        <w:rPr/>
      </w:r>
    </w:p>
    <w:p>
      <w:pPr>
        <w:pStyle w:val="Normal"/>
        <w:numPr>
          <w:ilvl w:val="0"/>
          <w:numId w:val="9"/>
        </w:numPr>
        <w:rPr/>
      </w:pPr>
      <w:r>
        <w:rPr/>
        <w:t>On these points, SoCalGas' Comprehensive Settlement embodied these principles through the adoption of primary and secondary receipt point protocol.</w:t>
      </w:r>
    </w:p>
    <w:p>
      <w:pPr>
        <w:pStyle w:val="Normal"/>
        <w:rPr/>
      </w:pPr>
      <w:r>
        <w:rPr/>
      </w:r>
    </w:p>
    <w:p>
      <w:pPr>
        <w:pStyle w:val="Normal"/>
        <w:rPr/>
      </w:pPr>
      <w:r>
        <w:rPr/>
        <w:t>SECTION 4 - ENABLING CALIFORNIA TO COMPETE EFFECTIVELY</w:t>
      </w:r>
    </w:p>
    <w:p>
      <w:pPr>
        <w:pStyle w:val="Normal"/>
        <w:rPr/>
      </w:pPr>
      <w:r>
        <w:rPr/>
      </w:r>
    </w:p>
    <w:p>
      <w:pPr>
        <w:pStyle w:val="Normal"/>
        <w:numPr>
          <w:ilvl w:val="0"/>
          <w:numId w:val="5"/>
        </w:numPr>
        <w:rPr/>
      </w:pPr>
      <w:r>
        <w:rPr/>
        <w:t>Competition for interstate pipeline capacity to California and markets that compete with California interests is on a long term, multi-year basis.  Regulatory policies in the state need to empower the California utilities and endusers to compete directly for pipeline capacity on the same long-term basis.</w:t>
      </w:r>
    </w:p>
    <w:p>
      <w:pPr>
        <w:pStyle w:val="Normal"/>
        <w:rPr/>
      </w:pPr>
      <w:r>
        <w:rPr/>
      </w:r>
    </w:p>
    <w:p>
      <w:pPr>
        <w:pStyle w:val="Normal"/>
        <w:numPr>
          <w:ilvl w:val="0"/>
          <w:numId w:val="5"/>
        </w:numPr>
        <w:rPr/>
      </w:pPr>
      <w:r>
        <w:rPr/>
        <w:t>The creation of a stable, firm, and predictable superhighway from natural gas production basins to electric generation facilities will substantially improve the development of needed California electric generation and lower the cost of electricity.</w:t>
      </w:r>
    </w:p>
    <w:p>
      <w:pPr>
        <w:pStyle w:val="Normal"/>
        <w:rPr/>
      </w:pPr>
      <w:r>
        <w:rPr/>
      </w:r>
    </w:p>
    <w:p>
      <w:pPr>
        <w:pStyle w:val="Normal"/>
        <w:numPr>
          <w:ilvl w:val="0"/>
          <w:numId w:val="5"/>
        </w:numPr>
        <w:rPr/>
      </w:pPr>
      <w:r>
        <w:rPr/>
        <w:t>Any long-term interstate or intrastate capacity commitment should be evaluated for merit over the entire period of the agreement.</w:t>
      </w:r>
    </w:p>
    <w:p>
      <w:pPr>
        <w:pStyle w:val="Normal"/>
        <w:rPr/>
      </w:pPr>
      <w:r>
        <w:rPr/>
      </w:r>
    </w:p>
    <w:p>
      <w:pPr>
        <w:pStyle w:val="Normal"/>
        <w:rPr/>
      </w:pPr>
      <w:r>
        <w:rPr/>
        <w:t>SECTION 5 - POSSIBLE AREAS FOR FERC PIPELINES TO WORK WITH CALIFORNIA'S LDCS</w:t>
      </w:r>
    </w:p>
    <w:p>
      <w:pPr>
        <w:pStyle w:val="Normal"/>
        <w:rPr/>
      </w:pPr>
      <w:r>
        <w:rPr/>
      </w:r>
    </w:p>
    <w:p>
      <w:pPr>
        <w:pStyle w:val="Normal"/>
        <w:numPr>
          <w:ilvl w:val="0"/>
          <w:numId w:val="3"/>
        </w:numPr>
        <w:rPr/>
      </w:pPr>
      <w:r>
        <w:rPr/>
        <w:t>Long term resource planning; joint study groups that track market demand and supply trends.</w:t>
      </w:r>
    </w:p>
    <w:p>
      <w:pPr>
        <w:pStyle w:val="Normal"/>
        <w:rPr/>
      </w:pPr>
      <w:r>
        <w:rPr/>
      </w:r>
    </w:p>
    <w:p>
      <w:pPr>
        <w:pStyle w:val="Normal"/>
        <w:numPr>
          <w:ilvl w:val="0"/>
          <w:numId w:val="3"/>
        </w:numPr>
        <w:rPr/>
      </w:pPr>
      <w:r>
        <w:rPr/>
        <w:t>Shared facility expansions.</w:t>
      </w:r>
    </w:p>
    <w:p>
      <w:pPr>
        <w:pStyle w:val="Normal"/>
        <w:rPr/>
      </w:pPr>
      <w:r>
        <w:rPr/>
      </w:r>
    </w:p>
    <w:p>
      <w:pPr>
        <w:pStyle w:val="Normal"/>
        <w:numPr>
          <w:ilvl w:val="0"/>
          <w:numId w:val="3"/>
        </w:numPr>
        <w:rPr/>
      </w:pPr>
      <w:r>
        <w:rPr/>
        <w:t>?? Other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eastAsia="en-US" w:bidi="hi-IN"/>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jc w:val="start"/>
    </w:pPr>
    <w:rPr>
      <w:sz w:val="24"/>
      <w:lang w:eastAsia="en-US"/>
    </w:rPr>
  </w:style>
  <w:style w:type="paragraph" w:styleId="BodyTextIndent">
    <w:name w:val="Body Text Indent"/>
    <w:basedOn w:val="Normal"/>
    <w:pPr>
      <w:ind w:hanging="0" w:start="1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2001-04-09T15:36:00Z</dcterms:created>
  <dc:creator>Valued Gateway 2000 Customer</dc:creator>
  <dc:description/>
  <dc:language>en-CA</dc:language>
  <cp:lastModifiedBy>Valued Gateway 2000 Customer</cp:lastModifiedBy>
  <cp:lastPrinted>2001-04-09T11:41:00Z</cp:lastPrinted>
  <dcterms:modified xsi:type="dcterms:W3CDTF">2001-04-09T16:13:00Z</dcterms:modified>
  <cp:revision>1</cp:revision>
  <dc:subject/>
  <dc:title>Team an outline of topics and concepts for our handout on the 17th</dc:title>
</cp:coreProperties>
</file>