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t>OSMAN SEZGEN</w:t>
      </w:r>
    </w:p>
    <w:p>
      <w:pPr>
        <w:pStyle w:val="Normal"/>
        <w:rPr/>
      </w:pPr>
      <w:r>
        <w:rPr/>
        <w:t>____________________________________________________________________________________________</w:t>
      </w:r>
    </w:p>
    <w:p>
      <w:pPr>
        <w:pStyle w:val="Normal"/>
        <w:spacing w:lineRule="atLeast" w:line="240"/>
        <w:rPr>
          <w:color w:val="000000"/>
          <w:sz w:val="22"/>
        </w:rPr>
      </w:pPr>
      <w:r>
        <w:rPr>
          <w:color w:val="000000"/>
          <w:sz w:val="22"/>
        </w:rPr>
        <w:t>120 Scenic Ave.</w:t>
        <w:tab/>
        <w:tab/>
        <w:tab/>
        <w:tab/>
        <w:tab/>
        <w:tab/>
        <w:tab/>
        <w:tab/>
        <w:t xml:space="preserve">    Home: 510-653 2789</w:t>
      </w:r>
    </w:p>
    <w:p>
      <w:pPr>
        <w:pStyle w:val="Normal"/>
        <w:spacing w:lineRule="atLeast" w:line="240"/>
        <w:rPr>
          <w:color w:val="000000"/>
          <w:sz w:val="22"/>
        </w:rPr>
      </w:pPr>
      <w:r>
        <w:rPr>
          <w:color w:val="000000"/>
          <w:sz w:val="22"/>
        </w:rPr>
        <w:t>Piedmont, CA 94611</w:t>
        <w:tab/>
        <w:tab/>
        <w:tab/>
        <w:tab/>
        <w:tab/>
        <w:tab/>
        <w:tab/>
        <w:t>osezgen@alum.calberkeley.org</w:t>
      </w:r>
    </w:p>
    <w:p>
      <w:pPr>
        <w:pStyle w:val="Heading2"/>
        <w:ind w:hanging="0" w:start="0"/>
        <w:rPr>
          <w:rFonts w:ascii="Times New Roman" w:hAnsi="Times New Roman" w:cs="Times New Roman"/>
          <w:color w:val="000000"/>
          <w:sz w:val="22"/>
        </w:rPr>
      </w:pPr>
      <w:r>
        <w:rPr>
          <w:rFonts w:cs="Times New Roman" w:ascii="Times New Roman" w:hAnsi="Times New Roman"/>
          <w:color w:val="000000"/>
          <w:sz w:val="22"/>
        </w:rPr>
      </w:r>
    </w:p>
    <w:p>
      <w:pPr>
        <w:pStyle w:val="Heading2"/>
        <w:ind w:hanging="0" w:start="0"/>
        <w:rPr>
          <w:rFonts w:ascii="Times New Roman" w:hAnsi="Times New Roman" w:cs="Times New Roman"/>
          <w:sz w:val="24"/>
        </w:rPr>
      </w:pPr>
      <w:r>
        <w:rPr>
          <w:rFonts w:cs="Times New Roman" w:ascii="Times New Roman" w:hAnsi="Times New Roman"/>
          <w:sz w:val="24"/>
        </w:rPr>
        <w:t>SUMMARY OF QUALIFICATIONS</w:t>
      </w:r>
    </w:p>
    <w:p>
      <w:pPr>
        <w:pStyle w:val="Normal"/>
        <w:rPr>
          <w:rFonts w:ascii="Times New Roman" w:hAnsi="Times New Roman" w:cs="Times New Roman"/>
          <w:sz w:val="24"/>
        </w:rPr>
      </w:pPr>
      <w:r>
        <w:rPr>
          <w:rFonts w:cs="Times New Roman"/>
          <w:sz w:val="24"/>
        </w:rPr>
      </w:r>
    </w:p>
    <w:p>
      <w:pPr>
        <w:pStyle w:val="BodyText2"/>
        <w:rPr/>
      </w:pPr>
      <w:r>
        <w:rPr/>
        <w:t xml:space="preserve">Wide experience in </w:t>
      </w:r>
      <w:r>
        <w:rPr>
          <w:b/>
          <w:bCs/>
        </w:rPr>
        <w:t>energy analysis</w:t>
      </w:r>
      <w:r>
        <w:rPr/>
        <w:t xml:space="preserve">, </w:t>
      </w:r>
      <w:r>
        <w:rPr>
          <w:b/>
          <w:bCs/>
        </w:rPr>
        <w:t>energy risk management</w:t>
      </w:r>
      <w:r>
        <w:rPr/>
        <w:t xml:space="preserve">, </w:t>
      </w:r>
      <w:r>
        <w:rPr>
          <w:b/>
          <w:bCs/>
        </w:rPr>
        <w:t>energy-system modeling</w:t>
      </w:r>
      <w:r>
        <w:rPr/>
        <w:t xml:space="preserve">, </w:t>
      </w:r>
      <w:r>
        <w:rPr>
          <w:b/>
          <w:bCs/>
        </w:rPr>
        <w:t>optimization</w:t>
      </w:r>
      <w:r>
        <w:rPr/>
        <w:t xml:space="preserve">, and </w:t>
      </w:r>
      <w:r>
        <w:rPr>
          <w:b/>
          <w:bCs/>
        </w:rPr>
        <w:t>software development</w:t>
      </w:r>
      <w:r>
        <w:rPr/>
        <w:t>.</w:t>
      </w:r>
    </w:p>
    <w:p>
      <w:pPr>
        <w:pStyle w:val="Heading2"/>
        <w:ind w:hanging="0" w:start="0"/>
        <w:rPr>
          <w:rFonts w:ascii="Times New Roman" w:hAnsi="Times New Roman" w:cs="Times New Roman"/>
          <w:sz w:val="24"/>
        </w:rPr>
      </w:pPr>
      <w:r>
        <w:rPr>
          <w:rFonts w:cs="Times New Roman" w:ascii="Times New Roman" w:hAnsi="Times New Roman"/>
          <w:sz w:val="24"/>
        </w:rPr>
      </w:r>
    </w:p>
    <w:p>
      <w:pPr>
        <w:pStyle w:val="Heading2"/>
        <w:ind w:hanging="0" w:start="0"/>
        <w:rPr>
          <w:rFonts w:ascii="Times New Roman" w:hAnsi="Times New Roman" w:cs="Times New Roman"/>
          <w:sz w:val="24"/>
        </w:rPr>
      </w:pPr>
      <w:r>
        <w:rPr>
          <w:rFonts w:cs="Times New Roman" w:ascii="Times New Roman" w:hAnsi="Times New Roman"/>
          <w:sz w:val="24"/>
        </w:rPr>
        <w:t>PROFESSIONAL EXPERIENCE</w:t>
      </w:r>
    </w:p>
    <w:p>
      <w:pPr>
        <w:pStyle w:val="Normal"/>
        <w:spacing w:lineRule="atLeast" w:line="240"/>
        <w:rPr>
          <w:rFonts w:ascii="Times New Roman" w:hAnsi="Times New Roman" w:cs="Times New Roman"/>
          <w:bCs/>
          <w:color w:val="000000"/>
          <w:sz w:val="18"/>
        </w:rPr>
      </w:pPr>
      <w:r>
        <w:rPr>
          <w:rFonts w:cs="Times New Roman"/>
          <w:bCs/>
          <w:color w:val="000000"/>
          <w:sz w:val="18"/>
        </w:rPr>
      </w:r>
    </w:p>
    <w:p>
      <w:pPr>
        <w:pStyle w:val="Normal"/>
        <w:spacing w:lineRule="atLeast" w:line="240"/>
        <w:rPr/>
      </w:pPr>
      <w:r>
        <w:rPr>
          <w:b/>
          <w:bCs/>
          <w:color w:val="000000"/>
          <w:sz w:val="22"/>
        </w:rPr>
        <w:t>Enron Corporation</w:t>
      </w:r>
      <w:r>
        <w:rPr>
          <w:color w:val="000000"/>
          <w:sz w:val="22"/>
        </w:rPr>
        <w:t>,</w:t>
      </w:r>
      <w:r>
        <w:rPr>
          <w:b/>
          <w:bCs/>
          <w:color w:val="000000"/>
          <w:sz w:val="22"/>
        </w:rPr>
        <w:t xml:space="preserve"> </w:t>
      </w:r>
      <w:r>
        <w:rPr>
          <w:color w:val="000000"/>
          <w:sz w:val="22"/>
        </w:rPr>
        <w:t>Research Group, Houston, Texas</w:t>
      </w:r>
    </w:p>
    <w:p>
      <w:pPr>
        <w:pStyle w:val="Normal"/>
        <w:spacing w:lineRule="atLeast" w:line="240"/>
        <w:rPr>
          <w:b/>
          <w:bCs/>
          <w:color w:val="000000"/>
          <w:sz w:val="22"/>
        </w:rPr>
      </w:pPr>
      <w:r>
        <w:rPr>
          <w:b/>
          <w:bCs/>
          <w:color w:val="000000"/>
          <w:sz w:val="22"/>
        </w:rPr>
      </w:r>
    </w:p>
    <w:p>
      <w:pPr>
        <w:pStyle w:val="Normal"/>
        <w:spacing w:lineRule="atLeast" w:line="240"/>
        <w:ind w:firstLine="360" w:end="0"/>
        <w:jc w:val="both"/>
        <w:rPr/>
      </w:pPr>
      <w:r>
        <w:rPr>
          <w:b/>
          <w:bCs/>
          <w:color w:val="000000"/>
          <w:sz w:val="22"/>
        </w:rPr>
        <w:t>Director of Research</w:t>
      </w:r>
      <w:r>
        <w:rPr>
          <w:color w:val="000000"/>
          <w:sz w:val="22"/>
        </w:rPr>
        <w:t>, 8/00 – present</w:t>
      </w:r>
    </w:p>
    <w:p>
      <w:pPr>
        <w:pStyle w:val="Normal"/>
        <w:spacing w:lineRule="atLeast" w:line="240"/>
        <w:ind w:start="360" w:end="0"/>
        <w:jc w:val="both"/>
        <w:rPr/>
      </w:pPr>
      <w:r>
        <w:rPr>
          <w:color w:val="000000"/>
          <w:sz w:val="22"/>
        </w:rPr>
        <w:t xml:space="preserve">Co-directed a team of six to ten researchers developing methodologies and models for the </w:t>
      </w:r>
      <w:r>
        <w:rPr>
          <w:b/>
          <w:bCs/>
          <w:color w:val="000000"/>
          <w:sz w:val="22"/>
        </w:rPr>
        <w:t>structuring, pricing</w:t>
      </w:r>
      <w:r>
        <w:rPr>
          <w:color w:val="000000"/>
          <w:sz w:val="22"/>
        </w:rPr>
        <w:t xml:space="preserve"> and </w:t>
      </w:r>
      <w:r>
        <w:rPr>
          <w:b/>
          <w:bCs/>
          <w:color w:val="000000"/>
          <w:sz w:val="22"/>
        </w:rPr>
        <w:t>risk-management</w:t>
      </w:r>
      <w:r>
        <w:rPr>
          <w:color w:val="000000"/>
          <w:sz w:val="22"/>
        </w:rPr>
        <w:t xml:space="preserve"> of Enron Energy Services’ retail-energy deals, energy efficiency and distributed generation investments, and load curtailment options. Specific modeling activities included:</w:t>
      </w:r>
    </w:p>
    <w:p>
      <w:pPr>
        <w:pStyle w:val="Normal"/>
        <w:numPr>
          <w:ilvl w:val="0"/>
          <w:numId w:val="5"/>
        </w:numPr>
        <w:spacing w:lineRule="atLeast" w:line="240"/>
        <w:jc w:val="both"/>
        <w:rPr>
          <w:color w:val="000000"/>
          <w:sz w:val="22"/>
        </w:rPr>
      </w:pPr>
      <w:r>
        <w:rPr>
          <w:b/>
          <w:bCs/>
          <w:color w:val="000000"/>
          <w:sz w:val="22"/>
        </w:rPr>
        <w:t>Load curtailment</w:t>
      </w:r>
      <w:r>
        <w:rPr>
          <w:color w:val="000000"/>
          <w:sz w:val="22"/>
        </w:rPr>
        <w:t xml:space="preserve">, </w:t>
      </w:r>
      <w:r>
        <w:rPr>
          <w:b/>
          <w:bCs/>
          <w:color w:val="000000"/>
          <w:sz w:val="22"/>
        </w:rPr>
        <w:t>distributed generation</w:t>
      </w:r>
      <w:r>
        <w:rPr>
          <w:color w:val="000000"/>
          <w:sz w:val="22"/>
        </w:rPr>
        <w:t xml:space="preserve"> and </w:t>
      </w:r>
      <w:r>
        <w:rPr>
          <w:b/>
          <w:bCs/>
          <w:color w:val="000000"/>
          <w:sz w:val="22"/>
        </w:rPr>
        <w:t>fuel switching</w:t>
      </w:r>
      <w:r>
        <w:rPr>
          <w:color w:val="000000"/>
          <w:sz w:val="22"/>
        </w:rPr>
        <w:t xml:space="preserve"> pricing models using options theory and optimization. Hourly electricity price models combining information from the prices of traded contracts and observed price time-series.</w:t>
      </w:r>
    </w:p>
    <w:p>
      <w:pPr>
        <w:pStyle w:val="Normal"/>
        <w:numPr>
          <w:ilvl w:val="0"/>
          <w:numId w:val="5"/>
        </w:numPr>
        <w:spacing w:lineRule="atLeast" w:line="240"/>
        <w:jc w:val="both"/>
        <w:rPr>
          <w:color w:val="000000"/>
          <w:sz w:val="22"/>
        </w:rPr>
      </w:pPr>
      <w:r>
        <w:rPr>
          <w:color w:val="000000"/>
          <w:sz w:val="22"/>
        </w:rPr>
        <w:t xml:space="preserve">Risk models to price and risk-control </w:t>
      </w:r>
      <w:r>
        <w:rPr>
          <w:b/>
          <w:bCs/>
          <w:color w:val="000000"/>
          <w:sz w:val="22"/>
        </w:rPr>
        <w:t>demand side management</w:t>
      </w:r>
      <w:r>
        <w:rPr>
          <w:color w:val="000000"/>
          <w:sz w:val="22"/>
        </w:rPr>
        <w:t xml:space="preserve"> investments on a portfolio basis. These models also facilitate rationalization of due-diligence and monitoring &amp; verification budgets.</w:t>
      </w:r>
    </w:p>
    <w:p>
      <w:pPr>
        <w:pStyle w:val="Normal"/>
        <w:numPr>
          <w:ilvl w:val="0"/>
          <w:numId w:val="5"/>
        </w:numPr>
        <w:spacing w:lineRule="atLeast" w:line="240"/>
        <w:jc w:val="both"/>
        <w:rPr>
          <w:color w:val="000000"/>
          <w:sz w:val="22"/>
        </w:rPr>
      </w:pPr>
      <w:r>
        <w:rPr>
          <w:color w:val="000000"/>
          <w:sz w:val="22"/>
        </w:rPr>
        <w:t xml:space="preserve">Models quantifying </w:t>
      </w:r>
      <w:r>
        <w:rPr>
          <w:b/>
          <w:bCs/>
          <w:color w:val="000000"/>
          <w:sz w:val="22"/>
        </w:rPr>
        <w:t>volumetric risk</w:t>
      </w:r>
      <w:r>
        <w:rPr>
          <w:color w:val="000000"/>
          <w:sz w:val="22"/>
        </w:rPr>
        <w:t xml:space="preserve"> in commodity deals with different structures: development of hourly load profiles, characterization of weather dependence of hourly profiles, hourly electricity-price models, simulation engine for correlated weather and price.</w:t>
      </w:r>
    </w:p>
    <w:p>
      <w:pPr>
        <w:pStyle w:val="Normal"/>
        <w:numPr>
          <w:ilvl w:val="0"/>
          <w:numId w:val="5"/>
        </w:numPr>
        <w:spacing w:lineRule="atLeast" w:line="240"/>
        <w:jc w:val="both"/>
        <w:rPr>
          <w:color w:val="000000"/>
          <w:sz w:val="22"/>
        </w:rPr>
      </w:pPr>
      <w:r>
        <w:rPr>
          <w:b/>
          <w:bCs/>
          <w:color w:val="000000"/>
          <w:sz w:val="22"/>
        </w:rPr>
        <w:t>Value-at-risk (VAR)</w:t>
      </w:r>
      <w:r>
        <w:rPr>
          <w:color w:val="000000"/>
          <w:sz w:val="22"/>
        </w:rPr>
        <w:t xml:space="preserve"> models of transmission and distribution, and regulated commodity exposure of Enron Energy Services. Models of regulatory process driven by interest rates, inflation, and fuel prices. Interest rate hedges to reduce VAR.</w:t>
      </w:r>
    </w:p>
    <w:p>
      <w:pPr>
        <w:pStyle w:val="Normal"/>
        <w:numPr>
          <w:ilvl w:val="0"/>
          <w:numId w:val="5"/>
        </w:numPr>
        <w:spacing w:lineRule="atLeast" w:line="240"/>
        <w:jc w:val="both"/>
        <w:rPr>
          <w:color w:val="000000"/>
          <w:sz w:val="22"/>
        </w:rPr>
      </w:pPr>
      <w:r>
        <w:rPr>
          <w:color w:val="000000"/>
          <w:sz w:val="22"/>
        </w:rPr>
        <w:t>Pricing</w:t>
      </w:r>
      <w:r>
        <w:rPr>
          <w:b/>
          <w:bCs/>
          <w:color w:val="000000"/>
          <w:sz w:val="22"/>
        </w:rPr>
        <w:t xml:space="preserve"> </w:t>
      </w:r>
      <w:r>
        <w:rPr>
          <w:color w:val="000000"/>
          <w:sz w:val="22"/>
        </w:rPr>
        <w:t>financial and physical</w:t>
      </w:r>
      <w:r>
        <w:rPr>
          <w:b/>
          <w:bCs/>
          <w:color w:val="000000"/>
          <w:sz w:val="22"/>
        </w:rPr>
        <w:t xml:space="preserve"> options </w:t>
      </w:r>
      <w:r>
        <w:rPr>
          <w:color w:val="000000"/>
          <w:sz w:val="22"/>
        </w:rPr>
        <w:t>in deal structures.</w:t>
      </w:r>
    </w:p>
    <w:p>
      <w:pPr>
        <w:pStyle w:val="Normal"/>
        <w:spacing w:lineRule="atLeast" w:line="240"/>
        <w:jc w:val="both"/>
        <w:rPr>
          <w:color w:val="000000"/>
          <w:sz w:val="22"/>
        </w:rPr>
      </w:pPr>
      <w:r>
        <w:rPr>
          <w:color w:val="000000"/>
          <w:sz w:val="22"/>
        </w:rPr>
      </w:r>
    </w:p>
    <w:p>
      <w:pPr>
        <w:pStyle w:val="Normal"/>
        <w:spacing w:lineRule="atLeast" w:line="240"/>
        <w:ind w:start="360" w:end="0"/>
        <w:jc w:val="both"/>
        <w:rPr/>
      </w:pPr>
      <w:r>
        <w:rPr>
          <w:b/>
          <w:bCs/>
          <w:color w:val="000000"/>
          <w:sz w:val="22"/>
        </w:rPr>
        <w:t>Manager of Research</w:t>
      </w:r>
      <w:r>
        <w:rPr>
          <w:color w:val="000000"/>
          <w:sz w:val="22"/>
        </w:rPr>
        <w:t>, 11/98 – 7/00</w:t>
      </w:r>
    </w:p>
    <w:p>
      <w:pPr>
        <w:pStyle w:val="Normal"/>
        <w:spacing w:lineRule="atLeast" w:line="240"/>
        <w:ind w:start="360" w:end="0"/>
        <w:jc w:val="both"/>
        <w:rPr>
          <w:color w:val="000000"/>
          <w:sz w:val="22"/>
        </w:rPr>
      </w:pPr>
      <w:r>
        <w:rPr>
          <w:color w:val="000000"/>
          <w:sz w:val="22"/>
        </w:rPr>
        <w:t>Supported risk-management activities of Enron Energy Services in demand side management, facilities maintenance and load forecasting:</w:t>
      </w:r>
    </w:p>
    <w:p>
      <w:pPr>
        <w:pStyle w:val="Normal"/>
        <w:numPr>
          <w:ilvl w:val="0"/>
          <w:numId w:val="4"/>
        </w:numPr>
        <w:spacing w:lineRule="atLeast" w:line="240"/>
        <w:jc w:val="both"/>
        <w:rPr>
          <w:color w:val="000000"/>
          <w:sz w:val="22"/>
        </w:rPr>
      </w:pPr>
      <w:r>
        <w:rPr>
          <w:color w:val="000000"/>
          <w:sz w:val="22"/>
        </w:rPr>
        <w:t xml:space="preserve">Developed load profiles. </w:t>
      </w:r>
    </w:p>
    <w:p>
      <w:pPr>
        <w:pStyle w:val="Normal"/>
        <w:numPr>
          <w:ilvl w:val="0"/>
          <w:numId w:val="4"/>
        </w:numPr>
        <w:spacing w:lineRule="atLeast" w:line="240"/>
        <w:jc w:val="both"/>
        <w:rPr>
          <w:color w:val="000000"/>
          <w:sz w:val="22"/>
        </w:rPr>
      </w:pPr>
      <w:r>
        <w:rPr>
          <w:color w:val="000000"/>
          <w:sz w:val="22"/>
        </w:rPr>
        <w:t>Modeled hourly energy use by end-use.</w:t>
      </w:r>
    </w:p>
    <w:p>
      <w:pPr>
        <w:pStyle w:val="Normal"/>
        <w:numPr>
          <w:ilvl w:val="0"/>
          <w:numId w:val="4"/>
        </w:numPr>
        <w:spacing w:lineRule="atLeast" w:line="240"/>
        <w:jc w:val="both"/>
        <w:rPr>
          <w:color w:val="000000"/>
          <w:sz w:val="22"/>
        </w:rPr>
      </w:pPr>
      <w:r>
        <w:rPr>
          <w:color w:val="000000"/>
          <w:sz w:val="22"/>
        </w:rPr>
        <w:t>Developed sampling plans and extrapolation methodologies.</w:t>
      </w:r>
    </w:p>
    <w:p>
      <w:pPr>
        <w:pStyle w:val="Normal"/>
        <w:numPr>
          <w:ilvl w:val="0"/>
          <w:numId w:val="4"/>
        </w:numPr>
        <w:spacing w:lineRule="atLeast" w:line="240"/>
        <w:jc w:val="both"/>
        <w:rPr>
          <w:color w:val="000000"/>
          <w:sz w:val="22"/>
        </w:rPr>
      </w:pPr>
      <w:r>
        <w:rPr>
          <w:color w:val="000000"/>
          <w:sz w:val="22"/>
        </w:rPr>
        <w:t>Developed methods for identifying energy efficiency and distributed generation opportunities.</w:t>
      </w:r>
    </w:p>
    <w:p>
      <w:pPr>
        <w:pStyle w:val="Normal"/>
        <w:numPr>
          <w:ilvl w:val="0"/>
          <w:numId w:val="4"/>
        </w:numPr>
        <w:spacing w:lineRule="atLeast" w:line="240"/>
        <w:jc w:val="both"/>
        <w:rPr>
          <w:color w:val="000000"/>
          <w:sz w:val="22"/>
        </w:rPr>
      </w:pPr>
      <w:r>
        <w:rPr>
          <w:color w:val="000000"/>
          <w:sz w:val="22"/>
        </w:rPr>
        <w:t>Quantified exposure to labor cost risk in facility management contracts.</w:t>
      </w:r>
    </w:p>
    <w:p>
      <w:pPr>
        <w:pStyle w:val="Normal"/>
        <w:numPr>
          <w:ilvl w:val="0"/>
          <w:numId w:val="4"/>
        </w:numPr>
        <w:spacing w:lineRule="atLeast" w:line="240"/>
        <w:jc w:val="both"/>
        <w:rPr>
          <w:color w:val="000000"/>
          <w:sz w:val="22"/>
        </w:rPr>
      </w:pPr>
      <w:r>
        <w:rPr>
          <w:color w:val="000000"/>
          <w:sz w:val="22"/>
        </w:rPr>
        <w:t>Performed market size study for micro-turbines and fuel cells.</w:t>
      </w:r>
    </w:p>
    <w:p>
      <w:pPr>
        <w:pStyle w:val="Normal"/>
        <w:numPr>
          <w:ilvl w:val="0"/>
          <w:numId w:val="4"/>
        </w:numPr>
        <w:spacing w:lineRule="atLeast" w:line="240"/>
        <w:jc w:val="both"/>
        <w:rPr>
          <w:color w:val="000000"/>
          <w:sz w:val="22"/>
        </w:rPr>
      </w:pPr>
      <w:r>
        <w:rPr>
          <w:color w:val="000000"/>
          <w:sz w:val="22"/>
        </w:rPr>
        <w:t>Gave analytical support during the start-up of NewPower Company.</w:t>
      </w:r>
    </w:p>
    <w:p>
      <w:pPr>
        <w:pStyle w:val="Normal"/>
        <w:spacing w:lineRule="atLeast" w:line="240"/>
        <w:rPr>
          <w:color w:val="000000"/>
          <w:sz w:val="22"/>
        </w:rPr>
      </w:pPr>
      <w:r>
        <w:rPr>
          <w:color w:val="000000"/>
          <w:sz w:val="22"/>
        </w:rPr>
      </w:r>
    </w:p>
    <w:p>
      <w:pPr>
        <w:pStyle w:val="Normal"/>
        <w:spacing w:lineRule="atLeast" w:line="240"/>
        <w:jc w:val="both"/>
        <w:rPr/>
      </w:pPr>
      <w:r>
        <w:rPr>
          <w:b/>
          <w:bCs/>
          <w:color w:val="000000"/>
          <w:sz w:val="22"/>
        </w:rPr>
        <w:t xml:space="preserve">Lawrence Berkeley National Laboratory (LBNL), </w:t>
      </w:r>
      <w:r>
        <w:rPr>
          <w:color w:val="000000"/>
          <w:sz w:val="22"/>
        </w:rPr>
        <w:t>Energy Analysis Department, Environmental Energy Technologies Division, Berkeley, California</w:t>
      </w:r>
    </w:p>
    <w:p>
      <w:pPr>
        <w:pStyle w:val="Normal"/>
        <w:spacing w:lineRule="atLeast" w:line="240"/>
        <w:jc w:val="both"/>
        <w:rPr>
          <w:color w:val="000000"/>
          <w:sz w:val="22"/>
        </w:rPr>
      </w:pPr>
      <w:r>
        <w:rPr>
          <w:color w:val="000000"/>
          <w:sz w:val="22"/>
        </w:rPr>
      </w:r>
    </w:p>
    <w:p>
      <w:pPr>
        <w:pStyle w:val="BodyText"/>
        <w:ind w:start="360" w:end="0"/>
        <w:jc w:val="both"/>
        <w:rPr>
          <w:rFonts w:ascii="Times New Roman" w:hAnsi="Times New Roman" w:cs="Times New Roman"/>
          <w:sz w:val="22"/>
        </w:rPr>
      </w:pPr>
      <w:r>
        <w:rPr>
          <w:rFonts w:cs="Times New Roman" w:ascii="Times New Roman" w:hAnsi="Times New Roman"/>
          <w:sz w:val="22"/>
        </w:rPr>
        <w:t>Analysis projects in the fields of energy efficiency, renewable energy, and electricity markets supporting federal/state energy policy-making or development of utility programs.</w:t>
      </w:r>
    </w:p>
    <w:p>
      <w:pPr>
        <w:pStyle w:val="Normal"/>
        <w:spacing w:lineRule="atLeast" w:line="240"/>
        <w:ind w:start="360" w:end="0"/>
        <w:jc w:val="both"/>
        <w:rPr>
          <w:rFonts w:ascii="Times New Roman" w:hAnsi="Times New Roman" w:cs="Times New Roman"/>
          <w:color w:val="000000"/>
          <w:sz w:val="22"/>
        </w:rPr>
      </w:pPr>
      <w:r>
        <w:rPr>
          <w:rFonts w:cs="Times New Roman"/>
          <w:color w:val="000000"/>
          <w:sz w:val="22"/>
        </w:rPr>
      </w:r>
    </w:p>
    <w:p>
      <w:pPr>
        <w:pStyle w:val="Normal"/>
        <w:spacing w:lineRule="atLeast" w:line="240"/>
        <w:ind w:firstLine="360" w:end="0"/>
        <w:jc w:val="both"/>
        <w:rPr/>
      </w:pPr>
      <w:r>
        <w:rPr>
          <w:b/>
          <w:bCs/>
          <w:color w:val="000000"/>
          <w:sz w:val="22"/>
        </w:rPr>
        <w:t xml:space="preserve">Staff Research Associate, </w:t>
      </w:r>
      <w:r>
        <w:rPr>
          <w:color w:val="000000"/>
          <w:sz w:val="22"/>
        </w:rPr>
        <w:t>2/96 – 11/98</w:t>
      </w:r>
    </w:p>
    <w:p>
      <w:pPr>
        <w:pStyle w:val="Normal"/>
        <w:numPr>
          <w:ilvl w:val="0"/>
          <w:numId w:val="6"/>
        </w:numPr>
        <w:spacing w:lineRule="atLeast" w:line="240"/>
        <w:jc w:val="both"/>
        <w:rPr>
          <w:color w:val="000000"/>
          <w:sz w:val="22"/>
        </w:rPr>
      </w:pPr>
      <w:r>
        <w:rPr>
          <w:color w:val="000000"/>
          <w:sz w:val="22"/>
        </w:rPr>
        <w:t>Modeled the deregulated electricity market in California.</w:t>
      </w:r>
    </w:p>
    <w:p>
      <w:pPr>
        <w:pStyle w:val="Normal"/>
        <w:numPr>
          <w:ilvl w:val="0"/>
          <w:numId w:val="6"/>
        </w:numPr>
        <w:spacing w:lineRule="atLeast" w:line="240"/>
        <w:jc w:val="both"/>
        <w:rPr>
          <w:color w:val="000000"/>
          <w:sz w:val="22"/>
        </w:rPr>
      </w:pPr>
      <w:r>
        <w:rPr>
          <w:color w:val="000000"/>
          <w:sz w:val="22"/>
        </w:rPr>
        <w:t>Evaluated the wind resource in California.</w:t>
      </w:r>
    </w:p>
    <w:p>
      <w:pPr>
        <w:pStyle w:val="Normal"/>
        <w:numPr>
          <w:ilvl w:val="0"/>
          <w:numId w:val="6"/>
        </w:numPr>
        <w:spacing w:lineRule="atLeast" w:line="240"/>
        <w:jc w:val="both"/>
        <w:rPr>
          <w:color w:val="000000"/>
          <w:sz w:val="22"/>
        </w:rPr>
      </w:pPr>
      <w:r>
        <w:rPr>
          <w:color w:val="000000"/>
          <w:sz w:val="22"/>
        </w:rPr>
        <w:t>Developed methodologies for model-based performance tracking in commercial-buildings.</w:t>
      </w:r>
    </w:p>
    <w:p>
      <w:pPr>
        <w:pStyle w:val="Normal"/>
        <w:spacing w:lineRule="atLeast" w:line="240"/>
        <w:ind w:start="360" w:end="0"/>
        <w:jc w:val="both"/>
        <w:rPr>
          <w:color w:val="000000"/>
          <w:sz w:val="22"/>
        </w:rPr>
      </w:pPr>
      <w:r>
        <w:rPr>
          <w:color w:val="000000"/>
          <w:sz w:val="22"/>
        </w:rPr>
      </w:r>
    </w:p>
    <w:p>
      <w:pPr>
        <w:pStyle w:val="Normal"/>
        <w:spacing w:lineRule="atLeast" w:line="240"/>
        <w:jc w:val="both"/>
        <w:rPr/>
      </w:pPr>
      <w:r>
        <w:rPr>
          <w:color w:val="000000"/>
          <w:sz w:val="22"/>
        </w:rPr>
        <w:t xml:space="preserve">      </w:t>
      </w:r>
      <w:r>
        <w:rPr>
          <w:b/>
          <w:bCs/>
          <w:color w:val="000000"/>
          <w:sz w:val="22"/>
        </w:rPr>
        <w:t xml:space="preserve">Principal Research Associate, </w:t>
      </w:r>
      <w:r>
        <w:rPr>
          <w:color w:val="000000"/>
          <w:sz w:val="22"/>
        </w:rPr>
        <w:t>2/90 – 2/96</w:t>
      </w:r>
    </w:p>
    <w:p>
      <w:pPr>
        <w:pStyle w:val="Normal"/>
        <w:numPr>
          <w:ilvl w:val="0"/>
          <w:numId w:val="3"/>
        </w:numPr>
        <w:spacing w:lineRule="atLeast" w:line="240"/>
        <w:jc w:val="both"/>
        <w:rPr>
          <w:color w:val="000000"/>
          <w:sz w:val="22"/>
        </w:rPr>
      </w:pPr>
      <w:r>
        <w:rPr>
          <w:color w:val="000000"/>
          <w:sz w:val="22"/>
        </w:rPr>
        <w:t>Characterized the heating/cooling demand in the U.S. residential-buildings sector.</w:t>
      </w:r>
    </w:p>
    <w:p>
      <w:pPr>
        <w:pStyle w:val="Normal"/>
        <w:numPr>
          <w:ilvl w:val="0"/>
          <w:numId w:val="3"/>
        </w:numPr>
        <w:spacing w:lineRule="atLeast" w:line="240"/>
        <w:jc w:val="both"/>
        <w:rPr>
          <w:color w:val="000000"/>
          <w:sz w:val="22"/>
        </w:rPr>
      </w:pPr>
      <w:r>
        <w:rPr>
          <w:color w:val="000000"/>
          <w:sz w:val="22"/>
        </w:rPr>
        <w:t>Characterized and forecasted the energy demand by end-use in the U.S. services sector.</w:t>
      </w:r>
    </w:p>
    <w:p>
      <w:pPr>
        <w:pStyle w:val="Normal"/>
        <w:numPr>
          <w:ilvl w:val="0"/>
          <w:numId w:val="3"/>
        </w:numPr>
        <w:spacing w:lineRule="atLeast" w:line="240"/>
        <w:jc w:val="both"/>
        <w:rPr>
          <w:color w:val="000000"/>
          <w:sz w:val="22"/>
        </w:rPr>
      </w:pPr>
      <w:r>
        <w:rPr>
          <w:color w:val="000000"/>
          <w:sz w:val="22"/>
        </w:rPr>
        <w:t>Characterized the historical trends in energy efficiency in the services sector in OECD countries.</w:t>
      </w:r>
    </w:p>
    <w:p>
      <w:pPr>
        <w:pStyle w:val="Normal"/>
        <w:numPr>
          <w:ilvl w:val="0"/>
          <w:numId w:val="3"/>
        </w:numPr>
        <w:spacing w:lineRule="atLeast" w:line="240"/>
        <w:jc w:val="both"/>
        <w:rPr>
          <w:color w:val="000000"/>
          <w:sz w:val="22"/>
        </w:rPr>
      </w:pPr>
      <w:r>
        <w:rPr>
          <w:color w:val="000000"/>
          <w:sz w:val="22"/>
        </w:rPr>
        <w:t>Performed technology and market assessment studies for energy efficiency investments.</w:t>
      </w:r>
    </w:p>
    <w:p>
      <w:pPr>
        <w:pStyle w:val="Normal"/>
        <w:spacing w:lineRule="atLeast" w:line="240"/>
        <w:jc w:val="both"/>
        <w:rPr>
          <w:color w:val="000000"/>
          <w:sz w:val="22"/>
        </w:rPr>
      </w:pPr>
      <w:r>
        <w:rPr>
          <w:color w:val="000000"/>
          <w:sz w:val="22"/>
        </w:rPr>
      </w:r>
    </w:p>
    <w:p>
      <w:pPr>
        <w:pStyle w:val="Normal"/>
        <w:spacing w:lineRule="atLeast" w:line="240"/>
        <w:jc w:val="both"/>
        <w:rPr/>
      </w:pPr>
      <w:r>
        <w:rPr>
          <w:b/>
          <w:bCs/>
          <w:color w:val="000000"/>
          <w:sz w:val="22"/>
        </w:rPr>
        <w:t>Consultants Computation Bureau/Cumali Associates</w:t>
      </w:r>
      <w:r>
        <w:rPr>
          <w:color w:val="000000"/>
          <w:sz w:val="22"/>
        </w:rPr>
        <w:t>, San Francisco, California</w:t>
      </w:r>
    </w:p>
    <w:p>
      <w:pPr>
        <w:pStyle w:val="Normal"/>
        <w:spacing w:lineRule="atLeast" w:line="240"/>
        <w:ind w:start="360" w:end="0"/>
        <w:jc w:val="both"/>
        <w:rPr/>
      </w:pPr>
      <w:r>
        <w:rPr>
          <w:b/>
          <w:bCs/>
          <w:color w:val="000000"/>
          <w:sz w:val="22"/>
        </w:rPr>
        <w:t>Senior Engineer</w:t>
      </w:r>
      <w:r>
        <w:rPr>
          <w:color w:val="000000"/>
          <w:sz w:val="22"/>
        </w:rPr>
        <w:t>, 11/86 – 11/89</w:t>
      </w:r>
    </w:p>
    <w:p>
      <w:pPr>
        <w:pStyle w:val="BodyTextIndent"/>
        <w:rPr/>
      </w:pPr>
      <w:r>
        <w:rPr/>
        <w:t xml:space="preserve">Performed consulting activities for energy-efficiency investments in large commercial building.  Managed the development of a software product for the optimization of the operation of building energy systems. </w:t>
      </w:r>
    </w:p>
    <w:p>
      <w:pPr>
        <w:pStyle w:val="Normal"/>
        <w:spacing w:lineRule="atLeast" w:line="240"/>
        <w:ind w:start="720" w:end="0"/>
        <w:jc w:val="both"/>
        <w:rPr>
          <w:color w:val="000000"/>
          <w:sz w:val="22"/>
        </w:rPr>
      </w:pPr>
      <w:r>
        <w:rPr>
          <w:color w:val="000000"/>
          <w:sz w:val="22"/>
        </w:rPr>
      </w:r>
    </w:p>
    <w:p>
      <w:pPr>
        <w:pStyle w:val="Normal"/>
        <w:spacing w:lineRule="atLeast" w:line="240"/>
        <w:jc w:val="both"/>
        <w:rPr/>
      </w:pPr>
      <w:r>
        <w:rPr>
          <w:b/>
          <w:bCs/>
          <w:color w:val="000000"/>
          <w:sz w:val="22"/>
        </w:rPr>
        <w:t>Anadolu Shipping/Anadolu Export</w:t>
      </w:r>
      <w:r>
        <w:rPr>
          <w:color w:val="000000"/>
          <w:sz w:val="22"/>
        </w:rPr>
        <w:t>, Istanbul, Turkey</w:t>
      </w:r>
    </w:p>
    <w:p>
      <w:pPr>
        <w:pStyle w:val="BodyText"/>
        <w:ind w:firstLine="360" w:end="0"/>
        <w:jc w:val="both"/>
        <w:rPr/>
      </w:pPr>
      <w:r>
        <w:rPr>
          <w:rFonts w:cs="Times New Roman" w:ascii="Times New Roman" w:hAnsi="Times New Roman"/>
          <w:b/>
          <w:sz w:val="22"/>
        </w:rPr>
        <w:t>New-Projects Specialist</w:t>
      </w:r>
      <w:r>
        <w:rPr>
          <w:sz w:val="22"/>
        </w:rPr>
        <w:t>, 2/85 – 9/86</w:t>
      </w:r>
      <w:r>
        <w:rPr>
          <w:rFonts w:cs="Times New Roman" w:ascii="Times New Roman" w:hAnsi="Times New Roman"/>
          <w:sz w:val="22"/>
        </w:rPr>
        <w:t xml:space="preserve"> </w:t>
      </w:r>
    </w:p>
    <w:p>
      <w:pPr>
        <w:pStyle w:val="BodyText"/>
        <w:ind w:start="360" w:end="0"/>
        <w:jc w:val="both"/>
        <w:rPr>
          <w:rFonts w:ascii="Times New Roman" w:hAnsi="Times New Roman" w:cs="Times New Roman"/>
          <w:sz w:val="22"/>
        </w:rPr>
      </w:pPr>
      <w:r>
        <w:rPr>
          <w:rFonts w:cs="Times New Roman" w:ascii="Times New Roman" w:hAnsi="Times New Roman"/>
          <w:sz w:val="22"/>
        </w:rPr>
        <w:t>Characterized the hard-coal demand in Turkey. Performed a feasibility study for a proposed coal-distribution operation. Analyzed risks in projected revenues from dry-bulk maritime-shipping operations and developed hedging strategies using freight forwards.</w:t>
      </w:r>
    </w:p>
    <w:p>
      <w:pPr>
        <w:pStyle w:val="Normal"/>
        <w:spacing w:lineRule="atLeast" w:line="240"/>
        <w:jc w:val="both"/>
        <w:rPr>
          <w:rFonts w:ascii="Times New Roman" w:hAnsi="Times New Roman" w:cs="Times New Roman"/>
          <w:color w:val="000000"/>
          <w:sz w:val="22"/>
        </w:rPr>
      </w:pPr>
      <w:r>
        <w:rPr>
          <w:rFonts w:cs="Times New Roman"/>
          <w:color w:val="000000"/>
          <w:sz w:val="22"/>
        </w:rPr>
      </w:r>
    </w:p>
    <w:p>
      <w:pPr>
        <w:pStyle w:val="Normal"/>
        <w:spacing w:lineRule="atLeast" w:line="240"/>
        <w:jc w:val="both"/>
        <w:rPr/>
      </w:pPr>
      <w:r>
        <w:rPr>
          <w:b/>
          <w:bCs/>
          <w:color w:val="000000"/>
          <w:sz w:val="22"/>
        </w:rPr>
        <w:t>Schlumberger Overseas, S.A.</w:t>
      </w:r>
      <w:r>
        <w:rPr>
          <w:color w:val="000000"/>
          <w:sz w:val="22"/>
        </w:rPr>
        <w:t>, Near East Division, Kuwait and Iraq</w:t>
      </w:r>
    </w:p>
    <w:p>
      <w:pPr>
        <w:pStyle w:val="Normal"/>
        <w:spacing w:lineRule="atLeast" w:line="240"/>
        <w:ind w:firstLine="360" w:end="0"/>
        <w:jc w:val="both"/>
        <w:rPr/>
      </w:pPr>
      <w:r>
        <w:rPr>
          <w:b/>
          <w:bCs/>
          <w:color w:val="000000"/>
          <w:sz w:val="22"/>
        </w:rPr>
        <w:t>Engineer/ Senior Engineer</w:t>
      </w:r>
      <w:r>
        <w:rPr>
          <w:color w:val="000000"/>
          <w:sz w:val="22"/>
        </w:rPr>
        <w:t xml:space="preserve">, 2/82 – 12/84 </w:t>
      </w:r>
    </w:p>
    <w:p>
      <w:pPr>
        <w:pStyle w:val="Normal"/>
        <w:spacing w:lineRule="atLeast" w:line="240"/>
        <w:ind w:start="360" w:end="0"/>
        <w:jc w:val="both"/>
        <w:rPr>
          <w:color w:val="000000"/>
          <w:sz w:val="22"/>
        </w:rPr>
      </w:pPr>
      <w:r>
        <w:rPr>
          <w:color w:val="000000"/>
          <w:sz w:val="22"/>
        </w:rPr>
        <w:t xml:space="preserve">Provided measurement services to oil exploration companies. Performed and marketed well-measurement and geophysical-interpretation services. </w:t>
      </w:r>
    </w:p>
    <w:p>
      <w:pPr>
        <w:pStyle w:val="Normal"/>
        <w:jc w:val="both"/>
        <w:rPr>
          <w:color w:val="000000"/>
          <w:sz w:val="22"/>
        </w:rPr>
      </w:pPr>
      <w:r>
        <w:rPr>
          <w:color w:val="000000"/>
          <w:sz w:val="22"/>
        </w:rPr>
      </w:r>
    </w:p>
    <w:p>
      <w:pPr>
        <w:pStyle w:val="Heading2"/>
        <w:ind w:hanging="0" w:start="0"/>
        <w:jc w:val="both"/>
        <w:rPr>
          <w:rFonts w:ascii="Times New Roman" w:hAnsi="Times New Roman" w:cs="Times New Roman"/>
          <w:sz w:val="24"/>
        </w:rPr>
      </w:pPr>
      <w:r>
        <w:rPr>
          <w:rFonts w:cs="Times New Roman" w:ascii="Times New Roman" w:hAnsi="Times New Roman"/>
          <w:sz w:val="24"/>
        </w:rPr>
        <w:t>EDUCATION</w:t>
      </w:r>
    </w:p>
    <w:p>
      <w:pPr>
        <w:pStyle w:val="Normal"/>
        <w:spacing w:lineRule="atLeast" w:line="240"/>
        <w:jc w:val="both"/>
        <w:rPr>
          <w:rFonts w:ascii="Times New Roman" w:hAnsi="Times New Roman" w:cs="Times New Roman"/>
          <w:color w:val="000000"/>
          <w:sz w:val="18"/>
        </w:rPr>
      </w:pPr>
      <w:r>
        <w:rPr>
          <w:rFonts w:cs="Times New Roman"/>
          <w:color w:val="000000"/>
          <w:sz w:val="18"/>
        </w:rPr>
      </w:r>
    </w:p>
    <w:p>
      <w:pPr>
        <w:pStyle w:val="Normal"/>
        <w:spacing w:lineRule="atLeast" w:line="240"/>
        <w:jc w:val="both"/>
        <w:rPr/>
      </w:pPr>
      <w:r>
        <w:rPr>
          <w:b/>
          <w:color w:val="000000"/>
          <w:sz w:val="22"/>
        </w:rPr>
        <w:t xml:space="preserve">M.S., Industrial Engineering and Operations </w:t>
      </w:r>
      <w:r>
        <w:rPr>
          <w:b/>
          <w:bCs/>
          <w:color w:val="000000"/>
          <w:sz w:val="22"/>
        </w:rPr>
        <w:t xml:space="preserve">Research, </w:t>
      </w:r>
      <w:r>
        <w:rPr>
          <w:bCs/>
          <w:color w:val="000000"/>
          <w:sz w:val="22"/>
        </w:rPr>
        <w:t>University</w:t>
      </w:r>
      <w:r>
        <w:rPr>
          <w:color w:val="000000"/>
          <w:sz w:val="22"/>
        </w:rPr>
        <w:t xml:space="preserve"> of California, Berkeley, California, 1997</w:t>
      </w:r>
    </w:p>
    <w:p>
      <w:pPr>
        <w:pStyle w:val="Normal"/>
        <w:numPr>
          <w:ilvl w:val="0"/>
          <w:numId w:val="2"/>
        </w:numPr>
        <w:spacing w:lineRule="atLeast" w:line="240"/>
        <w:jc w:val="both"/>
        <w:rPr>
          <w:color w:val="000000"/>
          <w:sz w:val="22"/>
        </w:rPr>
      </w:pPr>
      <w:r>
        <w:rPr>
          <w:color w:val="000000"/>
          <w:sz w:val="22"/>
        </w:rPr>
        <w:t>Courses in optimization, stochastic modeling, pricing policies, investment analysis, and financial derivatives.</w:t>
      </w:r>
    </w:p>
    <w:p>
      <w:pPr>
        <w:pStyle w:val="Normal"/>
        <w:spacing w:lineRule="atLeast" w:line="240"/>
        <w:jc w:val="both"/>
        <w:rPr>
          <w:color w:val="000000"/>
          <w:sz w:val="22"/>
        </w:rPr>
      </w:pPr>
      <w:r>
        <w:rPr>
          <w:color w:val="000000"/>
          <w:sz w:val="22"/>
        </w:rPr>
      </w:r>
    </w:p>
    <w:p>
      <w:pPr>
        <w:pStyle w:val="Normal"/>
        <w:spacing w:lineRule="atLeast" w:line="240"/>
        <w:jc w:val="both"/>
        <w:rPr/>
      </w:pPr>
      <w:r>
        <w:rPr>
          <w:b/>
          <w:color w:val="000000"/>
          <w:sz w:val="22"/>
        </w:rPr>
        <w:t>Graduate studies in Operations Research and Statistics</w:t>
      </w:r>
      <w:r>
        <w:rPr>
          <w:color w:val="000000"/>
          <w:sz w:val="22"/>
        </w:rPr>
        <w:t>, Middle East Technical University, Ankara, Turkey,  1980-1981</w:t>
      </w:r>
    </w:p>
    <w:p>
      <w:pPr>
        <w:pStyle w:val="Normal"/>
        <w:numPr>
          <w:ilvl w:val="0"/>
          <w:numId w:val="8"/>
        </w:numPr>
        <w:spacing w:lineRule="atLeast" w:line="240"/>
        <w:jc w:val="both"/>
        <w:rPr>
          <w:color w:val="000000"/>
          <w:sz w:val="22"/>
        </w:rPr>
      </w:pPr>
      <w:r>
        <w:rPr>
          <w:color w:val="000000"/>
          <w:sz w:val="22"/>
        </w:rPr>
        <w:t>Courses in operations research methodologies, statistics and economics.</w:t>
      </w:r>
    </w:p>
    <w:p>
      <w:pPr>
        <w:pStyle w:val="Normal"/>
        <w:numPr>
          <w:ilvl w:val="0"/>
          <w:numId w:val="8"/>
        </w:numPr>
        <w:spacing w:lineRule="atLeast" w:line="240"/>
        <w:jc w:val="both"/>
        <w:rPr>
          <w:color w:val="000000"/>
          <w:sz w:val="22"/>
        </w:rPr>
      </w:pPr>
      <w:r>
        <w:rPr>
          <w:color w:val="000000"/>
          <w:sz w:val="22"/>
        </w:rPr>
        <w:t>Instructor. Spring 1981.Taught an upper level undergraduate semester class on probability theory.</w:t>
      </w:r>
    </w:p>
    <w:p>
      <w:pPr>
        <w:pStyle w:val="Normal"/>
        <w:numPr>
          <w:ilvl w:val="0"/>
          <w:numId w:val="8"/>
        </w:numPr>
        <w:spacing w:lineRule="atLeast" w:line="240"/>
        <w:jc w:val="both"/>
        <w:rPr>
          <w:color w:val="000000"/>
          <w:sz w:val="22"/>
        </w:rPr>
      </w:pPr>
      <w:r>
        <w:rPr>
          <w:color w:val="000000"/>
          <w:sz w:val="22"/>
        </w:rPr>
        <w:t>Research Assistant at the System Sciences Research Institute. 11/79 – 12/80. Consulting services for the design and construction of 33,000 residential units of a government housing project.</w:t>
      </w:r>
    </w:p>
    <w:p>
      <w:pPr>
        <w:pStyle w:val="Normal"/>
        <w:spacing w:lineRule="atLeast" w:line="240"/>
        <w:jc w:val="both"/>
        <w:rPr>
          <w:color w:val="000000"/>
          <w:sz w:val="22"/>
        </w:rPr>
      </w:pPr>
      <w:r>
        <w:rPr>
          <w:color w:val="000000"/>
          <w:sz w:val="22"/>
        </w:rPr>
      </w:r>
    </w:p>
    <w:p>
      <w:pPr>
        <w:pStyle w:val="Normal"/>
        <w:spacing w:lineRule="atLeast" w:line="240"/>
        <w:jc w:val="both"/>
        <w:rPr/>
      </w:pPr>
      <w:r>
        <w:rPr>
          <w:b/>
          <w:color w:val="000000"/>
          <w:sz w:val="22"/>
        </w:rPr>
        <w:t>M.S., Mechanical Engineering</w:t>
      </w:r>
      <w:r>
        <w:rPr>
          <w:color w:val="000000"/>
          <w:sz w:val="22"/>
        </w:rPr>
        <w:t>, University of Manchester, Manchester, England, 1979</w:t>
      </w:r>
    </w:p>
    <w:p>
      <w:pPr>
        <w:pStyle w:val="Normal"/>
        <w:numPr>
          <w:ilvl w:val="0"/>
          <w:numId w:val="7"/>
        </w:numPr>
        <w:spacing w:lineRule="atLeast" w:line="240"/>
        <w:jc w:val="both"/>
        <w:rPr>
          <w:color w:val="000000"/>
          <w:sz w:val="22"/>
        </w:rPr>
      </w:pPr>
      <w:r>
        <w:rPr>
          <w:color w:val="000000"/>
          <w:sz w:val="22"/>
        </w:rPr>
        <w:t xml:space="preserve">With a grant form the Nuclear Power Company, Inc. (U.K.), developed nuclear-generator simulation and control system design software.  </w:t>
      </w:r>
    </w:p>
    <w:p>
      <w:pPr>
        <w:pStyle w:val="Normal"/>
        <w:numPr>
          <w:ilvl w:val="0"/>
          <w:numId w:val="7"/>
        </w:numPr>
        <w:spacing w:lineRule="atLeast" w:line="240"/>
        <w:jc w:val="both"/>
        <w:rPr>
          <w:color w:val="000000"/>
          <w:sz w:val="22"/>
        </w:rPr>
      </w:pPr>
      <w:r>
        <w:rPr>
          <w:color w:val="000000"/>
          <w:sz w:val="22"/>
        </w:rPr>
        <w:t>Engineer at CCB/Cumali Associates, Oakland, California, 5/79- 11/79. Worked on extensions to building-energy-simulation software DOE2 as a contractor to LBNL.</w:t>
      </w:r>
    </w:p>
    <w:p>
      <w:pPr>
        <w:pStyle w:val="Normal"/>
        <w:spacing w:lineRule="atLeast" w:line="240"/>
        <w:jc w:val="both"/>
        <w:rPr>
          <w:color w:val="000000"/>
          <w:sz w:val="22"/>
        </w:rPr>
      </w:pPr>
      <w:r>
        <w:rPr>
          <w:color w:val="000000"/>
          <w:sz w:val="22"/>
        </w:rPr>
      </w:r>
    </w:p>
    <w:p>
      <w:pPr>
        <w:pStyle w:val="Normal"/>
        <w:spacing w:lineRule="atLeast" w:line="240"/>
        <w:jc w:val="both"/>
        <w:rPr/>
      </w:pPr>
      <w:r>
        <w:rPr>
          <w:b/>
          <w:color w:val="000000"/>
          <w:sz w:val="22"/>
        </w:rPr>
        <w:t>B.S., Mechanical Engineering</w:t>
      </w:r>
      <w:r>
        <w:rPr>
          <w:color w:val="000000"/>
          <w:sz w:val="22"/>
        </w:rPr>
        <w:t>, honors program, University of Manchester, Manchester, England, 1977</w:t>
      </w:r>
    </w:p>
    <w:p>
      <w:pPr>
        <w:pStyle w:val="Normal"/>
        <w:numPr>
          <w:ilvl w:val="0"/>
          <w:numId w:val="9"/>
        </w:numPr>
        <w:spacing w:lineRule="atLeast" w:line="240"/>
        <w:jc w:val="both"/>
        <w:rPr>
          <w:color w:val="000000"/>
          <w:sz w:val="22"/>
        </w:rPr>
      </w:pPr>
      <w:r>
        <w:rPr>
          <w:color w:val="000000"/>
          <w:sz w:val="22"/>
        </w:rPr>
        <w:t xml:space="preserve">Specialized in energy systems.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65"/>
        </w:tabs>
        <w:ind w:start="765"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rFonts w:ascii="Helv" w:hAnsi="Helv" w:cs="Helv"/>
      <w:b/>
      <w:color w:val="000000"/>
      <w:sz w:val="28"/>
    </w:rPr>
  </w:style>
  <w:style w:type="paragraph" w:styleId="Heading2">
    <w:name w:val="heading 2"/>
    <w:basedOn w:val="Normal"/>
    <w:next w:val="Normal"/>
    <w:qFormat/>
    <w:pPr>
      <w:keepNext w:val="true"/>
      <w:numPr>
        <w:ilvl w:val="1"/>
        <w:numId w:val="1"/>
      </w:numPr>
      <w:spacing w:lineRule="atLeast" w:line="240"/>
      <w:outlineLvl w:val="1"/>
    </w:pPr>
    <w:rPr>
      <w:rFonts w:ascii="Helv" w:hAnsi="Helv" w:cs="Helv"/>
      <w:b/>
      <w:color w:val="000000"/>
      <w:sz w:val="1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 w:hAnsi="Helv" w:cs="Helv"/>
      <w:color w:val="000000"/>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jc w:val="both"/>
    </w:pPr>
    <w:rPr>
      <w:color w:val="000000"/>
      <w:sz w:val="22"/>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2002-01-08T12:09:00Z</dcterms:created>
  <dc:creator>osman sezgen</dc:creator>
  <dc:description/>
  <dc:language>en-CA</dc:language>
  <cp:lastModifiedBy>osezgen</cp:lastModifiedBy>
  <cp:lastPrinted>2001-12-11T13:49:00Z</cp:lastPrinted>
  <dcterms:modified xsi:type="dcterms:W3CDTF">2002-01-08T12:09:00Z</dcterms:modified>
  <cp:revision>2</cp:revision>
  <dc:subject/>
  <dc:title>OSMAN SEZGEN</dc:title>
</cp:coreProperties>
</file>