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12" w:type="dxa"/>
        <w:jc w:val="start"/>
        <w:tblInd w:w="0" w:type="dxa"/>
        <w:tblLayout w:type="fixed"/>
        <w:tblCellMar>
          <w:top w:w="0" w:type="dxa"/>
          <w:start w:w="72" w:type="dxa"/>
          <w:bottom w:w="0" w:type="dxa"/>
          <w:end w:w="72" w:type="dxa"/>
        </w:tblCellMar>
      </w:tblPr>
      <w:tblGrid>
        <w:gridCol w:w="1332"/>
        <w:gridCol w:w="3780"/>
        <w:gridCol w:w="5400"/>
      </w:tblGrid>
      <w:tr>
        <w:trPr>
          <w:trHeight w:val="360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Name"/>
              <w:spacing w:before="0" w:after="120"/>
              <w:rPr>
                <w:sz w:val="24"/>
              </w:rPr>
            </w:pPr>
            <w:r>
              <w:rPr>
                <w:sz w:val="24"/>
              </w:rPr>
              <w:t>Oscar M. Stefani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516 Orange Street,  Apt. 26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(203) 444-1093</w:t>
            </w:r>
          </w:p>
        </w:tc>
      </w:tr>
      <w:tr>
        <w:trPr>
          <w:trHeight w:val="315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780" w:type="dxa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New Haven, Connecticut  06511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/>
            </w:pPr>
            <w:r>
              <w:rPr>
                <w:sz w:val="21"/>
              </w:rPr>
              <w:t xml:space="preserve">email: </w:t>
            </w:r>
            <w:hyperlink r:id="rId2">
              <w:r>
                <w:rPr>
                  <w:rStyle w:val="Hyperlink"/>
                </w:rPr>
                <w:t>oscar.stefani@aya.yale.edu</w:t>
              </w:r>
            </w:hyperlink>
            <w:r>
              <w:rPr>
                <w:sz w:val="21"/>
              </w:rPr>
              <w:t xml:space="preserve"> / </w:t>
            </w:r>
            <w:hyperlink r:id="rId3">
              <w:r>
                <w:rPr>
                  <w:rStyle w:val="Hyperlink"/>
                </w:rPr>
                <w:t>oss1996@hotmail.com</w:t>
              </w:r>
            </w:hyperlink>
            <w:r>
              <w:rPr>
                <w:sz w:val="21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W w:w="10512" w:type="dxa"/>
            <w:gridSpan w:val="3"/>
            <w:tcBorders/>
          </w:tcPr>
          <w:p>
            <w:pPr>
              <w:pStyle w:val="SectionTitle"/>
              <w:spacing w:before="220" w:after="0"/>
              <w:rPr>
                <w:sz w:val="21"/>
              </w:rPr>
            </w:pPr>
            <w:r>
              <w:rPr>
                <w:sz w:val="21"/>
              </w:rPr>
              <w:t xml:space="preserve">Education 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sz w:val="21"/>
              </w:rPr>
            </w:pPr>
            <w:r>
              <w:rPr>
                <w:sz w:val="21"/>
              </w:rPr>
              <w:t xml:space="preserve">Yale School of Management  </w:t>
            </w:r>
            <w:r>
              <w:rPr>
                <w:b w:val="false"/>
                <w:sz w:val="21"/>
              </w:rPr>
              <w:t>New Haven, Connecticut</w:t>
            </w:r>
          </w:p>
        </w:tc>
      </w:tr>
      <w:tr>
        <w:trPr>
          <w:trHeight w:val="882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  <w:t>Master’s degree in Business Administration (MBA), 2001.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360"/>
                <w:tab w:val="left" w:pos="180" w:leader="none"/>
              </w:tabs>
              <w:ind w:hanging="720" w:start="720" w:end="0"/>
              <w:rPr>
                <w:sz w:val="21"/>
              </w:rPr>
            </w:pPr>
            <w:r>
              <w:rPr>
                <w:sz w:val="21"/>
              </w:rPr>
              <w:t>Focus in Finance. GMAT: 710 (top 3%).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360"/>
                <w:tab w:val="left" w:pos="180" w:leader="none"/>
              </w:tabs>
              <w:ind w:hanging="720" w:start="720" w:end="0"/>
              <w:rPr>
                <w:sz w:val="21"/>
              </w:rPr>
            </w:pPr>
            <w:r>
              <w:rPr>
                <w:sz w:val="21"/>
              </w:rPr>
              <w:t>Teaching Assistant for Strategic Environment of Management.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360"/>
                <w:tab w:val="left" w:pos="180" w:leader="none"/>
              </w:tabs>
              <w:ind w:hanging="720" w:start="720" w:end="0"/>
              <w:rPr>
                <w:sz w:val="21"/>
              </w:rPr>
            </w:pPr>
            <w:r>
              <w:rPr>
                <w:sz w:val="21"/>
              </w:rPr>
              <w:t>Special interest in Structured Finance and Corporate Finance.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sz w:val="21"/>
              </w:rPr>
            </w:pPr>
            <w:r>
              <w:rPr>
                <w:sz w:val="21"/>
              </w:rPr>
              <w:t xml:space="preserve">Universidad Metropolitana  </w:t>
            </w:r>
            <w:r>
              <w:rPr>
                <w:b w:val="false"/>
                <w:sz w:val="21"/>
              </w:rPr>
              <w:t>Caracas, Venezuela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Normal"/>
              <w:jc w:val="both"/>
              <w:rPr>
                <w:sz w:val="21"/>
              </w:rPr>
            </w:pPr>
            <w:r>
              <w:rPr>
                <w:sz w:val="21"/>
              </w:rPr>
              <w:t>Bachelor of Science in Business Administration (BS), 1996.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360"/>
                <w:tab w:val="left" w:pos="180" w:leader="none"/>
              </w:tabs>
              <w:jc w:val="both"/>
              <w:rPr>
                <w:sz w:val="21"/>
              </w:rPr>
            </w:pPr>
            <w:r>
              <w:rPr>
                <w:sz w:val="21"/>
              </w:rPr>
              <w:t>Major in Banking and Finance.</w:t>
            </w:r>
          </w:p>
        </w:tc>
      </w:tr>
      <w:tr>
        <w:trPr>
          <w:trHeight w:val="468" w:hRule="atLeast"/>
        </w:trPr>
        <w:tc>
          <w:tcPr>
            <w:tcW w:w="10512" w:type="dxa"/>
            <w:gridSpan w:val="3"/>
            <w:tcBorders/>
          </w:tcPr>
          <w:p>
            <w:pPr>
              <w:pStyle w:val="SectionTitle"/>
              <w:spacing w:before="220" w:after="0"/>
              <w:rPr>
                <w:sz w:val="21"/>
              </w:rPr>
            </w:pPr>
            <w:r>
              <w:rPr>
                <w:sz w:val="21"/>
              </w:rPr>
              <w:t>Experience</w:t>
            </w:r>
          </w:p>
        </w:tc>
      </w:tr>
      <w:tr>
        <w:trPr>
          <w:trHeight w:val="423" w:hRule="atLeast"/>
        </w:trPr>
        <w:tc>
          <w:tcPr>
            <w:tcW w:w="1332" w:type="dxa"/>
            <w:tcBorders/>
          </w:tcPr>
          <w:p>
            <w:pPr>
              <w:pStyle w:val="DatewithSpace"/>
              <w:spacing w:before="120" w:after="0"/>
              <w:rPr>
                <w:sz w:val="20"/>
              </w:rPr>
            </w:pPr>
            <w:r>
              <w:rPr>
                <w:sz w:val="20"/>
              </w:rPr>
              <w:t>Summer 2000</w:t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b w:val="false"/>
                <w:sz w:val="20"/>
              </w:rPr>
            </w:pPr>
            <w:r>
              <w:rPr>
                <w:sz w:val="21"/>
              </w:rPr>
              <w:t xml:space="preserve">Goldman, Sachs &amp; Co.   </w:t>
            </w:r>
            <w:r>
              <w:rPr>
                <w:b w:val="false"/>
                <w:sz w:val="21"/>
              </w:rPr>
              <w:t>New York, New York</w:t>
            </w:r>
          </w:p>
        </w:tc>
      </w:tr>
      <w:tr>
        <w:trPr>
          <w:trHeight w:val="297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rPr/>
            </w:pPr>
            <w:r>
              <w:rPr>
                <w:sz w:val="21"/>
              </w:rPr>
              <w:t xml:space="preserve">Summer Associate, </w:t>
            </w:r>
            <w:r>
              <w:rPr>
                <w:i w:val="false"/>
                <w:sz w:val="21"/>
              </w:rPr>
              <w:t>Equities Division</w:t>
            </w:r>
          </w:p>
        </w:tc>
      </w:tr>
      <w:tr>
        <w:trPr>
          <w:trHeight w:val="1125" w:hRule="atLeast"/>
        </w:trPr>
        <w:tc>
          <w:tcPr>
            <w:tcW w:w="1332" w:type="dxa"/>
            <w:tcBorders/>
          </w:tcPr>
          <w:p>
            <w:pPr>
              <w:pStyle w:val="DatewithSpace"/>
              <w:snapToGrid w:val="false"/>
              <w:spacing w:before="120" w:after="0"/>
              <w:rPr>
                <w:b/>
                <w:i w:val="false"/>
                <w:i w:val="false"/>
                <w:color w:val="000000"/>
                <w:sz w:val="21"/>
              </w:rPr>
            </w:pPr>
            <w:r>
              <w:rPr>
                <w:b/>
                <w:i w:val="false"/>
                <w:color w:val="000000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180" w:leader="none"/>
              </w:tabs>
              <w:ind w:hanging="180" w:start="180" w:end="0"/>
              <w:rPr>
                <w:sz w:val="21"/>
              </w:rPr>
            </w:pPr>
            <w:r>
              <w:rPr>
                <w:sz w:val="21"/>
              </w:rPr>
              <w:t>Participated in rotational program through each major area of the Equities Division. Majored in Trading and Sales Trading functions, with primary interests in international shares and derivatives trading.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360"/>
                <w:tab w:val="left" w:pos="180" w:leader="none"/>
              </w:tabs>
              <w:ind w:hanging="180" w:start="180" w:end="0"/>
              <w:rPr/>
            </w:pPr>
            <w:r>
              <w:rPr>
                <w:sz w:val="21"/>
              </w:rPr>
              <w:t>Completed projects on: selection criteria for major stock indexes; calculations of interest rates implied in FX futures and forwards prices; and new business opportunities with U.S. blue chip companies.</w:t>
            </w:r>
          </w:p>
        </w:tc>
      </w:tr>
      <w:tr>
        <w:trPr>
          <w:trHeight w:val="450" w:hRule="atLeast"/>
        </w:trPr>
        <w:tc>
          <w:tcPr>
            <w:tcW w:w="1332" w:type="dxa"/>
            <w:tcBorders/>
          </w:tcPr>
          <w:p>
            <w:pPr>
              <w:pStyle w:val="DatewithSpace"/>
              <w:spacing w:before="120" w:after="0"/>
              <w:rPr>
                <w:sz w:val="21"/>
              </w:rPr>
            </w:pPr>
            <w:r>
              <w:rPr>
                <w:sz w:val="21"/>
              </w:rPr>
              <w:t>1999</w:t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sz w:val="21"/>
              </w:rPr>
            </w:pPr>
            <w:r>
              <w:rPr>
                <w:sz w:val="21"/>
              </w:rPr>
              <w:t xml:space="preserve">Salcedo Thielen &amp; Asociados Mercado de Capitales  </w:t>
            </w:r>
            <w:r>
              <w:rPr>
                <w:b w:val="false"/>
                <w:sz w:val="21"/>
              </w:rPr>
              <w:t>Caracas, Venezuela</w:t>
            </w:r>
          </w:p>
        </w:tc>
      </w:tr>
      <w:tr>
        <w:trPr>
          <w:trHeight w:val="270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rPr>
                <w:sz w:val="21"/>
              </w:rPr>
            </w:pPr>
            <w:r>
              <w:rPr>
                <w:sz w:val="21"/>
              </w:rPr>
              <w:t xml:space="preserve">Fixed Income Head Trader, </w:t>
            </w:r>
            <w:r>
              <w:rPr>
                <w:i w:val="false"/>
                <w:sz w:val="21"/>
              </w:rPr>
              <w:t>Trading Division</w:t>
            </w:r>
          </w:p>
        </w:tc>
      </w:tr>
      <w:tr>
        <w:trPr>
          <w:trHeight w:val="1188" w:hRule="atLeast"/>
        </w:trPr>
        <w:tc>
          <w:tcPr>
            <w:tcW w:w="1332" w:type="dxa"/>
            <w:tcBorders/>
          </w:tcPr>
          <w:p>
            <w:pPr>
              <w:pStyle w:val="DatewithSpace"/>
              <w:snapToGrid w:val="false"/>
              <w:spacing w:before="0" w:after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</w:r>
          </w:p>
          <w:p>
            <w:pPr>
              <w:pStyle w:val="DatewithSpace"/>
              <w:spacing w:before="0" w:after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</w:r>
          </w:p>
          <w:p>
            <w:pPr>
              <w:pStyle w:val="DatewithSpace"/>
              <w:spacing w:before="0" w:after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</w:r>
          </w:p>
          <w:p>
            <w:pPr>
              <w:pStyle w:val="DatewithSpace"/>
              <w:spacing w:before="0" w:after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4"/>
              </w:numPr>
              <w:tabs>
                <w:tab w:val="clear" w:pos="216"/>
              </w:tabs>
              <w:ind w:hanging="180" w:start="180" w:end="0"/>
              <w:rPr>
                <w:sz w:val="21"/>
              </w:rPr>
            </w:pPr>
            <w:r>
              <w:rPr>
                <w:color w:val="000000"/>
                <w:sz w:val="21"/>
              </w:rPr>
              <w:t xml:space="preserve">Started the Fixed Income trading desk; recruited a four-member team of traders, designed procedures, and </w:t>
            </w:r>
            <w:r>
              <w:rPr>
                <w:sz w:val="21"/>
              </w:rPr>
              <w:t>coordinated institutional relationships with market participants.</w:t>
            </w:r>
          </w:p>
          <w:p>
            <w:pPr>
              <w:pStyle w:val="Bulletedlist"/>
              <w:numPr>
                <w:ilvl w:val="0"/>
                <w:numId w:val="4"/>
              </w:numPr>
              <w:tabs>
                <w:tab w:val="clear" w:pos="216"/>
              </w:tabs>
              <w:ind w:hanging="180" w:start="180" w:end="0"/>
              <w:rPr>
                <w:color w:val="000000"/>
                <w:sz w:val="21"/>
              </w:rPr>
            </w:pPr>
            <w:r>
              <w:rPr>
                <w:sz w:val="21"/>
              </w:rPr>
              <w:t>Managed proprietory positions with discretion up to $2MM. Generated monthly revenues of $30K.</w:t>
            </w:r>
          </w:p>
          <w:p>
            <w:pPr>
              <w:pStyle w:val="DatewithSpace"/>
              <w:numPr>
                <w:ilvl w:val="0"/>
                <w:numId w:val="4"/>
              </w:numPr>
              <w:tabs>
                <w:tab w:val="clear" w:pos="360"/>
              </w:tabs>
              <w:spacing w:before="0" w:after="0"/>
              <w:ind w:hanging="180" w:start="180" w:end="0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Planned, coordinated, and directed the daily activities of the Fixed Income trading desk.</w:t>
            </w:r>
          </w:p>
          <w:p>
            <w:pPr>
              <w:pStyle w:val="Bulletedlist"/>
              <w:numPr>
                <w:ilvl w:val="0"/>
                <w:numId w:val="4"/>
              </w:numPr>
              <w:tabs>
                <w:tab w:val="clear" w:pos="216"/>
                <w:tab w:val="left" w:pos="0" w:leader="none"/>
              </w:tabs>
              <w:ind w:hanging="180" w:start="180" w:end="0"/>
              <w:rPr>
                <w:color w:val="000000"/>
              </w:rPr>
            </w:pPr>
            <w:r>
              <w:rPr>
                <w:color w:val="000000"/>
                <w:sz w:val="21"/>
              </w:rPr>
              <w:t>Specialized in trading Venezuelan U.S.$ denominated sovereign debt and domestic securities.</w:t>
            </w:r>
          </w:p>
        </w:tc>
      </w:tr>
      <w:tr>
        <w:trPr>
          <w:trHeight w:val="405" w:hRule="atLeast"/>
        </w:trPr>
        <w:tc>
          <w:tcPr>
            <w:tcW w:w="1332" w:type="dxa"/>
            <w:tcBorders/>
          </w:tcPr>
          <w:p>
            <w:pPr>
              <w:pStyle w:val="DatewithSpace"/>
              <w:spacing w:before="120" w:after="0"/>
              <w:rPr>
                <w:sz w:val="21"/>
              </w:rPr>
            </w:pPr>
            <w:r>
              <w:rPr>
                <w:sz w:val="21"/>
              </w:rPr>
              <w:t>1997-1998</w:t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/>
            </w:pPr>
            <w:r>
              <w:rPr>
                <w:sz w:val="21"/>
              </w:rPr>
              <w:t>Banco Industrial de Venezuela</w:t>
            </w:r>
            <w:r>
              <w:rPr>
                <w:b w:val="false"/>
                <w:sz w:val="21"/>
              </w:rPr>
              <w:t xml:space="preserve">  New York, New York</w:t>
            </w:r>
            <w:r>
              <w:rPr>
                <w:sz w:val="21"/>
              </w:rPr>
              <w:t xml:space="preserve"> </w:t>
            </w:r>
          </w:p>
        </w:tc>
      </w:tr>
      <w:tr>
        <w:trPr>
          <w:trHeight w:val="297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spacing w:before="80" w:after="0"/>
              <w:rPr>
                <w:sz w:val="21"/>
              </w:rPr>
            </w:pPr>
            <w:r>
              <w:rPr>
                <w:sz w:val="21"/>
              </w:rPr>
              <w:t xml:space="preserve">Credit Analyst, </w:t>
            </w:r>
            <w:r>
              <w:rPr>
                <w:i w:val="false"/>
                <w:sz w:val="21"/>
              </w:rPr>
              <w:t xml:space="preserve">Credit Department </w:t>
            </w:r>
          </w:p>
        </w:tc>
      </w:tr>
      <w:tr>
        <w:trPr>
          <w:trHeight w:val="1377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2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>Performed credit analysis and risk assessment of corporate clients and correspondent banks.</w:t>
            </w:r>
          </w:p>
          <w:p>
            <w:pPr>
              <w:pStyle w:val="Bulletedlist"/>
              <w:numPr>
                <w:ilvl w:val="0"/>
                <w:numId w:val="2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>Increased the Agency’s portfolio from $1M to $67MM. Key achievements: Analyzed Bank’s $33MM participation in U.S. syndicated loans to Venezuelan corporations.</w:t>
            </w:r>
          </w:p>
          <w:p>
            <w:pPr>
              <w:pStyle w:val="Bulletedlist"/>
              <w:numPr>
                <w:ilvl w:val="0"/>
                <w:numId w:val="5"/>
              </w:numPr>
              <w:rPr>
                <w:sz w:val="21"/>
              </w:rPr>
            </w:pPr>
            <w:r>
              <w:rPr>
                <w:sz w:val="21"/>
              </w:rPr>
              <w:t>Managed relationship with the Federal Reserve Bank’s auditors pertaining to credit policies, credit risk assessment, and credit documentation. Obtained Satisfactory-rating for credit department.</w:t>
            </w:r>
          </w:p>
        </w:tc>
      </w:tr>
      <w:tr>
        <w:trPr>
          <w:trHeight w:val="270" w:hRule="exact"/>
        </w:trPr>
        <w:tc>
          <w:tcPr>
            <w:tcW w:w="1332" w:type="dxa"/>
            <w:tcBorders/>
          </w:tcPr>
          <w:p>
            <w:pPr>
              <w:pStyle w:val="DatewithSpace"/>
              <w:snapToGrid w:val="false"/>
              <w:spacing w:before="120" w:after="0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rPr>
                <w:sz w:val="21"/>
              </w:rPr>
            </w:pPr>
            <w:r>
              <w:rPr>
                <w:sz w:val="21"/>
              </w:rPr>
              <w:t xml:space="preserve">Assistant to Treasurer, </w:t>
            </w:r>
            <w:r>
              <w:rPr>
                <w:i w:val="false"/>
                <w:sz w:val="21"/>
              </w:rPr>
              <w:t>Treasury Department</w:t>
            </w:r>
          </w:p>
        </w:tc>
      </w:tr>
      <w:tr>
        <w:trPr>
          <w:trHeight w:val="603" w:hRule="atLeast"/>
        </w:trPr>
        <w:tc>
          <w:tcPr>
            <w:tcW w:w="1332" w:type="dxa"/>
            <w:tcBorders/>
          </w:tcPr>
          <w:p>
            <w:pPr>
              <w:pStyle w:val="DatewithSpace"/>
              <w:snapToGrid w:val="false"/>
              <w:spacing w:before="120" w:after="0"/>
              <w:rPr>
                <w:color w:val="0000FF"/>
                <w:sz w:val="21"/>
              </w:rPr>
            </w:pPr>
            <w:r>
              <w:rPr>
                <w:color w:val="0000FF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5"/>
              </w:numPr>
              <w:rPr>
                <w:sz w:val="21"/>
              </w:rPr>
            </w:pPr>
            <w:r>
              <w:rPr>
                <w:sz w:val="21"/>
              </w:rPr>
              <w:t>Assisted in managing the investment portfolio of sovereign and corporate bonds averaging $150MM.</w:t>
            </w:r>
          </w:p>
          <w:p>
            <w:pPr>
              <w:pStyle w:val="Bulletedlist"/>
              <w:numPr>
                <w:ilvl w:val="0"/>
                <w:numId w:val="5"/>
              </w:numPr>
              <w:rPr>
                <w:sz w:val="21"/>
              </w:rPr>
            </w:pPr>
            <w:r>
              <w:rPr>
                <w:sz w:val="21"/>
              </w:rPr>
              <w:t>Monitored the Agency’s liquidity needs and placed daily interbank deposits.</w:t>
            </w:r>
          </w:p>
        </w:tc>
      </w:tr>
      <w:tr>
        <w:trPr>
          <w:trHeight w:val="405" w:hRule="atLeast"/>
        </w:trPr>
        <w:tc>
          <w:tcPr>
            <w:tcW w:w="1332" w:type="dxa"/>
            <w:tcBorders/>
          </w:tcPr>
          <w:p>
            <w:pPr>
              <w:pStyle w:val="DatewithSpace"/>
              <w:spacing w:before="120" w:after="0"/>
              <w:rPr>
                <w:sz w:val="21"/>
              </w:rPr>
            </w:pPr>
            <w:r>
              <w:rPr>
                <w:sz w:val="21"/>
              </w:rPr>
              <w:t>1994-1996</w:t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sz w:val="21"/>
              </w:rPr>
            </w:pPr>
            <w:r>
              <w:rPr>
                <w:sz w:val="21"/>
              </w:rPr>
              <w:t xml:space="preserve">Multinvest Operadora de Bolsa  </w:t>
            </w:r>
            <w:r>
              <w:rPr>
                <w:b w:val="false"/>
                <w:sz w:val="21"/>
              </w:rPr>
              <w:t>Caracas, Venezuela</w:t>
            </w:r>
          </w:p>
        </w:tc>
      </w:tr>
      <w:tr>
        <w:trPr>
          <w:trHeight w:val="270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rPr>
                <w:sz w:val="21"/>
              </w:rPr>
            </w:pPr>
            <w:r>
              <w:rPr>
                <w:sz w:val="21"/>
              </w:rPr>
              <w:t xml:space="preserve">Equities &amp; Fixed Income Trader, </w:t>
            </w:r>
            <w:r>
              <w:rPr>
                <w:i w:val="false"/>
                <w:sz w:val="21"/>
              </w:rPr>
              <w:t>Trading Division</w:t>
            </w:r>
          </w:p>
        </w:tc>
      </w:tr>
      <w:tr>
        <w:trPr>
          <w:trHeight w:val="855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2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>Advised and managed individual trading accounts with minimum balances of $500K.</w:t>
            </w:r>
          </w:p>
          <w:p>
            <w:pPr>
              <w:pStyle w:val="Bulletedlist"/>
              <w:numPr>
                <w:ilvl w:val="0"/>
                <w:numId w:val="8"/>
              </w:numPr>
              <w:rPr>
                <w:sz w:val="21"/>
              </w:rPr>
            </w:pPr>
            <w:r>
              <w:rPr>
                <w:sz w:val="21"/>
              </w:rPr>
              <w:t>Led a 15-member selling team for the IPO of CANTV’s shares (Venezuela’s largest IPO</w:t>
            </w:r>
          </w:p>
          <w:p>
            <w:pPr>
              <w:pStyle w:val="Bulletedlist"/>
              <w:numPr>
                <w:ilvl w:val="0"/>
                <w:numId w:val="0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>
              <w:rPr>
                <w:sz w:val="21"/>
              </w:rPr>
              <w:t>to date). Participated in the roadshows for four other major listed companies.</w:t>
            </w:r>
          </w:p>
        </w:tc>
      </w:tr>
      <w:tr>
        <w:trPr>
          <w:trHeight w:val="405" w:hRule="atLeast"/>
        </w:trPr>
        <w:tc>
          <w:tcPr>
            <w:tcW w:w="1332" w:type="dxa"/>
            <w:tcBorders/>
          </w:tcPr>
          <w:p>
            <w:pPr>
              <w:pStyle w:val="DatewithSpace"/>
              <w:spacing w:before="120" w:after="0"/>
              <w:rPr>
                <w:sz w:val="21"/>
              </w:rPr>
            </w:pPr>
            <w:r>
              <w:rPr>
                <w:sz w:val="21"/>
              </w:rPr>
              <w:t>Summer 1995</w:t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Institution"/>
              <w:spacing w:before="120" w:after="0"/>
              <w:rPr>
                <w:sz w:val="21"/>
              </w:rPr>
            </w:pPr>
            <w:r>
              <w:rPr>
                <w:sz w:val="21"/>
              </w:rPr>
              <w:t xml:space="preserve">Smith Barney Inc.  </w:t>
            </w:r>
            <w:r>
              <w:rPr>
                <w:b w:val="false"/>
                <w:sz w:val="21"/>
              </w:rPr>
              <w:t>Boston, Massachusetts</w:t>
            </w:r>
          </w:p>
        </w:tc>
      </w:tr>
      <w:tr>
        <w:trPr>
          <w:trHeight w:val="270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color w:val="0000FF"/>
                <w:sz w:val="21"/>
              </w:rPr>
            </w:pPr>
            <w:r>
              <w:rPr>
                <w:color w:val="0000FF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JobTitle"/>
              <w:rPr>
                <w:sz w:val="21"/>
              </w:rPr>
            </w:pPr>
            <w:r>
              <w:rPr>
                <w:sz w:val="21"/>
              </w:rPr>
              <w:t>Summer Intern</w:t>
            </w:r>
          </w:p>
        </w:tc>
      </w:tr>
      <w:tr>
        <w:trPr/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color w:val="FF0000"/>
                <w:sz w:val="21"/>
              </w:rPr>
            </w:pPr>
            <w:r>
              <w:rPr>
                <w:color w:val="FF0000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7"/>
              </w:numPr>
              <w:tabs>
                <w:tab w:val="clear" w:pos="216"/>
                <w:tab w:val="left" w:pos="180" w:leader="none"/>
              </w:tabs>
              <w:ind w:hanging="180" w:start="180" w:end="0"/>
              <w:rPr>
                <w:sz w:val="21"/>
              </w:rPr>
            </w:pPr>
            <w:r>
              <w:rPr>
                <w:sz w:val="21"/>
              </w:rPr>
              <w:t>Managed relationships with Latin-American institutional and individual clients.</w:t>
            </w:r>
          </w:p>
          <w:p>
            <w:pPr>
              <w:pStyle w:val="Bulletedlist"/>
              <w:numPr>
                <w:ilvl w:val="0"/>
                <w:numId w:val="7"/>
              </w:numPr>
              <w:tabs>
                <w:tab w:val="clear" w:pos="216"/>
                <w:tab w:val="left" w:pos="180" w:leader="none"/>
              </w:tabs>
              <w:ind w:hanging="180" w:start="180" w:end="0"/>
              <w:rPr>
                <w:sz w:val="21"/>
              </w:rPr>
            </w:pPr>
            <w:r>
              <w:rPr>
                <w:sz w:val="21"/>
              </w:rPr>
              <w:t xml:space="preserve">Prepared presentations, processed orders, and monitored markets. </w:t>
            </w:r>
          </w:p>
        </w:tc>
      </w:tr>
      <w:tr>
        <w:trPr>
          <w:trHeight w:val="378" w:hRule="atLeast"/>
        </w:trPr>
        <w:tc>
          <w:tcPr>
            <w:tcW w:w="10512" w:type="dxa"/>
            <w:gridSpan w:val="3"/>
            <w:tcBorders/>
          </w:tcPr>
          <w:p>
            <w:pPr>
              <w:pStyle w:val="SectionTitle"/>
              <w:spacing w:before="220" w:after="0"/>
              <w:rPr>
                <w:sz w:val="21"/>
              </w:rPr>
            </w:pPr>
            <w:r>
              <w:rPr>
                <w:sz w:val="21"/>
              </w:rPr>
              <w:t>Other</w:t>
            </w:r>
          </w:p>
        </w:tc>
      </w:tr>
      <w:tr>
        <w:trPr>
          <w:trHeight w:val="378" w:hRule="atLeast"/>
        </w:trPr>
        <w:tc>
          <w:tcPr>
            <w:tcW w:w="1332" w:type="dxa"/>
            <w:tcBorders/>
          </w:tcPr>
          <w:p>
            <w:pPr>
              <w:pStyle w:val="Normal"/>
              <w:snapToGrid w:val="false"/>
              <w:rPr>
                <w:color w:val="0000FF"/>
                <w:sz w:val="21"/>
              </w:rPr>
            </w:pPr>
            <w:r>
              <w:rPr>
                <w:color w:val="0000FF"/>
                <w:sz w:val="21"/>
              </w:rPr>
            </w:r>
          </w:p>
        </w:tc>
        <w:tc>
          <w:tcPr>
            <w:tcW w:w="9180" w:type="dxa"/>
            <w:gridSpan w:val="2"/>
            <w:tcBorders/>
          </w:tcPr>
          <w:p>
            <w:pPr>
              <w:pStyle w:val="Bulletedlist"/>
              <w:numPr>
                <w:ilvl w:val="0"/>
                <w:numId w:val="2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>Fluent in English and Italian. Native Spanish speaker. Intermediate French.</w:t>
            </w:r>
          </w:p>
          <w:p>
            <w:pPr>
              <w:pStyle w:val="Bulletedlist"/>
              <w:numPr>
                <w:ilvl w:val="0"/>
                <w:numId w:val="2"/>
              </w:numPr>
              <w:ind w:hanging="0" w:start="0"/>
              <w:rPr>
                <w:sz w:val="21"/>
              </w:rPr>
            </w:pPr>
            <w:r>
              <w:rPr>
                <w:sz w:val="21"/>
              </w:rPr>
              <w:t>Dual citizenship Venezuelan / Italian.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w="12240" w:h="15840"/>
      <w:pgMar w:left="1008" w:right="720" w:gutter="0" w:header="965" w:top="1021" w:footer="0" w:bottom="3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40"/>
      <w:rPr/>
    </w:pP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216" w:hanging="216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tLeast" w:line="240" w:before="240" w:after="240"/>
      <w:ind w:hanging="0" w:start="-2160" w:end="0"/>
      <w:outlineLvl w:val="0"/>
    </w:pPr>
    <w:rPr>
      <w:caps/>
      <w:spacing w:val="20"/>
      <w:kern w:val="2"/>
      <w:sz w:val="23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tLeast" w:line="240" w:before="240" w:after="240"/>
      <w:outlineLvl w:val="1"/>
    </w:pPr>
    <w:rPr>
      <w:caps/>
      <w:spacing w:val="5"/>
      <w:sz w:val="20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 w:before="240" w:after="220"/>
      <w:outlineLvl w:val="2"/>
    </w:pPr>
    <w:rPr>
      <w:i/>
      <w:caps/>
      <w:spacing w:val="-2"/>
      <w:sz w:val="2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 w:before="240" w:after="0"/>
      <w:outlineLvl w:val="3"/>
    </w:pPr>
    <w:rPr>
      <w:i/>
      <w:spacing w:val="5"/>
      <w:sz w:val="24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 w:before="240" w:after="220"/>
      <w:outlineLvl w:val="4"/>
    </w:pPr>
    <w:rPr>
      <w:b/>
      <w:caps/>
      <w:spacing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tLeast" w:line="240" w:before="120" w:after="0"/>
      <w:outlineLvl w:val="5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  <w:sz w:val="12"/>
    </w:rPr>
  </w:style>
  <w:style w:type="character" w:styleId="WW8NumSt3z0">
    <w:name w:val="WW8NumSt3z0"/>
    <w:qFormat/>
    <w:rPr>
      <w:rFonts w:ascii="Wingdings" w:hAnsi="Wingdings" w:cs="Wingdings"/>
      <w:sz w:val="12"/>
    </w:rPr>
  </w:style>
  <w:style w:type="character" w:styleId="WW8NumSt4z0">
    <w:name w:val="WW8NumSt4z0"/>
    <w:qFormat/>
    <w:rPr>
      <w:rFonts w:ascii="Wingdings" w:hAnsi="Wingdings" w:cs="Wingdings"/>
      <w:sz w:val="12"/>
    </w:rPr>
  </w:style>
  <w:style w:type="character" w:styleId="WW8NumSt5z0">
    <w:name w:val="WW8NumSt5z0"/>
    <w:qFormat/>
    <w:rPr>
      <w:rFonts w:ascii="Wingdings" w:hAnsi="Wingdings" w:cs="Wingdings"/>
      <w:sz w:val="12"/>
    </w:rPr>
  </w:style>
  <w:style w:type="character" w:styleId="WW8NumSt6z0">
    <w:name w:val="WW8NumSt6z0"/>
    <w:qFormat/>
    <w:rPr>
      <w:rFonts w:ascii="Wingdings" w:hAnsi="Wingdings" w:cs="Wingdings"/>
      <w:sz w:val="12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  <w:sz w:val="12"/>
    </w:rPr>
  </w:style>
  <w:style w:type="character" w:styleId="WW8NumSt9z0">
    <w:name w:val="WW8NumSt9z0"/>
    <w:qFormat/>
    <w:rPr>
      <w:rFonts w:ascii="Wingdings" w:hAnsi="Wingdings" w:cs="Wingdings"/>
      <w:sz w:val="12"/>
    </w:rPr>
  </w:style>
  <w:style w:type="character" w:styleId="WW8NumSt10z0">
    <w:name w:val="WW8NumSt10z0"/>
    <w:qFormat/>
    <w:rPr>
      <w:rFonts w:ascii="Wingdings" w:hAnsi="Wingdings" w:cs="Wingdings"/>
      <w:sz w:val="12"/>
    </w:rPr>
  </w:style>
  <w:style w:type="character" w:styleId="WW8NumSt11z0">
    <w:name w:val="WW8NumSt11z0"/>
    <w:qFormat/>
    <w:rPr>
      <w:rFonts w:ascii="Wingdings" w:hAnsi="Wingdings" w:cs="Wingdings"/>
      <w:sz w:val="12"/>
    </w:rPr>
  </w:style>
  <w:style w:type="character" w:styleId="WW8NumSt12z0">
    <w:name w:val="WW8NumSt12z0"/>
    <w:qFormat/>
    <w:rPr>
      <w:rFonts w:ascii="Times" w:hAnsi="Times" w:cs="Times"/>
      <w:sz w:val="12"/>
    </w:rPr>
  </w:style>
  <w:style w:type="character" w:styleId="WW8NumSt13z0">
    <w:name w:val="WW8NumSt13z0"/>
    <w:qFormat/>
    <w:rPr>
      <w:rFonts w:ascii="Tms Rmn" w:hAnsi="Tms Rmn" w:cs="Tms Rmn"/>
      <w:sz w:val="16"/>
    </w:rPr>
  </w:style>
  <w:style w:type="character" w:styleId="WW8NumSt14z0">
    <w:name w:val="WW8NumSt14z0"/>
    <w:qFormat/>
    <w:rPr>
      <w:rFonts w:ascii="Tms Rmn" w:hAnsi="Tms Rmn" w:cs="Tms Rmn"/>
      <w:sz w:val="12"/>
    </w:rPr>
  </w:style>
  <w:style w:type="character" w:styleId="WW8NumSt15z0">
    <w:name w:val="WW8NumSt15z0"/>
    <w:qFormat/>
    <w:rPr>
      <w:rFonts w:ascii="Tms Rmn" w:hAnsi="Tms Rmn" w:cs="Tms Rmn"/>
      <w:sz w:val="12"/>
    </w:rPr>
  </w:style>
  <w:style w:type="character" w:styleId="WW8NumSt16z0">
    <w:name w:val="WW8NumSt16z0"/>
    <w:qFormat/>
    <w:rPr>
      <w:rFonts w:ascii="Tms Rmn" w:hAnsi="Tms Rmn" w:cs="Tms Rmn"/>
      <w:sz w:val="12"/>
    </w:rPr>
  </w:style>
  <w:style w:type="character" w:styleId="WW8NumSt17z0">
    <w:name w:val="WW8NumSt17z0"/>
    <w:qFormat/>
    <w:rPr>
      <w:rFonts w:ascii="Tms Rmn" w:hAnsi="Tms Rmn" w:cs="Tms Rmn"/>
      <w:sz w:val="12"/>
    </w:rPr>
  </w:style>
  <w:style w:type="character" w:styleId="WW8NumSt28z0">
    <w:name w:val="WW8NumSt28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tionTitle">
    <w:name w:val="Section Title"/>
    <w:basedOn w:val="Normal"/>
    <w:next w:val="Normal"/>
    <w:qFormat/>
    <w:pPr>
      <w:pBdr>
        <w:bottom w:val="single" w:sz="6" w:space="1" w:color="808080"/>
      </w:pBdr>
      <w:spacing w:lineRule="atLeast" w:line="220" w:before="220" w:after="0"/>
    </w:pPr>
    <w:rPr>
      <w:b/>
    </w:rPr>
  </w:style>
  <w:style w:type="paragraph" w:styleId="JobTitle">
    <w:name w:val="Job Title"/>
    <w:next w:val="Normal"/>
    <w:qFormat/>
    <w:pPr>
      <w:widowControl/>
      <w:bidi w:val="0"/>
      <w:spacing w:lineRule="atLeast" w:line="220"/>
    </w:pPr>
    <w:rPr>
      <w:rFonts w:ascii="Times New Roman" w:hAnsi="Times New Roman" w:eastAsia="Times New Roman" w:cs="Times New Roman"/>
      <w:i/>
      <w:color w:val="auto"/>
      <w:sz w:val="22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spacing w:before="0" w:after="120"/>
    </w:pPr>
    <w:rPr>
      <w:b/>
      <w:sz w:val="26"/>
    </w:rPr>
  </w:style>
  <w:style w:type="paragraph" w:styleId="Institution">
    <w:name w:val="Institution"/>
    <w:basedOn w:val="Normal"/>
    <w:next w:val="Normal"/>
    <w:qFormat/>
    <w:pPr>
      <w:tabs>
        <w:tab w:val="clear" w:pos="360"/>
        <w:tab w:val="left" w:pos="1440" w:leader="none"/>
        <w:tab w:val="right" w:pos="6480" w:leader="none"/>
      </w:tabs>
      <w:spacing w:before="120" w:after="0"/>
    </w:pPr>
    <w:rPr>
      <w:b/>
    </w:rPr>
  </w:style>
  <w:style w:type="paragraph" w:styleId="DatewithSpace">
    <w:name w:val="Date with Space"/>
    <w:basedOn w:val="Normal"/>
    <w:qFormat/>
    <w:pPr>
      <w:spacing w:before="120" w:after="0"/>
    </w:pPr>
    <w:rPr/>
  </w:style>
  <w:style w:type="paragraph" w:styleId="Bulletedlist">
    <w:name w:val="Bulleted list"/>
    <w:basedOn w:val="Normal"/>
    <w:qFormat/>
    <w:pPr>
      <w:numPr>
        <w:ilvl w:val="0"/>
        <w:numId w:val="2"/>
      </w:numPr>
      <w:tabs>
        <w:tab w:val="clear" w:pos="360"/>
        <w:tab w:val="left" w:pos="21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scar.stefani@yale.edu" TargetMode="External"/><Relationship Id="rId3" Type="http://schemas.openxmlformats.org/officeDocument/2006/relationships/hyperlink" Target="mailto:oss1996@hot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SOM Resume.dot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2001-08-20T18:15:00Z</dcterms:created>
  <dc:creator>Class of 2001</dc:creator>
  <dc:description/>
  <dc:language>en-CA</dc:language>
  <cp:lastModifiedBy>Class of 2001</cp:lastModifiedBy>
  <cp:lastPrinted>2001-08-20T16:44:00Z</cp:lastPrinted>
  <dcterms:modified xsi:type="dcterms:W3CDTF">2001-08-20T18:15:00Z</dcterms:modified>
  <cp:revision>2</cp:revision>
  <dc:subject/>
  <dc:title>SOM Resume</dc:title>
</cp:coreProperties>
</file>