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embeddings/oleObject1.bin" ContentType="application/vnd.openxmlformats-officedocument.oleObject"/>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sz w:val="22"/>
        </w:rPr>
      </w:pPr>
      <w:r>
        <w:rPr>
          <w:rFonts w:cs="Arial" w:ascii="Arial" w:hAnsi="Arial"/>
          <w:sz w:val="22"/>
        </w:rPr>
        <w:t>November 17, 2000</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rFonts w:ascii="Arial" w:hAnsi="Arial" w:cs="Arial"/>
          <w:sz w:val="22"/>
        </w:rPr>
      </w:pPr>
      <w:r>
        <w:rPr>
          <w:rFonts w:cs="Arial" w:ascii="Arial" w:hAnsi="Arial"/>
          <w:sz w:val="22"/>
        </w:rPr>
        <w:t>Ormet Primary Aluminum Corporation</w:t>
      </w:r>
    </w:p>
    <w:p>
      <w:pPr>
        <w:pStyle w:val="Normal"/>
        <w:jc w:val="both"/>
        <w:rPr>
          <w:rFonts w:ascii="Arial" w:hAnsi="Arial" w:cs="Arial"/>
          <w:sz w:val="22"/>
        </w:rPr>
      </w:pPr>
      <w:r>
        <w:rPr>
          <w:rFonts w:cs="Arial" w:ascii="Arial" w:hAnsi="Arial"/>
          <w:sz w:val="22"/>
        </w:rPr>
        <w:t>_____________________________</w:t>
      </w:r>
    </w:p>
    <w:p>
      <w:pPr>
        <w:pStyle w:val="Normal"/>
        <w:jc w:val="both"/>
        <w:rPr>
          <w:rFonts w:ascii="Arial" w:hAnsi="Arial" w:cs="Arial"/>
          <w:sz w:val="22"/>
        </w:rPr>
      </w:pPr>
      <w:r>
        <w:rPr>
          <w:rFonts w:cs="Arial" w:ascii="Arial" w:hAnsi="Arial"/>
          <w:sz w:val="22"/>
        </w:rPr>
        <w:t>_____________________________</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TRANSACTION AGREEMENT</w:t>
      </w:r>
    </w:p>
    <w:p>
      <w:pPr>
        <w:pStyle w:val="Normal"/>
        <w:jc w:val="both"/>
        <w:rPr>
          <w:rFonts w:ascii="Arial" w:hAnsi="Arial" w:cs="Arial"/>
          <w:b/>
          <w:sz w:val="22"/>
        </w:rPr>
      </w:pPr>
      <w:r>
        <w:rPr>
          <w:rFonts w:cs="Arial" w:ascii="Arial" w:hAnsi="Arial"/>
          <w:b/>
          <w:sz w:val="22"/>
        </w:rPr>
      </w:r>
    </w:p>
    <w:p>
      <w:pPr>
        <w:pStyle w:val="Normal"/>
        <w:ind w:end="-288"/>
        <w:jc w:val="both"/>
        <w:rPr/>
      </w:pPr>
      <w:r>
        <w:rPr>
          <w:rFonts w:cs="Arial" w:ascii="Arial" w:hAnsi="Arial"/>
          <w:sz w:val="22"/>
        </w:rPr>
        <w:t>This Transaction Agreement shall confirm the transaction agreed to and be binding between Ormet Primary Aluminum Corporation ("</w:t>
      </w:r>
      <w:r>
        <w:rPr>
          <w:rFonts w:cs="Arial" w:ascii="Arial" w:hAnsi="Arial"/>
          <w:sz w:val="22"/>
          <w:u w:val="single"/>
        </w:rPr>
        <w:t>Customer</w:t>
      </w:r>
      <w:r>
        <w:rPr>
          <w:rFonts w:cs="Arial" w:ascii="Arial" w:hAnsi="Arial"/>
          <w:sz w:val="22"/>
        </w:rPr>
        <w:t>") and Enron North America Corp. ("</w:t>
      </w:r>
      <w:r>
        <w:rPr>
          <w:rFonts w:cs="Arial" w:ascii="Arial" w:hAnsi="Arial"/>
          <w:sz w:val="22"/>
          <w:u w:val="single"/>
        </w:rPr>
        <w:t>Company</w:t>
      </w:r>
      <w:r>
        <w:rPr>
          <w:rFonts w:cs="Arial" w:ascii="Arial" w:hAnsi="Arial"/>
          <w:sz w:val="22"/>
        </w:rPr>
        <w:t>") regarding the purchase and sale of Gas on the following terms.  Customer to purchase and receive (“</w:t>
      </w:r>
      <w:r>
        <w:rPr>
          <w:rFonts w:cs="Arial" w:ascii="Arial" w:hAnsi="Arial"/>
          <w:b/>
          <w:sz w:val="22"/>
          <w:u w:val="single"/>
        </w:rPr>
        <w:t>Buyer</w:t>
      </w:r>
      <w:r>
        <w:rPr>
          <w:rFonts w:cs="Arial" w:ascii="Arial" w:hAnsi="Arial"/>
          <w:sz w:val="22"/>
        </w:rPr>
        <w:t>”) and Company to sell and deliver (“</w:t>
      </w:r>
      <w:r>
        <w:rPr>
          <w:rFonts w:cs="Arial" w:ascii="Arial" w:hAnsi="Arial"/>
          <w:b/>
          <w:sz w:val="22"/>
          <w:u w:val="single"/>
        </w:rPr>
        <w:t>Seller</w:t>
      </w:r>
      <w:r>
        <w:rPr>
          <w:rFonts w:cs="Arial" w:ascii="Arial" w:hAnsi="Arial"/>
          <w:sz w:val="22"/>
        </w:rPr>
        <w:t>”).  Transaction Number _____________.</w:t>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Normal"/>
        <w:tabs>
          <w:tab w:val="clear" w:pos="720"/>
          <w:tab w:val="left" w:pos="8640" w:leader="none"/>
        </w:tabs>
        <w:ind w:hanging="5580" w:start="5580" w:end="0"/>
        <w:jc w:val="both"/>
        <w:rPr>
          <w:rFonts w:ascii="Arial" w:hAnsi="Arial" w:cs="Arial"/>
          <w:sz w:val="22"/>
        </w:rPr>
      </w:pPr>
      <w:r>
        <w:rPr>
          <w:rFonts w:cs="Arial" w:ascii="Arial" w:hAnsi="Arial"/>
          <w:sz w:val="22"/>
        </w:rPr>
      </w:r>
    </w:p>
    <w:p>
      <w:pPr>
        <w:pStyle w:val="BodyTextIndent2"/>
        <w:ind w:hanging="3600" w:end="0"/>
        <w:rPr/>
      </w:pPr>
      <w:r>
        <w:rPr/>
        <w:t>DAILY CONTRACT QUANTITY:</w:t>
        <w:tab/>
        <w:t xml:space="preserve">This is to be a </w:t>
      </w:r>
      <w:r>
        <w:rPr>
          <w:color w:val="0000FF"/>
        </w:rPr>
        <w:t>firm</w:t>
      </w:r>
      <w:r>
        <w:rPr/>
        <w:t xml:space="preserve"> full requirements obligation subject to </w:t>
      </w:r>
      <w:r>
        <w:rPr>
          <w:color w:val="0000FF"/>
        </w:rPr>
        <w:t>the Firm Purchase/Sale Agreement and</w:t>
      </w:r>
      <w:r>
        <w:rPr/>
        <w:t xml:space="preserve"> the MinDQ and MaxDQ.</w:t>
      </w:r>
    </w:p>
    <w:p>
      <w:pPr>
        <w:pStyle w:val="BodyTextIndent"/>
        <w:tabs>
          <w:tab w:val="left" w:pos="720" w:leader="none"/>
          <w:tab w:val="left" w:pos="8640" w:leader="none"/>
        </w:tabs>
        <w:rPr/>
      </w:pPr>
      <w:r>
        <w:rPr>
          <w:b/>
          <w:sz w:val="22"/>
        </w:rPr>
        <w:tab/>
        <w:t>MinDQ:</w:t>
        <w:tab/>
      </w:r>
      <w:r>
        <w:rPr>
          <w:sz w:val="22"/>
        </w:rPr>
        <w:t>15,000 MMBtu per Day.</w:t>
      </w:r>
    </w:p>
    <w:p>
      <w:pPr>
        <w:pStyle w:val="BodyTextIndent"/>
        <w:tabs>
          <w:tab w:val="left" w:pos="720" w:leader="none"/>
          <w:tab w:val="left" w:pos="8640" w:leader="none"/>
        </w:tabs>
        <w:rPr/>
      </w:pPr>
      <w:r>
        <w:rPr>
          <w:b/>
          <w:sz w:val="22"/>
        </w:rPr>
        <w:tab/>
        <w:t>MaxDQ:</w:t>
        <w:tab/>
      </w:r>
      <w:r>
        <w:rPr>
          <w:sz w:val="22"/>
        </w:rPr>
        <w:t>22,000 MMBtu per Day.</w:t>
      </w:r>
    </w:p>
    <w:p>
      <w:pPr>
        <w:pStyle w:val="BodyTextIndent"/>
        <w:tabs>
          <w:tab w:val="left" w:pos="720" w:leader="none"/>
          <w:tab w:val="left" w:pos="8640" w:leader="none"/>
        </w:tabs>
        <w:rPr/>
      </w:pPr>
      <w:r>
        <w:rPr>
          <w:b/>
          <w:sz w:val="22"/>
        </w:rPr>
        <w:tab/>
        <w:t xml:space="preserve">DCQ:  </w:t>
      </w:r>
      <w:r>
        <w:rPr>
          <w:sz w:val="22"/>
        </w:rPr>
        <w:t xml:space="preserve"> </w:t>
        <w:tab/>
        <w:t>Not less than five (5) Days prior to the beginning of each Month, Customer shall nominate to Company its total fuel requirements for the Month, which shall be a volume between the MinDQ and the MaxDQ.  Once nominated, such volume shall be the DCQ to be Scheduled by Company and purchased by Customer for each Day during the Month.</w:t>
      </w:r>
    </w:p>
    <w:p>
      <w:pPr>
        <w:pStyle w:val="Normal"/>
        <w:tabs>
          <w:tab w:val="clear" w:pos="720"/>
          <w:tab w:val="left" w:pos="8640" w:leader="none"/>
        </w:tabs>
        <w:jc w:val="both"/>
        <w:rPr>
          <w:rFonts w:ascii="Arial" w:hAnsi="Arial" w:cs="Arial"/>
          <w:b/>
          <w:sz w:val="22"/>
        </w:rPr>
      </w:pPr>
      <w:r>
        <w:rPr>
          <w:rFonts w:cs="Arial" w:ascii="Arial" w:hAnsi="Arial"/>
          <w:b/>
          <w:sz w:val="22"/>
        </w:rPr>
      </w:r>
    </w:p>
    <w:p>
      <w:pPr>
        <w:pStyle w:val="Normal"/>
        <w:tabs>
          <w:tab w:val="clear" w:pos="720"/>
          <w:tab w:val="left" w:pos="8640" w:leader="none"/>
        </w:tabs>
        <w:ind w:hanging="3600" w:start="3600" w:end="-288"/>
        <w:jc w:val="both"/>
        <w:rPr/>
      </w:pPr>
      <w:r>
        <w:rPr>
          <w:rFonts w:cs="Arial" w:ascii="Arial" w:hAnsi="Arial"/>
          <w:b/>
          <w:sz w:val="22"/>
        </w:rPr>
        <w:t>DELIVERY POINT(S):</w:t>
      </w:r>
      <w:r>
        <w:rPr>
          <w:rFonts w:cs="Arial" w:ascii="Arial" w:hAnsi="Arial"/>
          <w:sz w:val="22"/>
        </w:rPr>
        <w:t xml:space="preserve">  </w:t>
        <w:tab/>
        <w:t>The Primary Delivery Point shall be the interconnection between Customer’s Burnside Plant facility and the Koch Gateway Pipeline system in Ascension Parish, Louisiana.</w:t>
      </w:r>
    </w:p>
    <w:p>
      <w:pPr>
        <w:pStyle w:val="Normal"/>
        <w:tabs>
          <w:tab w:val="clear" w:pos="720"/>
          <w:tab w:val="left" w:pos="8640" w:leader="none"/>
        </w:tabs>
        <w:ind w:hanging="3600" w:start="3600" w:end="-288"/>
        <w:jc w:val="both"/>
        <w:rPr>
          <w:rFonts w:ascii="Arial" w:hAnsi="Arial" w:cs="Arial"/>
          <w:b/>
          <w:sz w:val="22"/>
        </w:rPr>
      </w:pPr>
      <w:r>
        <w:rPr>
          <w:rFonts w:cs="Arial" w:ascii="Arial" w:hAnsi="Arial"/>
          <w:b/>
          <w:sz w:val="22"/>
        </w:rPr>
        <w:tab/>
      </w:r>
    </w:p>
    <w:p>
      <w:pPr>
        <w:pStyle w:val="Normal"/>
        <w:tabs>
          <w:tab w:val="clear" w:pos="720"/>
          <w:tab w:val="left" w:pos="8640" w:leader="none"/>
        </w:tabs>
        <w:ind w:hanging="3600" w:start="3600" w:end="-288"/>
        <w:jc w:val="both"/>
        <w:rPr>
          <w:rFonts w:ascii="Arial" w:hAnsi="Arial" w:cs="Arial"/>
          <w:sz w:val="22"/>
        </w:rPr>
      </w:pPr>
      <w:r>
        <w:rPr>
          <w:rFonts w:cs="Arial" w:ascii="Arial" w:hAnsi="Arial"/>
          <w:sz w:val="22"/>
        </w:rPr>
        <w:tab/>
        <w:t>The Secondary Delivery Point shall be the interconnection between Customer’s Burnside Plant facility and the Cypress Pipeline system in Ascension Parish, Louisiana.</w:t>
      </w:r>
      <w:r>
        <w:br w:type="page"/>
      </w:r>
    </w:p>
    <w:p>
      <w:pPr>
        <w:pStyle w:val="Normal"/>
        <w:tabs>
          <w:tab w:val="clear" w:pos="720"/>
          <w:tab w:val="center" w:pos="10800" w:leader="none"/>
        </w:tabs>
        <w:jc w:val="both"/>
        <w:rPr>
          <w:rFonts w:ascii="Arial" w:hAnsi="Arial" w:cs="Arial"/>
          <w:b/>
          <w:sz w:val="22"/>
        </w:rPr>
      </w:pPr>
      <w:r>
        <w:rPr>
          <w:rFonts w:cs="Arial" w:ascii="Arial" w:hAnsi="Arial"/>
          <w:b/>
          <w:sz w:val="22"/>
        </w:rPr>
      </w:r>
    </w:p>
    <w:p>
      <w:pPr>
        <w:pStyle w:val="Normal"/>
        <w:tabs>
          <w:tab w:val="clear" w:pos="720"/>
          <w:tab w:val="left" w:pos="8640" w:leader="none"/>
        </w:tabs>
        <w:ind w:hanging="3600" w:start="3600" w:end="0"/>
        <w:jc w:val="both"/>
        <w:rPr/>
      </w:pPr>
      <w:r>
        <w:rPr>
          <w:rFonts w:cs="Arial" w:ascii="Arial" w:hAnsi="Arial"/>
          <w:b/>
          <w:sz w:val="22"/>
        </w:rPr>
        <w:t xml:space="preserve">PERIOD OF DELIVERY:  </w:t>
        <w:tab/>
      </w:r>
      <w:r>
        <w:rPr>
          <w:rFonts w:cs="Arial" w:ascii="Arial" w:hAnsi="Arial"/>
          <w:sz w:val="22"/>
        </w:rPr>
        <w:t>January 1, 2001 through June 30, 2003.</w:t>
      </w:r>
    </w:p>
    <w:p>
      <w:pPr>
        <w:pStyle w:val="Normal"/>
        <w:tabs>
          <w:tab w:val="clear" w:pos="720"/>
          <w:tab w:val="left" w:pos="8640" w:leader="none"/>
        </w:tabs>
        <w:ind w:hanging="5580" w:start="5580" w:end="0"/>
        <w:jc w:val="both"/>
        <w:rPr>
          <w:rFonts w:ascii="Arial" w:hAnsi="Arial" w:cs="Arial"/>
          <w:b/>
          <w:sz w:val="22"/>
        </w:rPr>
      </w:pPr>
      <w:r>
        <w:rPr>
          <w:rFonts w:cs="Arial" w:ascii="Arial" w:hAnsi="Arial"/>
          <w:b/>
          <w:sz w:val="22"/>
        </w:rPr>
      </w:r>
    </w:p>
    <w:p>
      <w:pPr>
        <w:pStyle w:val="Normal"/>
        <w:ind w:hanging="3600" w:start="3600" w:end="-288"/>
        <w:jc w:val="both"/>
        <w:rPr/>
      </w:pPr>
      <w:r>
        <w:rPr>
          <w:rFonts w:cs="Arial" w:ascii="Arial" w:hAnsi="Arial"/>
          <w:b/>
          <w:sz w:val="22"/>
        </w:rPr>
        <w:t>CONTRACT PRICE (PER MMBTU):</w:t>
      </w:r>
      <w:r>
        <w:rPr>
          <w:rFonts w:cs="Arial" w:ascii="Arial" w:hAnsi="Arial"/>
          <w:sz w:val="22"/>
        </w:rPr>
        <w:t xml:space="preserve"> The Contract Price for each Month during the period of delivery shall be the NYMEX Price, as hereinafter defined, plus $0.065 per MMBtu.  Additionally Customer shall purchase from Company at the </w:t>
      </w:r>
      <w:r>
        <w:rPr>
          <w:rFonts w:cs="Arial" w:ascii="Arial" w:hAnsi="Arial"/>
          <w:strike/>
          <w:sz w:val="22"/>
        </w:rPr>
        <w:t>Contract</w:t>
      </w:r>
      <w:r>
        <w:rPr>
          <w:rFonts w:cs="Arial" w:ascii="Arial" w:hAnsi="Arial"/>
          <w:sz w:val="22"/>
        </w:rPr>
        <w:t xml:space="preserve"> </w:t>
      </w:r>
      <w:r>
        <w:rPr>
          <w:rFonts w:cs="Arial" w:ascii="Arial" w:hAnsi="Arial"/>
          <w:color w:val="0000FF"/>
          <w:sz w:val="22"/>
        </w:rPr>
        <w:t>NYMEX</w:t>
      </w:r>
      <w:r>
        <w:rPr>
          <w:rFonts w:cs="Arial" w:ascii="Arial" w:hAnsi="Arial"/>
          <w:sz w:val="22"/>
        </w:rPr>
        <w:t xml:space="preserve"> Price a volume equivalent to the 1.6% fuel volume charged Company by Koch.  The term “NYMEX Price” shall mean the settlement price of the NYMEX Gas futures contract for the last Trading Day of the applicable Delivery Month.  The term “Trading Day” means any Day for which a NYMEX Gas futures contract is determinable.</w:t>
      </w:r>
    </w:p>
    <w:p>
      <w:pPr>
        <w:pStyle w:val="Normal"/>
        <w:ind w:hanging="3600" w:start="3600" w:end="0"/>
        <w:jc w:val="both"/>
        <w:rPr>
          <w:rFonts w:ascii="Arial" w:hAnsi="Arial" w:cs="Arial"/>
          <w:b/>
          <w:sz w:val="22"/>
        </w:rPr>
      </w:pPr>
      <w:r>
        <w:rPr>
          <w:rFonts w:cs="Arial" w:ascii="Arial" w:hAnsi="Arial"/>
          <w:b/>
          <w:sz w:val="22"/>
        </w:rPr>
      </w:r>
    </w:p>
    <w:p>
      <w:pPr>
        <w:pStyle w:val="Normal"/>
        <w:tabs>
          <w:tab w:val="clear" w:pos="720"/>
          <w:tab w:val="center" w:pos="10800" w:leader="none"/>
        </w:tabs>
        <w:ind w:hanging="3600" w:start="3600" w:end="-288"/>
        <w:jc w:val="both"/>
        <w:rPr>
          <w:rFonts w:ascii="Arial" w:hAnsi="Arial" w:cs="Arial"/>
          <w:sz w:val="22"/>
        </w:rPr>
      </w:pPr>
      <w:r>
        <w:rPr>
          <w:rFonts w:cs="Arial" w:ascii="Arial" w:hAnsi="Arial"/>
          <w:b/>
          <w:sz w:val="22"/>
        </w:rPr>
        <w:t xml:space="preserve">OTHER: </w:t>
      </w:r>
      <w:r>
        <w:rPr>
          <w:rFonts w:cs="Arial" w:ascii="Arial" w:hAnsi="Arial"/>
          <w:sz w:val="22"/>
        </w:rPr>
        <w:tab/>
        <w:t>1.  Company has obtained or will have obtained</w:t>
      </w:r>
      <w:r>
        <w:rPr>
          <w:rFonts w:cs="Arial" w:ascii="Arial" w:hAnsi="Arial"/>
          <w:color w:val="0000FF"/>
          <w:sz w:val="22"/>
        </w:rPr>
        <w:t>,</w:t>
      </w:r>
      <w:r>
        <w:rPr>
          <w:rFonts w:cs="Arial" w:ascii="Arial" w:hAnsi="Arial"/>
          <w:sz w:val="22"/>
        </w:rPr>
        <w:t xml:space="preserve"> </w:t>
      </w:r>
      <w:r>
        <w:rPr>
          <w:rFonts w:cs="Arial" w:ascii="Arial" w:hAnsi="Arial"/>
          <w:color w:val="0000FF"/>
          <w:sz w:val="22"/>
        </w:rPr>
        <w:t>by the effective date of this Agreement,</w:t>
      </w:r>
      <w:r>
        <w:rPr>
          <w:rFonts w:cs="Arial" w:ascii="Arial" w:hAnsi="Arial"/>
          <w:sz w:val="22"/>
        </w:rPr>
        <w:t xml:space="preserve"> 15,000 MMBtu per day of Firm Transportation on the Koch Gateway Pipeline system (“Koch”).  In the event the volume received by Customer hereunder is less than such 15,000 MMBtu on any Day for any reason other than an event of Force Majeure having the effect of rendering Customer unable to accept any volumes at the Primary Delivery Point during the continuation of such event of Force Majeure, Customer shall reimburse to Company any transportation demand charges (not to exceed $0.055 per MMBtu) incurred by Company from Koch relating to such under receipt of volumes; provided, however, Company shall </w:t>
      </w:r>
      <w:r>
        <w:rPr>
          <w:rFonts w:cs="Arial" w:ascii="Arial" w:hAnsi="Arial"/>
          <w:strike/>
          <w:sz w:val="22"/>
        </w:rPr>
        <w:t>endeavor</w:t>
      </w:r>
      <w:r>
        <w:rPr>
          <w:rFonts w:cs="Arial" w:ascii="Arial" w:hAnsi="Arial"/>
          <w:sz w:val="22"/>
        </w:rPr>
        <w:t xml:space="preserve"> </w:t>
      </w:r>
      <w:r>
        <w:rPr>
          <w:rFonts w:cs="Arial" w:ascii="Arial" w:hAnsi="Arial"/>
          <w:color w:val="0000FF"/>
          <w:sz w:val="22"/>
        </w:rPr>
        <w:t>use best efforts</w:t>
      </w:r>
      <w:r>
        <w:rPr>
          <w:rFonts w:cs="Arial" w:ascii="Arial" w:hAnsi="Arial"/>
          <w:sz w:val="22"/>
        </w:rPr>
        <w:t xml:space="preserve"> to mitigate the amount of such costs to be reimbursed by Customer.  Company shall provide Customer with a copy of its transportation invoice to verify that it incurred such transportation demand charges.  </w:t>
      </w:r>
      <w:r>
        <w:rPr>
          <w:rFonts w:cs="Arial" w:ascii="Arial" w:hAnsi="Arial"/>
          <w:color w:val="0000FF"/>
          <w:sz w:val="22"/>
        </w:rPr>
        <w:t xml:space="preserve">Company’s Firm Transportation volume on Koch will not limit Company’s firm obligation hereunder to provide full plant requirements each day subject to the MinDQ and MaxDQ.  </w:t>
      </w:r>
      <w:r>
        <w:rPr>
          <w:rFonts w:cs="Arial" w:ascii="Arial" w:hAnsi="Arial"/>
          <w:sz w:val="22"/>
        </w:rPr>
        <w:t xml:space="preserve">In the event Koch declares an event of Force Majeure on any deliveries to be made pursuant to Company’s Firm Transportation thereon, Company shall utilize commercially reasonable </w:t>
      </w:r>
      <w:r>
        <w:rPr>
          <w:rFonts w:cs="Arial" w:ascii="Arial" w:hAnsi="Arial"/>
          <w:color w:val="0000FF"/>
          <w:sz w:val="22"/>
        </w:rPr>
        <w:t>best</w:t>
      </w:r>
      <w:r>
        <w:rPr>
          <w:rFonts w:cs="Arial" w:ascii="Arial" w:hAnsi="Arial"/>
          <w:sz w:val="22"/>
        </w:rPr>
        <w:t xml:space="preserve"> efforts to obtain transportation to the Secondary Delivery Point prior to declaring an event of Force Majeure to Customer; provided, however, if Company has utilized commercially reasonable </w:t>
      </w:r>
      <w:r>
        <w:rPr>
          <w:rFonts w:cs="Arial" w:ascii="Arial" w:hAnsi="Arial"/>
          <w:color w:val="0000FF"/>
          <w:sz w:val="22"/>
        </w:rPr>
        <w:t>best</w:t>
      </w:r>
      <w:r>
        <w:rPr>
          <w:rFonts w:cs="Arial" w:ascii="Arial" w:hAnsi="Arial"/>
          <w:sz w:val="22"/>
        </w:rPr>
        <w:t xml:space="preserve"> efforts and is still unable to cause volumes to be delivered at the Secondary Delivery Point, such declaration by Koch shall be deemed to be a declaration by Company to Customer thereby relieving Company and Customer of any obligations to deliver or receive volumes during the continuation of such event of Force Majeure.  In the event that Company is able to obtain transportation to the Secondary Delivery Point, Customer shall reimburse Company for any incremental gas transportation and/or incremental gas supply costs incurred by Company in causing such volumes to be delivered at such Secondary Delivery Point to the extent that such costs are in excess of the costs that would have been incurred by Company in causing the volumes to be delivered at the Primary Delivery Point.  </w:t>
      </w:r>
      <w:r>
        <w:rPr>
          <w:rFonts w:cs="Arial" w:ascii="Arial" w:hAnsi="Arial"/>
          <w:color w:val="0000FF"/>
          <w:sz w:val="22"/>
        </w:rPr>
        <w:t>Company shall provide Customer with a copy of its transportation invoice to verify that it incurred such incremental gas transportation and/or incremental gas supply costs.</w:t>
      </w:r>
    </w:p>
    <w:p>
      <w:pPr>
        <w:pStyle w:val="Normal"/>
        <w:tabs>
          <w:tab w:val="clear" w:pos="720"/>
          <w:tab w:val="center" w:pos="10800" w:leader="none"/>
        </w:tabs>
        <w:ind w:hanging="3600" w:start="3600" w:end="-288"/>
        <w:jc w:val="both"/>
        <w:rPr>
          <w:rFonts w:ascii="Arial" w:hAnsi="Arial" w:cs="Arial"/>
          <w:sz w:val="22"/>
        </w:rPr>
      </w:pPr>
      <w:r>
        <w:rPr>
          <w:rFonts w:cs="Arial" w:ascii="Arial" w:hAnsi="Arial"/>
          <w:sz w:val="22"/>
        </w:rPr>
      </w:r>
    </w:p>
    <w:p>
      <w:pPr>
        <w:pStyle w:val="Normal"/>
        <w:tabs>
          <w:tab w:val="clear" w:pos="720"/>
          <w:tab w:val="center" w:pos="10800" w:leader="none"/>
        </w:tabs>
        <w:ind w:hanging="3600" w:start="3600" w:end="-288"/>
        <w:jc w:val="both"/>
        <w:rPr/>
      </w:pPr>
      <w:r>
        <w:rPr>
          <w:rFonts w:cs="Arial" w:ascii="Arial" w:hAnsi="Arial"/>
          <w:b/>
          <w:sz w:val="22"/>
        </w:rPr>
        <w:tab/>
      </w:r>
      <w:r>
        <w:rPr>
          <w:rFonts w:cs="Arial" w:ascii="Arial" w:hAnsi="Arial"/>
          <w:strike/>
          <w:sz w:val="22"/>
        </w:rPr>
        <w:t>2.  Company has obtained or will have obtained 7,000 MMBtu per day of Interruptible Transportation on Koch to be used to deliver volumes in excess of 15,000 MMBtu per day.  In the event Koch cuts Company’s Interruptible Transportation on any Day, Company shall endeavor to use commercially reasonable efforts to cause the volumes to be delivered to the Primary Delivery Point or to the Secondary Delivery Point; provided, however, Customer shall reimburse Company for all incremental transportation and/or supply costs incurred by Company in excess of the costs that would have been paid had such Interruptible Transportation not been interrupted.  If after utilization of such commercially reasonable efforts Company is unable to so cause volumes to be made available at either the Primary Delivery Point or the Secondary Delivery Point, such interruption by Koch shall not be deemed an event of Force Majeure under the Agreement excusing Company and Customer from the delivery and receipt of such volumes during the continuation of such interruption by Koch unless Koch shall have changed its transportation imbalance settlement from the monthly settlement basis currently applicable under Koch’s tariff or Koch or Cypress shall have changed its delivery meter located at the Primary Delivery Point  or at the Secondary Delivery Point from pressure control to some other basis flow control.  In the event that Company is able to obtain transportation to the Primary Delivery Point or to the Secondary Delivery Point, Customer shall reimburse Company for any incremental gas transportation or incremental gas supply costs incurred by Company in causing such volumes to continue to be delivered hereunder to the extent that such costs are in excess of the costs that would have been incurred had such Interruptible Transportation not been interrupted. Company shall provide Customer with a copy of its transortation and gas supplly invoices to verify that it incurred such transportantion and gas supply charges.</w:t>
      </w:r>
    </w:p>
    <w:p>
      <w:pPr>
        <w:pStyle w:val="BlockText"/>
        <w:rPr/>
      </w:pPr>
      <w:r>
        <w:rPr/>
        <w:tab/>
        <w:t xml:space="preserve">2.  In the event that Koch changes its method of imbalance settlement from the monthly balancing basis currently applicable under Koch’s tariff </w:t>
      </w:r>
      <w:r>
        <w:rPr>
          <w:color w:val="0000FF"/>
        </w:rPr>
        <w:t xml:space="preserve">as approved by the Federal Energy Regulatory Commission as of the date listed above </w:t>
      </w:r>
      <w:r>
        <w:rPr/>
        <w:t xml:space="preserve">which results in Company’s inability to effectively manage its transportation contract with Koch at the rates provided above, the parties agree that </w:t>
      </w:r>
      <w:r>
        <w:rPr>
          <w:strike/>
        </w:rPr>
        <w:t>Company</w:t>
      </w:r>
      <w:r>
        <w:rPr/>
        <w:t xml:space="preserve"> </w:t>
      </w:r>
      <w:r>
        <w:rPr>
          <w:color w:val="0000FF"/>
        </w:rPr>
        <w:t xml:space="preserve">they </w:t>
      </w:r>
      <w:r>
        <w:rPr/>
        <w:t>shall have the right to reopen any price to be applicable hereunder.  In the event that Koch decreases the discounted transportation rate provided to Company hereunder, Company agrees to pass that decrease through to Customer.</w:t>
      </w:r>
    </w:p>
    <w:p>
      <w:pPr>
        <w:pStyle w:val="Normal"/>
        <w:tabs>
          <w:tab w:val="clear" w:pos="720"/>
          <w:tab w:val="left" w:pos="3600" w:leader="none"/>
        </w:tabs>
        <w:ind w:start="3600" w:end="-288"/>
        <w:jc w:val="both"/>
        <w:rPr>
          <w:rFonts w:ascii="Arial" w:hAnsi="Arial" w:cs="Arial"/>
          <w:sz w:val="22"/>
        </w:rPr>
      </w:pPr>
      <w:r>
        <w:rPr>
          <w:rFonts w:cs="Arial" w:ascii="Arial" w:hAnsi="Arial"/>
          <w:sz w:val="22"/>
        </w:rPr>
        <w:t>3.  Each Business Day Customer shall provide to Company its estimated consumption for the previous Day or Days.</w:t>
      </w:r>
    </w:p>
    <w:p>
      <w:pPr>
        <w:pStyle w:val="BodyText"/>
        <w:ind w:start="3600" w:end="-288"/>
        <w:rPr/>
      </w:pPr>
      <w:r>
        <w:rPr/>
        <w:t xml:space="preserve">4.  </w:t>
      </w:r>
      <w:r>
        <w:rPr>
          <w:color w:val="0000FF"/>
          <w:szCs w:val="18"/>
        </w:rPr>
        <w:t>Notwithstanding anything to the contrary contained in Section 4.3 of the Agreement, the Company and the Customer agree to negotiate in good faith a netting agreement that will eliminate or reduce the need for a letter of credit to be supplied by Customer and that until such netting agreement is executed by the parties, a Letter of Credit under this provision shall not be required</w:t>
      </w:r>
      <w:r>
        <w:rPr/>
        <w:t>.</w:t>
      </w:r>
    </w:p>
    <w:p>
      <w:pPr>
        <w:pStyle w:val="Normal"/>
        <w:tabs>
          <w:tab w:val="clear" w:pos="720"/>
          <w:tab w:val="left" w:pos="3600" w:leader="none"/>
        </w:tabs>
        <w:ind w:start="3600" w:end="-288"/>
        <w:jc w:val="both"/>
        <w:rPr>
          <w:rFonts w:ascii="Arial" w:hAnsi="Arial" w:cs="Arial"/>
          <w:sz w:val="22"/>
        </w:rPr>
      </w:pPr>
      <w:r>
        <w:rPr>
          <w:rFonts w:cs="Arial" w:ascii="Arial" w:hAnsi="Arial"/>
          <w:sz w:val="22"/>
        </w:rPr>
      </w:r>
    </w:p>
    <w:p>
      <w:pPr>
        <w:pStyle w:val="BodyText"/>
        <w:rPr/>
      </w:pPr>
      <w:r>
        <w:rPr/>
        <w:t>This Transaction Agreement is being provided pursuant to and in accordance with the ENFOLIO® Master Firm Purchase/Sale Agreement dated effective as of October 1, 2000 between the Customer and the Company, and constitutes part of and is subject to all of the provisions of such Agreement. Please execute this Transaction Agreement and return an executed copy to Company.</w:t>
      </w:r>
    </w:p>
    <w:p>
      <w:pPr>
        <w:pStyle w:val="Normal"/>
        <w:jc w:val="both"/>
        <w:rPr>
          <w:rFonts w:ascii="Arial" w:hAnsi="Arial" w:cs="Arial"/>
          <w:sz w:val="22"/>
        </w:rPr>
      </w:pPr>
      <w:r>
        <w:rPr>
          <w:rFonts w:cs="Arial" w:ascii="Arial" w:hAnsi="Arial"/>
          <w:sz w:val="22"/>
        </w:rPr>
      </w:r>
    </w:p>
    <w:p>
      <w:pPr>
        <w:pStyle w:val="BodyText"/>
        <w:rPr/>
      </w:pPr>
      <w:r>
        <w:rPr/>
        <w:t>Each party shall not disclose the terms of this transaction to a third party (other than the party's and its affiliates' employees, lenders, counsel, consultants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w:hAnsi="Arial" w:cs="Arial"/>
          <w:sz w:val="22"/>
        </w:rPr>
      </w:pPr>
      <w:r>
        <w:rPr>
          <w:rFonts w:cs="Arial" w:ascii="Arial" w:hAnsi="Arial"/>
          <w:sz w:val="22"/>
        </w:rPr>
      </w:r>
    </w:p>
    <w:tbl>
      <w:tblPr>
        <w:tblW w:w="14976" w:type="dxa"/>
        <w:jc w:val="start"/>
        <w:tblInd w:w="0" w:type="dxa"/>
        <w:tblLayout w:type="fixed"/>
        <w:tblCellMar>
          <w:top w:w="0" w:type="dxa"/>
          <w:start w:w="108" w:type="dxa"/>
          <w:bottom w:w="0" w:type="dxa"/>
          <w:end w:w="108" w:type="dxa"/>
        </w:tblCellMar>
      </w:tblPr>
      <w:tblGrid>
        <w:gridCol w:w="4968"/>
        <w:gridCol w:w="4500"/>
        <w:gridCol w:w="5508"/>
      </w:tblGrid>
      <w:tr>
        <w:trPr/>
        <w:tc>
          <w:tcPr>
            <w:tcW w:w="4968" w:type="dxa"/>
            <w:tcBorders/>
          </w:tcPr>
          <w:p>
            <w:pPr>
              <w:pStyle w:val="Normal"/>
              <w:jc w:val="both"/>
              <w:rPr/>
            </w:pPr>
            <w:r>
              <w:rPr>
                <w:rFonts w:cs="Arial" w:ascii="Arial" w:hAnsi="Arial"/>
                <w:sz w:val="22"/>
                <w:u w:val="single"/>
              </w:rPr>
              <w:t>CUSTOMER</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ind w:end="-108"/>
              <w:jc w:val="both"/>
              <w:rPr>
                <w:rFonts w:ascii="Arial" w:hAnsi="Arial" w:cs="Arial"/>
                <w:sz w:val="22"/>
              </w:rPr>
            </w:pPr>
            <w:r>
              <w:rPr>
                <w:rFonts w:cs="Arial" w:ascii="Arial" w:hAnsi="Arial"/>
                <w:sz w:val="22"/>
              </w:rPr>
              <w:t>ORMET PRIMARY ALUMINUM CORPORATION</w:t>
            </w:r>
          </w:p>
        </w:tc>
        <w:tc>
          <w:tcPr>
            <w:tcW w:w="4500" w:type="dxa"/>
            <w:tcBorders/>
          </w:tcPr>
          <w:p>
            <w:pPr>
              <w:pStyle w:val="Normal"/>
              <w:jc w:val="both"/>
              <w:rPr/>
            </w:pPr>
            <w:r>
              <w:rPr>
                <w:rFonts w:cs="Arial" w:ascii="Arial" w:hAnsi="Arial"/>
                <w:sz w:val="22"/>
                <w:u w:val="single"/>
              </w:rPr>
              <w:t>COMPANY</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ENRON NORTH AMERICA CORP.</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snapToGrid w:val="false"/>
              <w:jc w:val="both"/>
              <w:rPr>
                <w:rFonts w:ascii="Arial" w:hAnsi="Arial" w:cs="Arial"/>
                <w:sz w:val="22"/>
              </w:rPr>
            </w:pPr>
            <w:r>
              <w:rPr>
                <w:rFonts w:cs="Arial" w:ascii="Arial" w:hAnsi="Arial"/>
                <w:sz w:val="22"/>
              </w:rPr>
            </w:r>
          </w:p>
        </w:tc>
        <w:tc>
          <w:tcPr>
            <w:tcW w:w="4500" w:type="dxa"/>
            <w:tcBorders/>
          </w:tcPr>
          <w:p>
            <w:pPr>
              <w:pStyle w:val="Normal"/>
              <w:snapToGrid w:val="false"/>
              <w:jc w:val="both"/>
              <w:rPr>
                <w:rFonts w:ascii="Arial" w:hAnsi="Arial" w:cs="Arial"/>
                <w:sz w:val="22"/>
              </w:rPr>
            </w:pPr>
            <w:r>
              <w:rPr>
                <w:rFonts w:cs="Arial" w:ascii="Arial" w:hAnsi="Arial"/>
                <w:sz w:val="22"/>
              </w:rPr>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snapToGrid w:val="false"/>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By _________________________________</w:t>
            </w:r>
          </w:p>
        </w:tc>
        <w:tc>
          <w:tcPr>
            <w:tcW w:w="4500" w:type="dxa"/>
            <w:tcBorders/>
          </w:tcPr>
          <w:p>
            <w:pPr>
              <w:pStyle w:val="Normal"/>
              <w:snapToGrid w:val="false"/>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By _______________________________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Name: __________________________</w:t>
            </w:r>
          </w:p>
        </w:tc>
        <w:tc>
          <w:tcPr>
            <w:tcW w:w="450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Name: 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Title:   __________________________</w:t>
            </w:r>
          </w:p>
        </w:tc>
        <w:tc>
          <w:tcPr>
            <w:tcW w:w="450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Title:   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r>
        <w:trPr/>
        <w:tc>
          <w:tcPr>
            <w:tcW w:w="4968"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Date:   __________________________</w:t>
            </w:r>
          </w:p>
        </w:tc>
        <w:tc>
          <w:tcPr>
            <w:tcW w:w="450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Date:   _________________________</w:t>
            </w:r>
          </w:p>
        </w:tc>
        <w:tc>
          <w:tcPr>
            <w:tcW w:w="5508" w:type="dxa"/>
            <w:tcBorders/>
          </w:tcPr>
          <w:p>
            <w:pPr>
              <w:pStyle w:val="Normal"/>
              <w:snapToGrid w:val="false"/>
              <w:jc w:val="both"/>
              <w:rPr>
                <w:rFonts w:ascii="Arial" w:hAnsi="Arial" w:cs="Arial"/>
                <w:sz w:val="22"/>
              </w:rPr>
            </w:pPr>
            <w:r>
              <w:rPr>
                <w:rFonts w:cs="Arial" w:ascii="Arial" w:hAnsi="Arial"/>
                <w:sz w:val="22"/>
              </w:rPr>
            </w:r>
          </w:p>
        </w:tc>
      </w:tr>
    </w:tbl>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pPr>
      <w:r>
        <w:rPr/>
        <w:drawing>
          <wp:inline distT="0" distB="0" distL="0" distR="0">
            <wp:extent cx="635" cy="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0000" t="-100000" r="-100000" b="-100000"/>
                    <a:stretch>
                      <a:fillRect/>
                    </a:stretch>
                  </pic:blipFill>
                  <pic:spPr bwMode="auto">
                    <a:xfrm>
                      <a:off x="0" y="0"/>
                      <a:ext cx="635" cy="635"/>
                    </a:xfrm>
                    <a:prstGeom prst="rect">
                      <a:avLst/>
                    </a:prstGeom>
                    <a:noFill/>
                  </pic:spPr>
                </pic:pic>
              </a:graphicData>
            </a:graphic>
          </wp:inline>
        </w:drawing>
      </w:r>
    </w:p>
    <w:p>
      <w:pPr>
        <w:pStyle w:val="Normal"/>
        <w:rPr/>
      </w:pPr>
      <w:r>
        <w:rPr/>
      </w:r>
    </w:p>
    <w:sectPr>
      <w:headerReference w:type="default" r:id="rId3"/>
      <w:headerReference w:type="first" r:id="rId4"/>
      <w:footerReference w:type="default" r:id="rId5"/>
      <w:footerReference w:type="first" r:id="rId6"/>
      <w:type w:val="nextPage"/>
      <w:pgSz w:w="12240" w:h="15840"/>
      <w:pgMar w:left="1584" w:right="1584" w:gutter="0" w:header="720" w:top="776" w:footer="288"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/mnt/main-storage/datasets/enron-docs/doc/Ormet_crfm.doc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/mnt/main-storage/datasets/enron-docs/doc/Ormet_crfm.doc</w:t>
    </w:r>
    <w:r>
      <w:rPr>
        <w:sz w:val="16"/>
      </w:rPr>
      <w:fldChar w:fldCharType="end"/>
    </w:r>
  </w:p>
  <w:p>
    <w:pPr>
      <w:pStyle w:val="Heading"/>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sz w:val="20"/>
      </w:rPr>
    </w:pPr>
    <w:r>
      <w:rPr>
        <w:rFonts w:cs="Arial" w:ascii="Arial" w:hAnsi="Arial"/>
        <w:sz w:val="20"/>
      </w:rPr>
      <w:t>Ormet Primary Aluminum Corporation</w:t>
    </w:r>
  </w:p>
  <w:p>
    <w:pPr>
      <w:pStyle w:val="Header"/>
      <w:rPr>
        <w:rFonts w:ascii="Arial" w:hAnsi="Arial" w:cs="Arial"/>
        <w:sz w:val="20"/>
      </w:rPr>
    </w:pPr>
    <w:r>
      <w:rPr>
        <w:rFonts w:cs="Arial" w:ascii="Arial" w:hAnsi="Arial"/>
        <w:sz w:val="20"/>
      </w:rPr>
      <w:t>November 17, 2000</w:t>
    </w:r>
  </w:p>
  <w:p>
    <w:pPr>
      <w:pStyle w:val="Header"/>
      <w:rPr>
        <w:rFonts w:ascii="Arial" w:hAnsi="Arial" w:cs="Arial"/>
        <w:sz w:val="20"/>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58258087"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ind w:hanging="0" w:start="0" w:end="-288"/>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8640" w:leader="none"/>
      </w:tabs>
      <w:ind w:hanging="4140" w:start="3600" w:end="0"/>
      <w:jc w:val="both"/>
    </w:pPr>
    <w:rPr>
      <w:rFonts w:ascii="Arial" w:hAnsi="Arial" w:cs="Arial"/>
      <w:b/>
      <w:sz w:val="22"/>
    </w:rPr>
  </w:style>
  <w:style w:type="paragraph" w:styleId="BodyTextIndent">
    <w:name w:val="Body Text Indent"/>
    <w:basedOn w:val="Normal"/>
    <w:pPr>
      <w:tabs>
        <w:tab w:val="clear" w:pos="720"/>
        <w:tab w:val="left" w:pos="8640" w:leader="none"/>
      </w:tabs>
      <w:ind w:hanging="3600" w:start="3600" w:end="0"/>
      <w:jc w:val="both"/>
    </w:pPr>
    <w:rPr>
      <w:rFonts w:ascii="Arial" w:hAnsi="Arial" w:cs="Arial"/>
    </w:rPr>
  </w:style>
  <w:style w:type="paragraph" w:styleId="Header">
    <w:name w:val="header"/>
    <w:basedOn w:val="Normal"/>
    <w:pPr>
      <w:tabs>
        <w:tab w:val="clear" w:pos="720"/>
        <w:tab w:val="center" w:pos="4320" w:leader="none"/>
        <w:tab w:val="right" w:pos="8640" w:leader="none"/>
      </w:tabs>
    </w:pPr>
    <w:rPr>
      <w:szCs w:val="20"/>
    </w:rPr>
  </w:style>
  <w:style w:type="paragraph" w:styleId="BlockText">
    <w:name w:val="Block Text"/>
    <w:basedOn w:val="Normal"/>
    <w:qFormat/>
    <w:pPr>
      <w:tabs>
        <w:tab w:val="clear" w:pos="720"/>
        <w:tab w:val="center" w:pos="10800" w:leader="none"/>
      </w:tabs>
      <w:ind w:hanging="3600" w:start="3600" w:end="-288"/>
      <w:jc w:val="both"/>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2000-12-20T19:41:00Z</dcterms:created>
  <dc:creator>dhyvl</dc:creator>
  <dc:description/>
  <dc:language>en-CA</dc:language>
  <cp:lastModifiedBy>dhyvl</cp:lastModifiedBy>
  <cp:lastPrinted>2000-12-01T15:36:00Z</cp:lastPrinted>
  <dcterms:modified xsi:type="dcterms:W3CDTF">2000-12-20T19:47:00Z</dcterms:modified>
  <cp:revision>3</cp:revision>
  <dc:subject/>
  <dc:title>August 16, 2000</dc:title>
</cp:coreProperties>
</file>