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Orlando Utilities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Mr. Jan Aspuru – Director – Fuel Services Division</w:t>
      </w:r>
    </w:p>
    <w:p>
      <w:pPr>
        <w:pStyle w:val="Normal"/>
        <w:rPr/>
      </w:pPr>
      <w:r>
        <w:rPr/>
        <w:t>Ms. Sue Mansingh – Energy Specialist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632 MW combined cycle facility, 16 hrs at 100% / 8 hrs at 50%</w:t>
      </w:r>
    </w:p>
    <w:p>
      <w:pPr>
        <w:pStyle w:val="Normal"/>
        <w:numPr>
          <w:ilvl w:val="0"/>
          <w:numId w:val="2"/>
        </w:numPr>
        <w:rPr/>
      </w:pPr>
      <w:r>
        <w:rPr/>
        <w:t>OUC will be the fuel supply manager.</w:t>
      </w:r>
    </w:p>
    <w:p>
      <w:pPr>
        <w:pStyle w:val="Normal"/>
        <w:numPr>
          <w:ilvl w:val="0"/>
          <w:numId w:val="2"/>
        </w:numPr>
        <w:rPr/>
      </w:pPr>
      <w:r>
        <w:rPr/>
        <w:t>PPA’s in place for 10 yrs. with option to extend.  Has been authorized by determination of need.</w:t>
      </w:r>
    </w:p>
    <w:p>
      <w:pPr>
        <w:pStyle w:val="Normal"/>
        <w:numPr>
          <w:ilvl w:val="0"/>
          <w:numId w:val="2"/>
        </w:numPr>
        <w:rPr/>
      </w:pPr>
      <w:r>
        <w:rPr/>
        <w:t>Southern Company is providing turbines, construction and is the operator (maintenance, staff and capital decisions.)</w:t>
      </w:r>
    </w:p>
    <w:p>
      <w:pPr>
        <w:pStyle w:val="Normal"/>
        <w:numPr>
          <w:ilvl w:val="0"/>
          <w:numId w:val="2"/>
        </w:numPr>
        <w:rPr/>
      </w:pPr>
      <w:r>
        <w:rPr/>
        <w:t>Southern Co has 65% ownership, 28% OUC, 2 ½ % FUA 2 ½ % FMPA.  PPA to OUC is 80% and 10% each to the FVA and FMPA (6 mw each)</w:t>
      </w:r>
    </w:p>
    <w:p>
      <w:pPr>
        <w:pStyle w:val="Normal"/>
        <w:numPr>
          <w:ilvl w:val="0"/>
          <w:numId w:val="2"/>
        </w:numPr>
        <w:rPr/>
      </w:pPr>
      <w:r>
        <w:rPr/>
        <w:t>92,000 – 95,000 dt/d peak in summer and 70,000 dt/d in the winter.  OUC sold their Indian River facility and this plant will be the replacement for their retail power load.</w:t>
      </w:r>
    </w:p>
    <w:p>
      <w:pPr>
        <w:pStyle w:val="BodyTextIndent"/>
        <w:numPr>
          <w:ilvl w:val="0"/>
          <w:numId w:val="2"/>
        </w:numPr>
        <w:rPr/>
      </w:pPr>
      <w:r>
        <w:rPr/>
        <w:t xml:space="preserve">OUC is looking for 10 to 60,000 dt/d for 10 years (flexible on term) for a combined cycle facility.  </w:t>
      </w:r>
    </w:p>
    <w:p>
      <w:pPr>
        <w:pStyle w:val="BodyTextIndent"/>
        <w:numPr>
          <w:ilvl w:val="0"/>
          <w:numId w:val="2"/>
        </w:numPr>
        <w:rPr/>
      </w:pPr>
      <w:r>
        <w:rPr/>
        <w:t xml:space="preserve">The start date is November 2003, slightly ahead of our Bahamas project - Q1 2005.  </w:t>
      </w:r>
    </w:p>
    <w:p>
      <w:pPr>
        <w:pStyle w:val="BodyTextIndent"/>
        <w:numPr>
          <w:ilvl w:val="0"/>
          <w:numId w:val="2"/>
        </w:numPr>
        <w:rPr/>
      </w:pPr>
      <w:r>
        <w:rPr/>
        <w:t>OUC wants a quote based on Henry Hub either into FGT or delivered to OUC (Orlando Utilties).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OUC has agreed to incremental transportation on FGT for approx. 10 to 30,000 dt/d in order to have a 5-mile lateral built to the facility.  </w:t>
      </w:r>
    </w:p>
    <w:p>
      <w:pPr>
        <w:pStyle w:val="Normal"/>
        <w:numPr>
          <w:ilvl w:val="0"/>
          <w:numId w:val="2"/>
        </w:numPr>
        <w:rPr/>
      </w:pPr>
      <w:r>
        <w:rPr/>
        <w:t>Gulfstream is 18 miles away and is being aggressive with their rates to OUC.</w:t>
      </w:r>
    </w:p>
    <w:p>
      <w:pPr>
        <w:pStyle w:val="Normal"/>
        <w:numPr>
          <w:ilvl w:val="0"/>
          <w:numId w:val="2"/>
        </w:numPr>
        <w:rPr/>
      </w:pPr>
      <w:r>
        <w:rPr/>
        <w:t>OUC will have diesel backup with restricted use.  No more than 20-30 days if tanks are full.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Deal Structure: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ind w:hanging="2160" w:start="2160" w:end="0"/>
        <w:rPr/>
      </w:pPr>
      <w:r>
        <w:rPr/>
        <w:t>Term:</w:t>
        <w:tab/>
        <w:t>10 years beginning October/November 2003.  We need quote from desk for Nov 03 til at least Q1 2005.</w:t>
      </w:r>
    </w:p>
    <w:p>
      <w:pPr>
        <w:pStyle w:val="Normal"/>
        <w:ind w:hanging="2160" w:start="2160" w:end="0"/>
        <w:rPr/>
      </w:pPr>
      <w:r>
        <w:rPr/>
      </w:r>
    </w:p>
    <w:p>
      <w:pPr>
        <w:pStyle w:val="Normal"/>
        <w:ind w:hanging="2160" w:start="2160" w:end="0"/>
        <w:rPr/>
      </w:pPr>
      <w:r>
        <w:rPr/>
        <w:t>Quantity:</w:t>
        <w:tab/>
        <w:t>A baseload quantity for up to 60,000 dt/d with buyback provisions based on FGT delivered GDA index.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2160" w:start="2160" w:end="0"/>
        <w:rPr/>
      </w:pPr>
      <w:r>
        <w:rPr/>
        <w:t>Price:</w:t>
        <w:tab/>
        <w:t>Inside FERC FOM index (Hub + $.55).  Wants flexibility to convert to GDA or fix a NYMEX price.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>Delivery Pt.:</w:t>
        <w:tab/>
        <w:tab/>
        <w:t>Delivered to OUC on FGT.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No conditions precedents allowed.  Gas must be firm.  </w:t>
      </w:r>
    </w:p>
    <w:p>
      <w:pPr>
        <w:pStyle w:val="Normal"/>
        <w:numPr>
          <w:ilvl w:val="0"/>
          <w:numId w:val="1"/>
        </w:numPr>
        <w:rPr/>
      </w:pPr>
      <w:r>
        <w:rPr/>
        <w:t>Deal must be executed no later than July 1, 2001.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360" w:end="0"/>
    </w:pPr>
    <w:rPr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2001-05-21T17:19:00Z</dcterms:created>
  <dc:creator>pdemoes</dc:creator>
  <dc:description/>
  <dc:language>en-CA</dc:language>
  <cp:lastModifiedBy>pdemoes</cp:lastModifiedBy>
  <dcterms:modified xsi:type="dcterms:W3CDTF">2001-05-29T19:09:00Z</dcterms:modified>
  <cp:revision>3</cp:revision>
  <dc:subject/>
  <dc:title>Orlando Utilities</dc:title>
</cp:coreProperties>
</file>