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rPr>
      </w:pPr>
      <w:r>
        <w:rPr>
          <w:b/>
          <w:sz w:val="28"/>
        </w:rPr>
        <w:t>Proposal for Merchant Energy Services to Orion Power Holdings, Inc.</w:t>
      </w:r>
    </w:p>
    <w:p>
      <w:pPr>
        <w:pStyle w:val="Normal"/>
        <w:rPr>
          <w:b/>
          <w:sz w:val="28"/>
        </w:rPr>
      </w:pPr>
      <w:r>
        <w:rPr>
          <w:b/>
          <w:sz w:val="28"/>
        </w:rPr>
      </w:r>
    </w:p>
    <w:p>
      <w:pPr>
        <w:pStyle w:val="Normal"/>
        <w:jc w:val="both"/>
        <w:rPr/>
      </w:pPr>
      <w:r>
        <w:rPr/>
        <w:t xml:space="preserve">The following is a proposal by Enron North America Corp. (“ENA”) to provide merchant energy services to Orion Power Holdings, Inc. (“Orion”) for Orion’s generating assets and any related contractual obligations. </w:t>
      </w:r>
    </w:p>
    <w:p>
      <w:pPr>
        <w:pStyle w:val="Normal"/>
        <w:jc w:val="both"/>
        <w:rPr/>
      </w:pPr>
      <w:r>
        <w:rPr/>
      </w:r>
    </w:p>
    <w:p>
      <w:pPr>
        <w:pStyle w:val="Normal"/>
        <w:numPr>
          <w:ilvl w:val="0"/>
          <w:numId w:val="2"/>
        </w:numPr>
        <w:jc w:val="both"/>
        <w:rPr>
          <w:b/>
        </w:rPr>
      </w:pPr>
      <w:r>
        <w:rPr>
          <w:b/>
        </w:rPr>
        <w:t>Merchant and Commercial Services</w:t>
      </w:r>
    </w:p>
    <w:p>
      <w:pPr>
        <w:pStyle w:val="Normal"/>
        <w:jc w:val="both"/>
        <w:rPr>
          <w:b/>
        </w:rPr>
      </w:pPr>
      <w:r>
        <w:rPr>
          <w:b/>
        </w:rPr>
      </w:r>
    </w:p>
    <w:p>
      <w:pPr>
        <w:pStyle w:val="Normal"/>
        <w:jc w:val="both"/>
        <w:rPr/>
      </w:pPr>
      <w:r>
        <w:rPr/>
        <w:t xml:space="preserve">ENA will provide assistance to Orion in forming Orion’s merchant function for Orion’s Midwest Assets and New York Assets, (collectively, the “Orion’s Assets”).  ENA will provide the Director of trading, key trading and origination personnel and other necessary commercial services to the merchant function of Orion.  This function will be responsible for the commercial dispatch, hedging, fuel supply and origination of Orion’s Assets. </w:t>
      </w:r>
    </w:p>
    <w:p>
      <w:pPr>
        <w:pStyle w:val="Normal"/>
        <w:jc w:val="both"/>
        <w:rPr/>
      </w:pPr>
      <w:r>
        <w:rPr/>
      </w:r>
    </w:p>
    <w:p>
      <w:pPr>
        <w:pStyle w:val="Normal"/>
        <w:jc w:val="both"/>
        <w:rPr>
          <w:b/>
        </w:rPr>
      </w:pPr>
      <w:r>
        <w:rPr>
          <w:b/>
        </w:rPr>
      </w:r>
    </w:p>
    <w:p>
      <w:pPr>
        <w:pStyle w:val="Normal"/>
        <w:numPr>
          <w:ilvl w:val="0"/>
          <w:numId w:val="4"/>
        </w:numPr>
        <w:jc w:val="both"/>
        <w:rPr>
          <w:b/>
        </w:rPr>
      </w:pPr>
      <w:r>
        <w:rPr>
          <w:b/>
        </w:rPr>
        <w:t>Administrative Services</w:t>
      </w:r>
    </w:p>
    <w:p>
      <w:pPr>
        <w:pStyle w:val="Normal"/>
        <w:jc w:val="both"/>
        <w:rPr>
          <w:b/>
        </w:rPr>
      </w:pPr>
      <w:r>
        <w:rPr>
          <w:b/>
        </w:rPr>
      </w:r>
    </w:p>
    <w:p>
      <w:pPr>
        <w:pStyle w:val="Normal"/>
        <w:jc w:val="both"/>
        <w:rPr/>
      </w:pPr>
      <w:r>
        <w:rPr/>
        <w:t>ENA would provide Orion administrative energy services related to Orion’s Assets.  ENA will provide all the services described herein with respect to all quantities of electric energy, electric capacity and ancillary services generated, dispatched or scheduled for purchase and sale related to Orion’s Assets and any related contracts.   ENA will provide the necessary resources and systems to execute the following services:</w:t>
      </w:r>
    </w:p>
    <w:p>
      <w:pPr>
        <w:pStyle w:val="Normal"/>
        <w:jc w:val="both"/>
        <w:rPr/>
      </w:pPr>
      <w:r>
        <w:rPr/>
      </w:r>
    </w:p>
    <w:p>
      <w:pPr>
        <w:pStyle w:val="Normal"/>
        <w:numPr>
          <w:ilvl w:val="0"/>
          <w:numId w:val="3"/>
        </w:numPr>
        <w:jc w:val="both"/>
        <w:rPr/>
      </w:pPr>
      <w:r>
        <w:rPr>
          <w:b/>
        </w:rPr>
        <w:t>24-Hour Trading</w:t>
      </w:r>
      <w:r>
        <w:rPr/>
        <w:t>: Provides hourly trading of commodity and ancillary services, OASIS transmission scheduling, tagging, schedule verification and monitoring.</w:t>
      </w:r>
    </w:p>
    <w:p>
      <w:pPr>
        <w:pStyle w:val="Normal"/>
        <w:numPr>
          <w:ilvl w:val="0"/>
          <w:numId w:val="3"/>
        </w:numPr>
        <w:jc w:val="both"/>
        <w:rPr/>
      </w:pPr>
      <w:r>
        <w:rPr>
          <w:b/>
        </w:rPr>
        <w:t>Scheduling</w:t>
      </w:r>
      <w:r>
        <w:rPr/>
        <w:t>:   Provides weekly scheduling of power transactions including tagging and schedule optimization.</w:t>
      </w:r>
    </w:p>
    <w:p>
      <w:pPr>
        <w:pStyle w:val="Normal"/>
        <w:numPr>
          <w:ilvl w:val="0"/>
          <w:numId w:val="3"/>
        </w:numPr>
        <w:jc w:val="both"/>
        <w:rPr/>
      </w:pPr>
      <w:r>
        <w:rPr>
          <w:b/>
        </w:rPr>
        <w:t>Deal Clearing</w:t>
      </w:r>
      <w:r>
        <w:rPr/>
        <w:t xml:space="preserve">:  Prepares customer confirmations, contracts, broker check-outs, interface with Credit/Legal and deal integrity.  </w:t>
      </w:r>
    </w:p>
    <w:p>
      <w:pPr>
        <w:pStyle w:val="Normal"/>
        <w:numPr>
          <w:ilvl w:val="0"/>
          <w:numId w:val="3"/>
        </w:numPr>
        <w:jc w:val="both"/>
        <w:rPr/>
      </w:pPr>
      <w:r>
        <w:rPr>
          <w:b/>
        </w:rPr>
        <w:t>Portfolio Reporting</w:t>
      </w:r>
      <w:r>
        <w:rPr/>
        <w:t>:   Provides daily positional reporting including daily profit and loss, deal and curve, entry, independent curve verification, VAR reporting and limits monitoring.</w:t>
      </w:r>
    </w:p>
    <w:p>
      <w:pPr>
        <w:pStyle w:val="Normal"/>
        <w:numPr>
          <w:ilvl w:val="0"/>
          <w:numId w:val="3"/>
        </w:numPr>
        <w:jc w:val="both"/>
        <w:rPr/>
      </w:pPr>
      <w:r>
        <w:rPr>
          <w:b/>
        </w:rPr>
        <w:t>Settlements</w:t>
      </w:r>
      <w:r>
        <w:rPr/>
        <w:t>:  Provides reconciliation of invoices and payments to general ledger, cash management and cash settlements with counterparties.</w:t>
      </w:r>
    </w:p>
    <w:p>
      <w:pPr>
        <w:pStyle w:val="Normal"/>
        <w:jc w:val="both"/>
        <w:rPr>
          <w:b/>
        </w:rPr>
      </w:pPr>
      <w:r>
        <w:rPr>
          <w:b/>
        </w:rPr>
      </w:r>
    </w:p>
    <w:p>
      <w:pPr>
        <w:pStyle w:val="Normal"/>
        <w:jc w:val="both"/>
        <w:rPr>
          <w:b/>
        </w:rPr>
      </w:pPr>
      <w:r>
        <w:rPr>
          <w:b/>
        </w:rPr>
      </w:r>
    </w:p>
    <w:p>
      <w:pPr>
        <w:pStyle w:val="Heading2"/>
        <w:numPr>
          <w:ilvl w:val="0"/>
          <w:numId w:val="4"/>
        </w:numPr>
        <w:rPr/>
      </w:pPr>
      <w:r>
        <w:rPr/>
        <w:t>Credit Support</w:t>
      </w:r>
    </w:p>
    <w:p>
      <w:pPr>
        <w:pStyle w:val="Normal"/>
        <w:jc w:val="both"/>
        <w:rPr/>
      </w:pPr>
      <w:r>
        <w:rPr/>
      </w:r>
    </w:p>
    <w:p>
      <w:pPr>
        <w:pStyle w:val="Normal"/>
        <w:jc w:val="both"/>
        <w:rPr/>
      </w:pPr>
      <w:r>
        <w:rPr/>
        <w:t xml:space="preserve">Orion will use ENA credit process and policies and approved counterparty list for all transactions related to the services provide in Section II of this proposal.   Orion will assume any and all credit risks associated with Orion’s Assets.  Orion will pay an appropriate credit fee to ENA depending on the final structure of this proposal. </w:t>
      </w:r>
    </w:p>
    <w:p>
      <w:pPr>
        <w:pStyle w:val="Normal"/>
        <w:jc w:val="both"/>
        <w:rPr>
          <w:b/>
        </w:rPr>
      </w:pPr>
      <w:r>
        <w:rPr>
          <w:b/>
        </w:rPr>
      </w:r>
    </w:p>
    <w:p>
      <w:pPr>
        <w:pStyle w:val="Normal"/>
        <w:jc w:val="both"/>
        <w:rPr>
          <w:b/>
        </w:rPr>
      </w:pPr>
      <w:r>
        <w:rPr>
          <w:b/>
        </w:rPr>
      </w:r>
    </w:p>
    <w:p>
      <w:pPr>
        <w:pStyle w:val="Normal"/>
        <w:jc w:val="both"/>
        <w:rPr/>
      </w:pPr>
      <w:r>
        <w:rPr/>
      </w:r>
    </w:p>
    <w:p>
      <w:pPr>
        <w:pStyle w:val="Normal"/>
        <w:jc w:val="both"/>
        <w:rPr/>
      </w:pPr>
      <w:r>
        <w:rPr/>
      </w:r>
    </w:p>
    <w:p>
      <w:pPr>
        <w:pStyle w:val="Heading1"/>
        <w:numPr>
          <w:ilvl w:val="0"/>
          <w:numId w:val="4"/>
        </w:numPr>
        <w:jc w:val="both"/>
        <w:rPr/>
      </w:pPr>
      <w:r>
        <w:rPr/>
        <w:t xml:space="preserve"> </w:t>
      </w:r>
      <w:r>
        <w:rPr/>
        <w:t>Term</w:t>
      </w:r>
    </w:p>
    <w:p>
      <w:pPr>
        <w:pStyle w:val="Normal"/>
        <w:jc w:val="both"/>
        <w:rPr/>
      </w:pPr>
      <w:r>
        <w:rPr/>
      </w:r>
    </w:p>
    <w:p>
      <w:pPr>
        <w:pStyle w:val="Normal"/>
        <w:jc w:val="both"/>
        <w:rPr/>
      </w:pPr>
      <w:r>
        <w:rPr/>
        <w:t xml:space="preserve">The agreement would begin on the closing of the merger/IPO and continue for an initial period of three years, and if not terminated by either party with 90 days notice prior to the end of the initial term, shall remain in effect for an additional twelve months.  Every year after the initial term, either party would have the right to cancel the agreement by providing written notice to the other party no less than 90 days prior to the end of the extended term.  </w:t>
      </w:r>
    </w:p>
    <w:p>
      <w:pPr>
        <w:pStyle w:val="Normal"/>
        <w:jc w:val="both"/>
        <w:rPr/>
      </w:pPr>
      <w:r>
        <w:rPr/>
      </w:r>
    </w:p>
    <w:p>
      <w:pPr>
        <w:pStyle w:val="Heading1"/>
        <w:numPr>
          <w:ilvl w:val="0"/>
          <w:numId w:val="4"/>
        </w:numPr>
        <w:jc w:val="both"/>
        <w:rPr/>
      </w:pPr>
      <w:r>
        <w:rPr/>
        <w:t>Annual Fee Schedule</w:t>
      </w:r>
    </w:p>
    <w:p>
      <w:pPr>
        <w:pStyle w:val="Normal"/>
        <w:rPr/>
      </w:pPr>
      <w:r>
        <w:rPr/>
      </w:r>
    </w:p>
    <w:p>
      <w:pPr>
        <w:pStyle w:val="Normal"/>
        <w:rPr/>
      </w:pPr>
      <w:r>
        <w:rPr>
          <w:u w:val="single"/>
        </w:rPr>
        <w:t>Function</w:t>
      </w:r>
      <w:r>
        <w:rPr/>
        <w:tab/>
        <w:tab/>
        <w:tab/>
      </w:r>
      <w:r>
        <w:rPr>
          <w:u w:val="single"/>
        </w:rPr>
        <w:t>Employees Required</w:t>
      </w:r>
      <w:r>
        <w:rPr/>
        <w:tab/>
        <w:tab/>
        <w:tab/>
      </w:r>
      <w:r>
        <w:rPr>
          <w:u w:val="single"/>
        </w:rPr>
        <w:t>Annual Fee</w:t>
      </w:r>
    </w:p>
    <w:p>
      <w:pPr>
        <w:pStyle w:val="Normal"/>
        <w:rPr/>
      </w:pPr>
      <w:r>
        <w:rPr/>
        <w:t>24-Hour Trading</w:t>
        <w:tab/>
        <w:tab/>
        <w:tab/>
        <w:t>6</w:t>
        <w:tab/>
        <w:tab/>
        <w:tab/>
        <w:tab/>
        <w:t>$  785,000</w:t>
      </w:r>
    </w:p>
    <w:p>
      <w:pPr>
        <w:pStyle w:val="Normal"/>
        <w:rPr/>
      </w:pPr>
      <w:r>
        <w:rPr/>
        <w:t>Scheduling</w:t>
        <w:tab/>
        <w:tab/>
        <w:tab/>
        <w:tab/>
        <w:t>2</w:t>
        <w:tab/>
        <w:tab/>
        <w:tab/>
        <w:tab/>
        <w:t>$  250,000</w:t>
      </w:r>
    </w:p>
    <w:p>
      <w:pPr>
        <w:pStyle w:val="Normal"/>
        <w:rPr/>
      </w:pPr>
      <w:r>
        <w:rPr/>
        <w:t>Deal Clearing</w:t>
        <w:tab/>
        <w:tab/>
        <w:tab/>
        <w:tab/>
        <w:t>1</w:t>
        <w:tab/>
        <w:tab/>
        <w:tab/>
        <w:tab/>
        <w:t>$  125,000</w:t>
      </w:r>
    </w:p>
    <w:p>
      <w:pPr>
        <w:pStyle w:val="Normal"/>
        <w:rPr/>
      </w:pPr>
      <w:r>
        <w:rPr/>
        <w:t>Portfolio Reporting</w:t>
        <w:tab/>
        <w:tab/>
        <w:tab/>
        <w:t>3</w:t>
        <w:tab/>
        <w:tab/>
        <w:tab/>
        <w:tab/>
        <w:t>$  375,000</w:t>
      </w:r>
    </w:p>
    <w:p>
      <w:pPr>
        <w:pStyle w:val="Normal"/>
        <w:rPr/>
      </w:pPr>
      <w:r>
        <w:rPr/>
        <w:t>Settlements</w:t>
        <w:tab/>
        <w:tab/>
        <w:tab/>
        <w:tab/>
        <w:t>2</w:t>
        <w:tab/>
        <w:tab/>
        <w:tab/>
        <w:tab/>
        <w:t>$  250,000</w:t>
      </w:r>
    </w:p>
    <w:p>
      <w:pPr>
        <w:pStyle w:val="Normal"/>
        <w:rPr/>
      </w:pPr>
      <w:r>
        <w:rPr/>
        <w:t>Systems</w:t>
        <w:tab/>
        <w:tab/>
        <w:tab/>
        <w:tab/>
        <w:tab/>
        <w:tab/>
        <w:tab/>
        <w:tab/>
        <w:t>$8,215,000</w:t>
      </w:r>
    </w:p>
    <w:p>
      <w:pPr>
        <w:pStyle w:val="Normal"/>
        <w:rPr/>
      </w:pPr>
      <w:r>
        <w:rPr/>
        <w:t>Credit Charge</w:t>
        <w:tab/>
        <w:tab/>
        <w:tab/>
        <w:tab/>
        <w:tab/>
        <w:tab/>
        <w:tab/>
        <w:tab/>
        <w:t>to be determined</w:t>
        <w:tab/>
      </w:r>
    </w:p>
    <w:p>
      <w:pPr>
        <w:pStyle w:val="Normal"/>
        <w:ind w:start="720" w:end="0"/>
        <w:rPr/>
      </w:pPr>
      <w:r>
        <w:rPr/>
      </w:r>
    </w:p>
    <w:p>
      <w:pPr>
        <w:pStyle w:val="Heading1"/>
        <w:numPr>
          <w:ilvl w:val="0"/>
          <w:numId w:val="4"/>
        </w:numPr>
        <w:rPr/>
      </w:pPr>
      <w:r>
        <w:rPr/>
        <w:t>ENA Rights</w:t>
      </w:r>
    </w:p>
    <w:p>
      <w:pPr>
        <w:pStyle w:val="Normal"/>
        <w:rPr/>
      </w:pPr>
      <w:r>
        <w:rPr/>
      </w:r>
    </w:p>
    <w:p>
      <w:pPr>
        <w:pStyle w:val="BodyText"/>
        <w:numPr>
          <w:ilvl w:val="0"/>
          <w:numId w:val="5"/>
        </w:numPr>
        <w:rPr/>
      </w:pPr>
      <w:r>
        <w:rPr/>
        <w:t>ENA will have the right of first refusal on 30% of all marketing and origination opportunities greater than three months.</w:t>
      </w:r>
    </w:p>
    <w:p>
      <w:pPr>
        <w:pStyle w:val="BodyText"/>
        <w:numPr>
          <w:ilvl w:val="0"/>
          <w:numId w:val="5"/>
        </w:numPr>
        <w:rPr/>
      </w:pPr>
      <w:r>
        <w:rPr/>
        <w:t>ENA will have the right of first refusal on any uncommitted energy, capacity and ancillary services.</w:t>
      </w:r>
    </w:p>
    <w:p>
      <w:pPr>
        <w:pStyle w:val="BodyText"/>
        <w:numPr>
          <w:ilvl w:val="0"/>
          <w:numId w:val="5"/>
        </w:numPr>
        <w:rPr/>
      </w:pPr>
      <w:r>
        <w:rPr/>
        <w:t>ENA will have the right to present fuel supply proposals for Orion’s review and approval.</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50"/>
        </w:tabs>
        <w:ind w:start="750" w:hanging="750"/>
      </w:pPr>
      <w:rPr/>
    </w:lvl>
  </w:abstractNum>
  <w:abstractNum w:abstractNumId="3">
    <w:lvl w:ilvl="0">
      <w:start w:val="1"/>
      <w:numFmt w:val="decimal"/>
      <w:lvlText w:val="%1."/>
      <w:lvlJc w:val="start"/>
      <w:pPr>
        <w:tabs>
          <w:tab w:val="num" w:pos="390"/>
        </w:tabs>
        <w:ind w:start="390" w:hanging="390"/>
      </w:pPr>
      <w:rPr/>
    </w:lvl>
  </w:abstractNum>
  <w:abstractNum w:abstractNumId="4">
    <w:lvl w:ilvl="0">
      <w:start w:val="2"/>
      <w:numFmt w:val="upperRoman"/>
      <w:lvlText w:val="%1."/>
      <w:lvlJc w:val="start"/>
      <w:pPr>
        <w:tabs>
          <w:tab w:val="num" w:pos="720"/>
        </w:tabs>
        <w:ind w:start="720" w:hanging="720"/>
      </w:pPr>
      <w:rPr/>
    </w:lvl>
  </w:abstractNum>
  <w:abstractNum w:abstractNumId="5">
    <w:lvl w:ilvl="0">
      <w:start w:val="1"/>
      <w:numFmt w:val="decimal"/>
      <w:lvlText w:val="%1."/>
      <w:lvlJc w:val="start"/>
      <w:pPr>
        <w:tabs>
          <w:tab w:val="num" w:pos="390"/>
        </w:tabs>
        <w:ind w:start="390" w:hanging="39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2000-05-02T19:56:00Z</dcterms:created>
  <dc:creator>bsukaly</dc:creator>
  <dc:description/>
  <dc:language>en-CA</dc:language>
  <cp:lastModifiedBy>bsukaly</cp:lastModifiedBy>
  <cp:lastPrinted>2000-05-15T11:49:00Z</cp:lastPrinted>
  <dcterms:modified xsi:type="dcterms:W3CDTF">2000-05-16T13:08:00Z</dcterms:modified>
  <cp:revision>23</cp:revision>
  <dc:subject/>
  <dc:title>The following is a proposal by Enron North America (“ENA”) to provide Merchant Energy Services to Orion Power Holdings, Inc</dc:title>
</cp:coreProperties>
</file>