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media/image1.png" ContentType="image/png"/>
  <Override PartName="/word/footer1.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b/>
          <w:sz w:val="20"/>
        </w:rPr>
      </w:pPr>
      <w:r>
        <w:rPr>
          <w:b/>
          <w:sz w:val="20"/>
        </w:rPr>
      </w:r>
    </w:p>
    <w:p>
      <w:pPr>
        <w:pStyle w:val="Normal"/>
        <w:ind w:start="720" w:end="0"/>
        <w:rPr>
          <w:sz w:val="22"/>
        </w:rPr>
      </w:pPr>
      <w:r>
        <w:rPr>
          <w:sz w:val="22"/>
        </w:rPr>
        <w:tab/>
        <w:tab/>
      </w:r>
    </w:p>
    <w:p>
      <w:pPr>
        <w:sectPr>
          <w:headerReference w:type="default" r:id="rId2"/>
          <w:headerReference w:type="first" r:id="rId3"/>
          <w:footerReference w:type="default" r:id="rId4"/>
          <w:footerReference w:type="first" r:id="rId5"/>
          <w:type w:val="continuous"/>
          <w:pgSz w:w="12240" w:h="15840"/>
          <w:pgMar w:left="1152" w:right="864" w:gutter="0" w:header="720" w:top="864" w:footer="720" w:bottom="864"/>
          <w:cols w:num="2" w:space="108" w:equalWidth="true" w:sep="false"/>
          <w:formProt w:val="false"/>
          <w:titlePg/>
          <w:textDirection w:val="lrTb"/>
          <w:docGrid w:type="default" w:linePitch="360" w:charSpace="0"/>
        </w:sectPr>
      </w:pP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snapToGrid w:val="false"/>
              <w:rPr>
                <w:sz w:val="22"/>
              </w:rPr>
            </w:pPr>
            <w:r>
              <w:rPr>
                <w:sz w:val="22"/>
              </w:rPr>
            </w:r>
          </w:p>
        </w:tc>
        <w:tc>
          <w:tcPr>
            <w:tcW w:w="4878" w:type="dxa"/>
            <w:tcBorders/>
          </w:tcPr>
          <w:p>
            <w:pPr>
              <w:pStyle w:val="Normal"/>
              <w:tabs>
                <w:tab w:val="clear" w:pos="720"/>
                <w:tab w:val="left" w:pos="2412" w:leader="none"/>
              </w:tabs>
              <w:snapToGrid w:val="false"/>
              <w:ind w:start="1962" w:end="0"/>
              <w:rPr>
                <w:i/>
                <w:i/>
                <w:sz w:val="22"/>
              </w:rPr>
            </w:pPr>
            <w:r>
              <w:rPr>
                <w:i/>
                <w:sz w:val="22"/>
              </w:rPr>
            </w:r>
          </w:p>
        </w:tc>
      </w:tr>
    </w:tbl>
    <w:p>
      <w:pPr>
        <w:pStyle w:val="Normal"/>
        <w:rPr/>
      </w:pPr>
      <w:r>
        <w:rPr/>
        <w:t xml:space="preserve"> </w:t>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917575" cy="91757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6"/>
                          <a:srcRect l="-39" t="-39" r="-39" b="-39"/>
                          <a:stretch>
                            <a:fillRect/>
                          </a:stretch>
                        </pic:blipFill>
                        <pic:spPr bwMode="auto">
                          <a:xfrm>
                            <a:off x="0" y="0"/>
                            <a:ext cx="917575" cy="917575"/>
                          </a:xfrm>
                          <a:prstGeom prst="rect">
                            <a:avLst/>
                          </a:prstGeom>
                          <a:noFill/>
                        </pic:spPr>
                      </pic:pic>
                    </a:graphicData>
                  </a:graphic>
                </wp:inline>
              </w:drawing>
            </w:r>
          </w:p>
        </w:tc>
        <w:tc>
          <w:tcPr>
            <w:tcW w:w="7740" w:type="dxa"/>
            <w:tcBorders/>
          </w:tcPr>
          <w:p>
            <w:pPr>
              <w:pStyle w:val="Heading"/>
              <w:tabs>
                <w:tab w:val="clear" w:pos="720"/>
                <w:tab w:val="left" w:pos="3222" w:leader="none"/>
              </w:tabs>
              <w:ind w:start="4482" w:end="0"/>
              <w:rPr>
                <w:b w:val="false"/>
                <w:sz w:val="20"/>
              </w:rPr>
            </w:pPr>
            <w:r>
              <w:rPr>
                <w:sz w:val="20"/>
              </w:rPr>
              <w:br/>
              <w:t>Enron Power Marketing, Inc.</w:t>
            </w:r>
          </w:p>
          <w:p>
            <w:pPr>
              <w:pStyle w:val="Heading"/>
              <w:tabs>
                <w:tab w:val="clear" w:pos="720"/>
                <w:tab w:val="left" w:pos="3222" w:leader="none"/>
              </w:tabs>
              <w:ind w:start="4482" w:end="0"/>
              <w:rPr>
                <w:b w:val="false"/>
                <w:sz w:val="16"/>
              </w:rPr>
            </w:pPr>
            <w:r>
              <w:rPr>
                <w:b w:val="false"/>
                <w:sz w:val="16"/>
              </w:rPr>
              <w:t>P.O. Box 4428</w:t>
            </w:r>
          </w:p>
          <w:p>
            <w:pPr>
              <w:pStyle w:val="BodyTextIndent"/>
              <w:tabs>
                <w:tab w:val="clear" w:pos="720"/>
                <w:tab w:val="left" w:pos="3222" w:leader="none"/>
              </w:tabs>
              <w:ind w:start="4482" w:end="0"/>
              <w:rPr>
                <w:i/>
                <w:i/>
                <w:sz w:val="16"/>
              </w:rPr>
            </w:pPr>
            <w:r>
              <w:rPr>
                <w:i/>
                <w:sz w:val="16"/>
              </w:rPr>
              <w:t>Houston, Texas 77210-4428</w:t>
            </w:r>
          </w:p>
          <w:p>
            <w:pPr>
              <w:pStyle w:val="Normal"/>
              <w:tabs>
                <w:tab w:val="clear" w:pos="720"/>
                <w:tab w:val="left" w:pos="3222" w:leader="none"/>
              </w:tabs>
              <w:ind w:start="4482" w:end="0"/>
              <w:rPr>
                <w:sz w:val="20"/>
              </w:rPr>
            </w:pPr>
            <w:r>
              <w:rPr>
                <w:rFonts w:cs="Arial" w:ascii="Arial" w:hAnsi="Arial"/>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360" w:after="0"/>
        <w:rPr>
          <w:sz w:val="22"/>
        </w:rPr>
      </w:pPr>
      <w:r>
        <w:rPr>
          <w:sz w:val="22"/>
        </w:rPr>
        <w:t>May 30, 2001</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fldChar w:fldCharType="begin"/>
      </w:r>
      <w:r>
        <w:rPr>
          <w:sz w:val="22"/>
        </w:rPr>
        <w:instrText xml:space="preserve"> MERGEFIELD CounterpartyContact </w:instrText>
      </w:r>
      <w:r>
        <w:rPr>
          <w:sz w:val="22"/>
        </w:rPr>
        <w:fldChar w:fldCharType="separate"/>
      </w:r>
      <w:r>
        <w:rPr>
          <w:sz w:val="22"/>
        </w:rPr>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Orion Power Holdings, Inc.</w:t>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«CounterpartyAddr1»</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CounterpartyAddr1 </w:instrText>
      </w:r>
      <w:r>
        <w:rPr>
          <w:sz w:val="22"/>
        </w:rPr>
        <w:fldChar w:fldCharType="separate"/>
      </w:r>
      <w:r>
        <w:rPr>
          <w:sz w:val="22"/>
        </w:rPr>
        <w:t>«CounterpartyAddr2»</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fldChar w:fldCharType="begin"/>
      </w:r>
      <w:r>
        <w:rPr>
          <w:sz w:val="22"/>
        </w:rPr>
        <w:instrText xml:space="preserve"> MERGEFIELD CounterpartyAddrCity </w:instrText>
      </w:r>
      <w:r>
        <w:rPr>
          <w:sz w:val="22"/>
        </w:rPr>
        <w:fldChar w:fldCharType="separate"/>
      </w:r>
      <w:r>
        <w:rPr>
          <w:sz w:val="22"/>
        </w:rPr>
        <w:t>«CounterpartyAddrCity»</w:t>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t>«CounterpartyAddrState»</w:t>
      </w:r>
      <w:r>
        <w:rPr>
          <w:sz w:val="22"/>
        </w:rPr>
        <w:fldChar w:fldCharType="end"/>
      </w:r>
      <w:r>
        <w:rPr>
          <w:sz w:val="22"/>
        </w:rPr>
        <w:fldChar w:fldCharType="begin"/>
      </w:r>
      <w:r>
        <w:rPr>
          <w:sz w:val="22"/>
        </w:rPr>
        <w:instrText xml:space="preserve"> MERGEFIELD CounterpartyAddrZip </w:instrText>
      </w:r>
      <w:r>
        <w:rPr>
          <w:sz w:val="22"/>
        </w:rPr>
        <w:fldChar w:fldCharType="separate"/>
      </w:r>
      <w:r>
        <w:rPr>
          <w:sz w:val="22"/>
        </w:rPr>
        <w:t>«CounterpartyAddrZip»</w:t>
      </w:r>
      <w:r>
        <w:rPr>
          <w:sz w:val="22"/>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 xml:space="preserve">FAX </w:t>
      </w:r>
      <w:r>
        <w:rPr>
          <w:sz w:val="22"/>
        </w:rPr>
        <w:fldChar w:fldCharType="begin"/>
      </w:r>
      <w:r>
        <w:rPr>
          <w:sz w:val="22"/>
        </w:rPr>
        <w:instrText xml:space="preserve"> MERGEFIELD CounterpartyFax </w:instrText>
      </w:r>
      <w:r>
        <w:rPr>
          <w:sz w:val="22"/>
        </w:rPr>
        <w:fldChar w:fldCharType="separate"/>
      </w:r>
      <w:r>
        <w:rPr>
          <w:sz w:val="22"/>
        </w:rPr>
        <w:t>«CounterpartyFax»</w:t>
      </w:r>
      <w:r>
        <w:rPr>
          <w:sz w:val="22"/>
        </w:rPr>
        <w:fldChar w:fldCharType="end"/>
      </w:r>
    </w:p>
    <w:p>
      <w:pPr>
        <w:pStyle w:val="Heading4"/>
        <w:spacing w:before="240" w:after="0"/>
        <w:ind w:hanging="0" w:start="0"/>
        <w:rPr>
          <w:smallCaps/>
          <w:sz w:val="22"/>
          <w:u w:val="single"/>
        </w:rPr>
      </w:pPr>
      <w:r>
        <w:rPr>
          <w:smallCaps/>
          <w:sz w:val="22"/>
          <w:u w:val="single"/>
        </w:rPr>
        <w:t>Confirmation Letter</w:t>
      </w:r>
    </w:p>
    <w:p>
      <w:pPr>
        <w:pStyle w:val="Heading4"/>
        <w:spacing w:before="120" w:after="0"/>
        <w:ind w:hanging="0" w:start="0"/>
        <w:rPr>
          <w:smallCaps/>
          <w:sz w:val="22"/>
          <w:u w:val="single"/>
        </w:rPr>
      </w:pPr>
      <w:r>
        <w:rPr>
          <w:smallCaps/>
          <w:sz w:val="22"/>
          <w:u w:val="single"/>
        </w:rPr>
        <w:t>(Contingent Option)</w:t>
      </w:r>
    </w:p>
    <w:p>
      <w:pPr>
        <w:pStyle w:val="BodyText"/>
        <w:rPr/>
      </w:pPr>
      <w:r>
        <w:rPr>
          <w:sz w:val="22"/>
        </w:rPr>
        <w:tab/>
        <w:t xml:space="preserve">This Confirmation Letter ("Confirmation Letter"), together with the general terms and conditions contained in Annex A attached hereto and made a part hereof ("Confirmation"), shall confirm the transaction ("Transaction") entered into on May [ ],2001 ("Trade Date") between </w:t>
      </w:r>
      <w:r>
        <w:rPr>
          <w:sz w:val="22"/>
        </w:rPr>
        <w:fldChar w:fldCharType="begin"/>
      </w:r>
      <w:r>
        <w:rPr>
          <w:sz w:val="22"/>
        </w:rPr>
        <w:instrText xml:space="preserve"> MERGEFIELD CounterpartyName </w:instrText>
      </w:r>
      <w:r>
        <w:rPr>
          <w:sz w:val="22"/>
        </w:rPr>
        <w:fldChar w:fldCharType="separate"/>
      </w:r>
      <w:r>
        <w:rPr>
          <w:sz w:val="22"/>
        </w:rPr>
        <w:t>«Orion Power Holdings, Inc.»</w:t>
      </w:r>
      <w:r>
        <w:rPr>
          <w:sz w:val="22"/>
        </w:rPr>
        <w:fldChar w:fldCharType="end"/>
      </w:r>
      <w:r>
        <w:rPr>
          <w:sz w:val="22"/>
        </w:rPr>
        <w:t xml:space="preserve"> and </w:t>
      </w:r>
      <w:r>
        <w:rPr>
          <w:sz w:val="22"/>
        </w:rPr>
        <w:fldChar w:fldCharType="begin"/>
      </w:r>
      <w:r>
        <w:rPr>
          <w:sz w:val="22"/>
        </w:rPr>
        <w:instrText xml:space="preserve"> MERGEFIELD EnronEntityNameCode </w:instrText>
      </w:r>
      <w:r>
        <w:rPr>
          <w:sz w:val="22"/>
        </w:rPr>
        <w:fldChar w:fldCharType="separate"/>
      </w:r>
      <w:r>
        <w:rPr>
          <w:sz w:val="22"/>
        </w:rPr>
        <w:t>«Enron Power Marketing, Inc.»</w:t>
      </w:r>
      <w:r>
        <w:rPr>
          <w:sz w:val="22"/>
        </w:rPr>
        <w:fldChar w:fldCharType="end"/>
      </w:r>
      <w:r>
        <w:rPr>
          <w:sz w:val="22"/>
        </w:rPr>
        <w:t xml:space="preserve"> regarding the sale of a </w:t>
      </w:r>
      <w:r>
        <w:rPr>
          <w:sz w:val="22"/>
          <w:highlight w:val="yellow"/>
        </w:rPr>
        <w:fldChar w:fldCharType="begin"/>
      </w:r>
      <w:r>
        <w:rPr>
          <w:sz w:val="22"/>
          <w:highlight w:val="yellow"/>
        </w:rPr>
        <w:instrText xml:space="preserve"> MERGEFIELD InstrTypeCallPut </w:instrText>
      </w:r>
      <w:r>
        <w:rPr>
          <w:sz w:val="22"/>
          <w:highlight w:val="yellow"/>
        </w:rPr>
        <w:fldChar w:fldCharType="separate"/>
      </w:r>
      <w:r>
        <w:rPr>
          <w:sz w:val="22"/>
          <w:highlight w:val="yellow"/>
        </w:rPr>
        <w:t>Firm Energy Contingent Call Option »</w:t>
      </w:r>
      <w:r>
        <w:rPr>
          <w:sz w:val="22"/>
          <w:highlight w:val="yellow"/>
        </w:rPr>
        <w:fldChar w:fldCharType="end"/>
      </w:r>
      <w:r>
        <w:rPr/>
        <w:t xml:space="preserve"> under the terms and conditions that follow:</w:t>
      </w:r>
    </w:p>
    <w:tbl>
      <w:tblPr>
        <w:tblW w:w="9630" w:type="dxa"/>
        <w:jc w:val="start"/>
        <w:tblInd w:w="18" w:type="dxa"/>
        <w:tblLayout w:type="fixed"/>
        <w:tblCellMar>
          <w:top w:w="0" w:type="dxa"/>
          <w:start w:w="108" w:type="dxa"/>
          <w:bottom w:w="0" w:type="dxa"/>
          <w:end w:w="108" w:type="dxa"/>
        </w:tblCellMar>
      </w:tblPr>
      <w:tblGrid>
        <w:gridCol w:w="3060"/>
        <w:gridCol w:w="6570"/>
      </w:tblGrid>
      <w:tr>
        <w:trPr/>
        <w:tc>
          <w:tcPr>
            <w:tcW w:w="9630" w:type="dxa"/>
            <w:gridSpan w:val="2"/>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b/>
                <w:smallCaps/>
                <w:sz w:val="22"/>
              </w:rPr>
              <w:t>General Terms of Transaction:</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Seller:</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t>Enron Power Marketing, Inc</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Buyer:</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t>Orion Power Holdings, Inc.</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Commodity:</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t>Firm Energy</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Delivery Term:</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t>Hour Ending (HE) 08:00 AM through to HE 11:00 on each Delivery Day during the period June 1, 2001 through September 30, 2001</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u w:val="single"/>
              </w:rPr>
            </w:pPr>
            <w:r>
              <w:rPr>
                <w:b/>
                <w:sz w:val="22"/>
              </w:rPr>
              <w:t>Strike Price:</w:t>
            </w:r>
          </w:p>
        </w:tc>
        <w:tc>
          <w:tcPr>
            <w:tcW w:w="6570" w:type="dxa"/>
            <w:tcBorders/>
          </w:tcPr>
          <w:p>
            <w:pPr>
              <w:pStyle w:val="Justified"/>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rPr/>
            </w:pPr>
            <w:r>
              <w:rPr/>
              <w:t>$300/MWh</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Option Premium:</w:t>
            </w:r>
          </w:p>
        </w:tc>
        <w:tc>
          <w:tcPr>
            <w:tcW w:w="6570" w:type="dxa"/>
            <w:tcBorders/>
          </w:tcPr>
          <w:p>
            <w:pPr>
              <w:pStyle w:val="Heading7"/>
              <w:spacing w:before="240" w:after="0"/>
              <w:ind w:hanging="0" w:start="0"/>
              <w:rPr>
                <w:b w:val="false"/>
              </w:rPr>
            </w:pPr>
            <w:r>
              <w:rPr>
                <w:b w:val="false"/>
              </w:rPr>
              <w:t>[                          ]to be paid within, on, or before two Business Days after receipt of an invoice</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Contract Quantity:</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t>Up to 2,222 MWh per hour in excess of the Capacity Strike Amount for each On-Peak Hour for each Delivery Day during the Delivery Term.</w:t>
            </w:r>
          </w:p>
        </w:tc>
      </w:tr>
      <w:tr>
        <w:trPr/>
        <w:tc>
          <w:tcPr>
            <w:tcW w:w="3060" w:type="dxa"/>
            <w:tcBorders/>
          </w:tcPr>
          <w:p>
            <w:pPr>
              <w:pStyle w:val="Normal"/>
              <w:tabs>
                <w:tab w:val="clear" w:pos="720"/>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ind w:start="702" w:end="0"/>
              <w:jc w:val="both"/>
              <w:rPr>
                <w:b/>
                <w:sz w:val="22"/>
              </w:rPr>
            </w:pPr>
            <w:r>
              <w:rPr>
                <w:b/>
                <w:sz w:val="22"/>
              </w:rPr>
              <w:t>Delivery Point(s):</w:t>
            </w:r>
          </w:p>
        </w:tc>
        <w:tc>
          <w:tcPr>
            <w:tcW w:w="657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rPr>
                <w:sz w:val="22"/>
              </w:rPr>
            </w:pPr>
            <w:r>
              <w:rPr>
                <w:sz w:val="22"/>
              </w:rPr>
              <w:t>Duquesne Light Company Control Area</w:t>
            </w:r>
          </w:p>
        </w:tc>
      </w:tr>
      <w:tr>
        <w:trPr/>
        <w:tc>
          <w:tcPr>
            <w:tcW w:w="3060" w:type="dxa"/>
            <w:tcBorders/>
          </w:tcPr>
          <w:p>
            <w:pPr>
              <w:pStyle w:val="Normal"/>
              <w:tabs>
                <w:tab w:val="clear" w:pos="72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ind w:start="702" w:end="0"/>
              <w:jc w:val="both"/>
              <w:rPr>
                <w:b/>
                <w:sz w:val="22"/>
              </w:rPr>
            </w:pPr>
            <w:r>
              <w:rPr>
                <w:b/>
                <w:sz w:val="22"/>
              </w:rPr>
              <w:t>Scheduling:</w:t>
            </w:r>
          </w:p>
        </w:tc>
        <w:tc>
          <w:tcPr>
            <w:tcW w:w="6570" w:type="dxa"/>
            <w:tcBorders/>
          </w:tcPr>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sz w:val="22"/>
              </w:rPr>
            </w:pPr>
            <w:r>
              <w:rPr>
                <w:sz w:val="22"/>
              </w:rPr>
              <w:t>EPMI Real Time Operations: 1-877-367-6601</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pPr>
            <w:r>
              <w:rPr/>
              <w:t>Daily pre-scheduled by 09:00 p.m. EPT on the Business Day prior to Delivery.  However Seller shall use reasonable endeavours to Schedule 50MW blocks of Energy upon receiving at least 3 hours notice from Buyer.  Buyer assumes all risks associated with the Transmission of Energy away from the Delivery Point.  Seller makes no representations that the Energy can be moved out of the Duquesne Light Company Control Area and shall have no liability if the Buyer is unable to move the Energy out of the Duquesne Light Company Control Area.</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pPr>
            <w:r>
              <w:rPr>
                <w:b/>
                <w:bCs/>
              </w:rPr>
              <w:t>Special Conditions</w:t>
            </w:r>
            <w:r>
              <w:rPr/>
              <w:t>:  For each hour of each Delivery Day in which there is a Knock-In-Event the Buyer has the right but not the obligation to purchase firm Energy at the Strike Price above.  In order to exercise its Option, Buyer must provide telephone notice to Seller, no later than 08:00 a.m. EPT or 07:15 a.m. CPT on the prior Business Day or at least 3 hours notice where Buyer requires a minimum of 50MW delivered and/or any blocks of 50MW  If the Option is properly exercised, the parties shall be obligated to schedule, deliver and receive the Contract Quantity for the Delivery Day during the Delivery Term for which the Option is exercised. If at the time the Buyer exercises its Option, it is, for whatever reason, unable or unwilling to accept firm Energy and notifies Seller of this, at the same time as it exercises its Option, Seller shall be entiled to elect to receive the Payout Calculation Amount and if Buyer makes such an election, both Seller and Buyer shall be relieved of their obligations purchase to schedule, deliver and receive the Contract Quantity for the Delivery Day during the Delivery Term for which the Option was exercised.</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pPr>
            <w:r>
              <w:rPr/>
              <w:t>Liquidated Damages: Unless excused by Force Majeure or Buyer’s failure to perform, if Seller fails to Schedule and/or deliver all or part of the Contract Quantity upon proper exercise of the Option by Buyer, Seller shall pay to Buyer the Payout Calculation Amount. Unless excused by Force Majeure or Seller’s failure to perform, if Buyer fails to schedule and/or receive all or part of the Contract Quantity it is required to receive from the Seller, Buyer shall pay to Seller an amount for each unit of Energy in such deficiency equal to the positive difference, if any, obtained by subtracting the Sales Price from the Strike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The remedy set forth in this Section shall be the sole and exclusive remedy of the aggrieved Party for the failure to schedule or deliver or receive the Contract Quantity of Energy and all other damages are waived.</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240" w:after="0"/>
              <w:jc w:val="both"/>
              <w:rPr/>
            </w:pPr>
            <w:r>
              <w:rPr/>
            </w:r>
          </w:p>
        </w:tc>
      </w:tr>
      <w:tr>
        <w:trPr/>
        <w:tc>
          <w:tcPr>
            <w:tcW w:w="3060" w:type="dxa"/>
            <w:tcBorders/>
          </w:tcPr>
          <w:p>
            <w:pPr>
              <w:pStyle w:val="Normal"/>
              <w:tabs>
                <w:tab w:val="clear" w:pos="72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240" w:after="0"/>
              <w:ind w:start="702" w:end="0"/>
              <w:jc w:val="both"/>
              <w:rPr>
                <w:b/>
                <w:sz w:val="22"/>
              </w:rPr>
            </w:pPr>
            <w:r>
              <w:rPr>
                <w:b/>
                <w:sz w:val="22"/>
              </w:rPr>
            </w:r>
          </w:p>
        </w:tc>
        <w:tc>
          <w:tcPr>
            <w:tcW w:w="6570" w:type="dxa"/>
            <w:tcBorders/>
          </w:tcPr>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napToGrid w:val="false"/>
              <w:spacing w:before="240" w:after="0"/>
              <w:jc w:val="both"/>
              <w:rPr>
                <w:b/>
                <w:sz w:val="22"/>
              </w:rPr>
            </w:pPr>
            <w:r>
              <w:rPr>
                <w:b/>
                <w:sz w:val="22"/>
              </w:rPr>
            </w:r>
          </w:p>
        </w:tc>
      </w:tr>
    </w:tbl>
    <w:p>
      <w:pPr>
        <w:pStyle w:val="Normal"/>
        <w:rPr>
          <w:b/>
          <w:sz w:val="22"/>
        </w:rPr>
      </w:pPr>
      <w:r>
        <w:rPr>
          <w:b/>
          <w:sz w:val="22"/>
        </w:rPr>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Aggregate Payout Limit:</w:t>
            </w:r>
          </w:p>
        </w:tc>
        <w:tc>
          <w:tcPr>
            <w:tcW w:w="6102" w:type="dxa"/>
            <w:tcBorders/>
          </w:tcPr>
          <w:p>
            <w:pPr>
              <w:pStyle w:val="Normal"/>
              <w:jc w:val="both"/>
              <w:rPr>
                <w:sz w:val="22"/>
              </w:rPr>
            </w:pPr>
            <w:r>
              <w:rPr>
                <w:sz w:val="22"/>
              </w:rPr>
              <w:t xml:space="preserve">$50,000,000 </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pPr>
            <w:r>
              <w:rPr>
                <w:sz w:val="22"/>
              </w:rPr>
              <w:t>Periodic payments shall be made during the Delivery Term as follows:</w:t>
            </w:r>
            <w:r>
              <w:rPr>
                <w:b/>
                <w:sz w:val="22"/>
              </w:rPr>
              <w:t xml:space="preserve"> </w:t>
            </w:r>
            <w:r>
              <w:rPr>
                <w:sz w:val="22"/>
              </w:rPr>
              <w:t>30 days after the end of each calendar month during the Delivery Term or 30 days after submission of the Settlement Data for such calendar month, whichever is later.</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t>Index plus the Hub basis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Payout Calculation Amount:</w:t>
            </w:r>
          </w:p>
        </w:tc>
        <w:tc>
          <w:tcPr>
            <w:tcW w:w="6102" w:type="dxa"/>
            <w:tcBorders/>
          </w:tcPr>
          <w:p>
            <w:pPr>
              <w:pStyle w:val="BodyText3"/>
              <w:rPr>
                <w:color w:val="000000"/>
              </w:rPr>
            </w:pPr>
            <w:r>
              <w:rPr/>
              <w:t>If during any On-Peak Hour on any Delivery Day (I) a Knock-In-Event occurs or is continuing, and (II) the applicable Floating Price for such On Peak Hour is greater than the applicable Strike Price, then, the Payout Calculation Amount as to each On-Peak Hour of each Delivery Day shall be the product of (A) the difference between the Floating Price and the Strike Price, and (B) the Knock-In Outage Amount for such On-Peak Hour.</w:t>
            </w:r>
          </w:p>
          <w:p>
            <w:pPr>
              <w:pStyle w:val="Normal"/>
              <w:jc w:val="both"/>
              <w:rPr>
                <w:color w:val="000000"/>
                <w:sz w:val="22"/>
              </w:rPr>
            </w:pPr>
            <w:r>
              <w:rPr>
                <w:color w:val="000000"/>
                <w:sz w:val="22"/>
              </w:rPr>
            </w:r>
          </w:p>
        </w:tc>
      </w:tr>
      <w:tr>
        <w:trPr/>
        <w:tc>
          <w:tcPr>
            <w:tcW w:w="4338" w:type="dxa"/>
            <w:tcBorders/>
          </w:tcPr>
          <w:p>
            <w:pPr>
              <w:pStyle w:val="Normal"/>
              <w:ind w:start="720" w:end="0"/>
              <w:rPr>
                <w:sz w:val="22"/>
              </w:rPr>
            </w:pPr>
            <w:r>
              <w:rPr>
                <w:sz w:val="22"/>
              </w:rPr>
              <w:t>Cash Settlement Amount:</w:t>
            </w:r>
          </w:p>
        </w:tc>
        <w:tc>
          <w:tcPr>
            <w:tcW w:w="6102" w:type="dxa"/>
            <w:tcBorders/>
          </w:tcPr>
          <w:p>
            <w:pPr>
              <w:pStyle w:val="Normal"/>
              <w:jc w:val="both"/>
              <w:rPr>
                <w:sz w:val="22"/>
              </w:rPr>
            </w:pPr>
            <w:r>
              <w:rPr>
                <w:sz w:val="22"/>
              </w:rPr>
              <w:t>For each calendar month during the Delivery Term the Seller shall pay the Buyer an amount equal to the amount by which the Payout Calculation Amount for such calendar month exceeds the Payout Strike, provided, however, that the sum of the Cash Settlement Amounts for the Delivery Term shall not exceed the Aggregate Payout Limit.</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p>
            <w:pPr>
              <w:pStyle w:val="Normal"/>
              <w:ind w:start="720" w:end="0"/>
              <w:rPr>
                <w:sz w:val="22"/>
              </w:rPr>
            </w:pPr>
            <w:r>
              <w:rPr>
                <w:sz w:val="22"/>
              </w:rPr>
              <w:t>Index:</w:t>
              <w:tab/>
            </w:r>
          </w:p>
        </w:tc>
        <w:tc>
          <w:tcPr>
            <w:tcW w:w="6102" w:type="dxa"/>
            <w:tcBorders/>
          </w:tcPr>
          <w:p>
            <w:pPr>
              <w:pStyle w:val="Normal"/>
              <w:snapToGrid w:val="false"/>
              <w:jc w:val="both"/>
              <w:rPr>
                <w:sz w:val="22"/>
              </w:rPr>
            </w:pPr>
            <w:r>
              <w:rPr>
                <w:sz w:val="22"/>
              </w:rPr>
            </w:r>
          </w:p>
          <w:p>
            <w:pPr>
              <w:pStyle w:val="Normal"/>
              <w:jc w:val="both"/>
              <w:rPr>
                <w:sz w:val="22"/>
              </w:rPr>
            </w:pPr>
            <w:r>
              <w:rPr>
                <w:sz w:val="22"/>
              </w:rPr>
              <w:t>The “Weighted Average Index” price at “into Cinergy” under the heading “Trades for Standard 16-Hour Daily Products” as reported in Megawatt Daily. If the Index is not reported, then the Floating Price shall be a weighted average of the Known Trades.</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ind w:start="720" w:end="0"/>
              <w:rPr>
                <w:sz w:val="22"/>
              </w:rPr>
            </w:pPr>
            <w:r>
              <w:rPr>
                <w:sz w:val="22"/>
              </w:rPr>
            </w:r>
          </w:p>
          <w:p>
            <w:pPr>
              <w:pStyle w:val="Normal"/>
              <w:ind w:start="720" w:end="0"/>
              <w:rPr>
                <w:sz w:val="22"/>
              </w:rPr>
            </w:pPr>
            <w:r>
              <w:rPr>
                <w:sz w:val="22"/>
              </w:rPr>
              <w:t>Covered Units and Net Dependable Capacity:</w:t>
            </w:r>
          </w:p>
          <w:p>
            <w:pPr>
              <w:pStyle w:val="Normal"/>
              <w:ind w:start="720" w:end="0"/>
              <w:rPr>
                <w:sz w:val="22"/>
              </w:rPr>
            </w:pPr>
            <w:r>
              <w:rPr>
                <w:sz w:val="22"/>
              </w:rPr>
            </w:r>
          </w:p>
        </w:tc>
        <w:tc>
          <w:tcPr>
            <w:tcW w:w="6102" w:type="dxa"/>
            <w:tcBorders/>
          </w:tcPr>
          <w:p>
            <w:pPr>
              <w:pStyle w:val="Normal"/>
              <w:snapToGrid w:val="false"/>
              <w:jc w:val="both"/>
              <w:rPr>
                <w:sz w:val="22"/>
                <w:u w:val="single"/>
              </w:rPr>
            </w:pPr>
            <w:r>
              <w:rPr>
                <w:sz w:val="22"/>
                <w:u w:val="single"/>
              </w:rPr>
            </w:r>
          </w:p>
          <w:p>
            <w:pPr>
              <w:pStyle w:val="Normal"/>
              <w:jc w:val="both"/>
              <w:rPr/>
            </w:pPr>
            <w:r>
              <w:rPr>
                <w:sz w:val="22"/>
                <w:u w:val="single"/>
              </w:rPr>
              <w:t>Unit</w:t>
            </w:r>
            <w:r>
              <w:rPr>
                <w:sz w:val="22"/>
              </w:rPr>
              <w:t xml:space="preserve">                      </w:t>
            </w:r>
            <w:r>
              <w:rPr>
                <w:sz w:val="22"/>
                <w:u w:val="single"/>
              </w:rPr>
              <w:t>Net Dependable Capacity</w:t>
            </w:r>
            <w:r>
              <w:rPr>
                <w:sz w:val="22"/>
              </w:rPr>
              <w:t xml:space="preserve"> </w:t>
            </w:r>
          </w:p>
          <w:p>
            <w:pPr>
              <w:pStyle w:val="Normal"/>
              <w:jc w:val="both"/>
              <w:rPr>
                <w:sz w:val="22"/>
              </w:rPr>
            </w:pPr>
            <w:r>
              <w:rPr>
                <w:sz w:val="22"/>
              </w:rPr>
              <w:t>Avon 7                                      90  MW</w:t>
            </w:r>
          </w:p>
          <w:p>
            <w:pPr>
              <w:pStyle w:val="Normal"/>
              <w:jc w:val="both"/>
              <w:rPr>
                <w:sz w:val="22"/>
              </w:rPr>
            </w:pPr>
            <w:r>
              <w:rPr>
                <w:sz w:val="22"/>
              </w:rPr>
              <w:t>Avon 9                                     596 MW</w:t>
            </w:r>
          </w:p>
          <w:p>
            <w:pPr>
              <w:pStyle w:val="Normal"/>
              <w:jc w:val="both"/>
              <w:rPr>
                <w:sz w:val="22"/>
              </w:rPr>
            </w:pPr>
            <w:r>
              <w:rPr>
                <w:sz w:val="22"/>
              </w:rPr>
              <w:t>Cheswick                                 562 MW</w:t>
            </w:r>
          </w:p>
          <w:p>
            <w:pPr>
              <w:pStyle w:val="Normal"/>
              <w:jc w:val="both"/>
              <w:rPr>
                <w:sz w:val="22"/>
              </w:rPr>
            </w:pPr>
            <w:r>
              <w:rPr>
                <w:sz w:val="22"/>
              </w:rPr>
              <w:t xml:space="preserve">Elrama 1                                    85 MW </w:t>
            </w:r>
          </w:p>
          <w:p>
            <w:pPr>
              <w:pStyle w:val="Normal"/>
              <w:jc w:val="both"/>
              <w:rPr>
                <w:sz w:val="22"/>
              </w:rPr>
            </w:pPr>
            <w:r>
              <w:rPr>
                <w:sz w:val="22"/>
              </w:rPr>
              <w:t>Elrama 2                                    85 MW</w:t>
            </w:r>
          </w:p>
          <w:p>
            <w:pPr>
              <w:pStyle w:val="Normal"/>
              <w:jc w:val="both"/>
              <w:rPr>
                <w:sz w:val="22"/>
              </w:rPr>
            </w:pPr>
            <w:r>
              <w:rPr>
                <w:sz w:val="22"/>
              </w:rPr>
              <w:t>Elrama 3                                  100 MW</w:t>
            </w:r>
          </w:p>
          <w:p>
            <w:pPr>
              <w:pStyle w:val="Normal"/>
              <w:jc w:val="both"/>
              <w:rPr>
                <w:sz w:val="22"/>
              </w:rPr>
            </w:pPr>
            <w:r>
              <w:rPr>
                <w:sz w:val="22"/>
              </w:rPr>
              <w:t>New Castle 3                             90 MW</w:t>
            </w:r>
          </w:p>
          <w:p>
            <w:pPr>
              <w:pStyle w:val="Normal"/>
              <w:jc w:val="both"/>
              <w:rPr>
                <w:sz w:val="22"/>
              </w:rPr>
            </w:pPr>
            <w:r>
              <w:rPr>
                <w:sz w:val="22"/>
              </w:rPr>
              <w:t>New Castle 4                             90 MW</w:t>
            </w:r>
          </w:p>
          <w:p>
            <w:pPr>
              <w:pStyle w:val="Normal"/>
              <w:jc w:val="both"/>
              <w:rPr>
                <w:sz w:val="22"/>
              </w:rPr>
            </w:pPr>
            <w:r>
              <w:rPr>
                <w:sz w:val="22"/>
              </w:rPr>
              <w:t>New Castle 5                           137 MW</w:t>
            </w:r>
          </w:p>
          <w:p>
            <w:pPr>
              <w:pStyle w:val="Normal"/>
              <w:jc w:val="both"/>
              <w:rPr>
                <w:sz w:val="22"/>
              </w:rPr>
            </w:pPr>
            <w:r>
              <w:rPr>
                <w:sz w:val="22"/>
              </w:rPr>
              <w:t>Niles 1                                     108 MW</w:t>
            </w:r>
          </w:p>
          <w:p>
            <w:pPr>
              <w:pStyle w:val="Normal"/>
              <w:jc w:val="both"/>
              <w:rPr>
                <w:sz w:val="22"/>
              </w:rPr>
            </w:pPr>
            <w:r>
              <w:rPr>
                <w:sz w:val="22"/>
              </w:rPr>
              <w:t>Niles 2                                     108 MW</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Capacity Strike Amount:</w:t>
            </w:r>
          </w:p>
        </w:tc>
        <w:tc>
          <w:tcPr>
            <w:tcW w:w="6102" w:type="dxa"/>
            <w:tcBorders/>
          </w:tcPr>
          <w:p>
            <w:pPr>
              <w:pStyle w:val="Normal"/>
              <w:jc w:val="both"/>
              <w:rPr>
                <w:sz w:val="22"/>
              </w:rPr>
            </w:pPr>
            <w:r>
              <w:rPr>
                <w:sz w:val="22"/>
              </w:rPr>
              <w:t>For Saturday, Sunday or NERC Holiday, the Capacity Strike Amount, in MWh for each On-Peak Hour for each Delivery Day during the Delivery Term, is equal to (a) 6747, minus (b) 67 multiplied by the Temperature Index.  For any other day than a Saturday, Sunday or NERC Holiday, the Capacity Strike Amount, in MWh for each On-Peak Hour for each Delivery Day during the Delivery Term, is equal to (a) 6247, minus (b) 67 multiplied by the Temperature Index.  For purposes of determining whether the Capacity Outage Amount from a Covered Unit suffering an Unplanned Outage or Unplanned Derating is above or below the Capacity Strike the order of meeting the Capacity Strike Amount shall be determined by looking at the Capacity Outage Amount of the Covered Units in the sequential order of the occurrences of the Unplanned Outages or Unplanned Deratings.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Temperature Index:</w:t>
            </w:r>
          </w:p>
          <w:p>
            <w:pPr>
              <w:pStyle w:val="Normal"/>
              <w:ind w:start="720" w:end="0"/>
              <w:rPr>
                <w:sz w:val="22"/>
              </w:rPr>
            </w:pPr>
            <w:r>
              <w:rPr>
                <w:sz w:val="22"/>
              </w:rPr>
            </w:r>
          </w:p>
        </w:tc>
        <w:tc>
          <w:tcPr>
            <w:tcW w:w="6102" w:type="dxa"/>
            <w:tcBorders/>
          </w:tcPr>
          <w:p>
            <w:pPr>
              <w:pStyle w:val="Normal"/>
              <w:jc w:val="both"/>
              <w:rPr/>
            </w:pPr>
            <w:r>
              <w:rPr>
                <w:sz w:val="22"/>
              </w:rPr>
              <w:t xml:space="preserve">The Temperature Index for any given Delivery Day shall be the day ahead Forecasted Maximum Temperature, in degrees Fahrenheit, for the Index Station as published by the NWS at the website located at </w:t>
            </w:r>
            <w:hyperlink r:id="rId7">
              <w:r>
                <w:rPr>
                  <w:rStyle w:val="Hyperlink"/>
                  <w:rFonts w:cs="Arial" w:ascii="Arial" w:hAnsi="Arial"/>
                  <w:sz w:val="20"/>
                </w:rPr>
                <w:t>http://www.cpc.ncep.noaa.gov/products/analysis_monitoring/cdus/prcp_temp_tables/mrffox.txt</w:t>
              </w:r>
            </w:hyperlink>
            <w:r>
              <w:rPr>
                <w:sz w:val="22"/>
              </w:rPr>
              <w:t xml:space="preserve">, or any successor thereto.  [If the day ahead Fforecasted Maximum Temperature for the Index Station is not published on such NWS website by [___:00 a.m.] then the Temperature index shall be the day ahead Forecasted Daytime High temperature, in degrees Fahrenheit, for the Index Station as published on by NWS on the website located at </w:t>
            </w:r>
            <w:r>
              <w:rPr>
                <w:rFonts w:cs="Arial" w:ascii="Arial" w:hAnsi="Arial"/>
                <w:color w:val="0000FF"/>
                <w:sz w:val="20"/>
              </w:rPr>
              <w:t>http://iwin.nws.noaa.gov/iwin/pa/state.html</w:t>
            </w:r>
            <w:r>
              <w:rPr>
                <w:sz w:val="22"/>
              </w:rPr>
              <w:t xml:space="preserve">. ][This fallback index is under review by Enron.] </w:t>
            </w:r>
          </w:p>
          <w:p>
            <w:pPr>
              <w:pStyle w:val="Normal"/>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BodyText2"/>
              <w:rPr/>
            </w:pPr>
            <w:r>
              <w:rPr/>
              <w:t>“</w:t>
            </w:r>
            <w:r>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p>
            <w:pPr>
              <w:pStyle w:val="Normal"/>
              <w:jc w:val="both"/>
              <w:rPr>
                <w:sz w:val="22"/>
              </w:rPr>
            </w:pPr>
            <w:r>
              <w:rPr>
                <w:sz w:val="22"/>
              </w:rPr>
            </w:r>
          </w:p>
        </w:tc>
      </w:tr>
      <w:tr>
        <w:trPr/>
        <w:tc>
          <w:tcPr>
            <w:tcW w:w="4338" w:type="dxa"/>
            <w:tcBorders/>
          </w:tcPr>
          <w:p>
            <w:pPr>
              <w:pStyle w:val="Normal"/>
              <w:ind w:start="720" w:end="0"/>
              <w:rPr>
                <w:sz w:val="22"/>
              </w:rPr>
            </w:pPr>
            <w:r>
              <w:rPr>
                <w:sz w:val="22"/>
              </w:rPr>
              <w:t>Index Station:</w:t>
            </w:r>
          </w:p>
        </w:tc>
        <w:tc>
          <w:tcPr>
            <w:tcW w:w="6102" w:type="dxa"/>
            <w:tcBorders/>
          </w:tcPr>
          <w:p>
            <w:pPr>
              <w:pStyle w:val="Normal"/>
              <w:jc w:val="both"/>
              <w:rPr>
                <w:sz w:val="22"/>
              </w:rPr>
            </w:pPr>
            <w:r>
              <w:rPr>
                <w:sz w:val="22"/>
              </w:rPr>
              <w:t xml:space="preserve">Pittsburgh PA, Pittsburgh International Airport, WBAN # 94823, WMO #72520 </w:t>
            </w:r>
          </w:p>
          <w:p>
            <w:pPr>
              <w:pStyle w:val="Normal"/>
              <w:jc w:val="both"/>
              <w:rPr>
                <w:sz w:val="22"/>
              </w:rPr>
            </w:pPr>
            <w:r>
              <w:rPr>
                <w:sz w:val="22"/>
              </w:rPr>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Payout Strike:</w:t>
            </w:r>
          </w:p>
        </w:tc>
        <w:tc>
          <w:tcPr>
            <w:tcW w:w="6102" w:type="dxa"/>
            <w:tcBorders/>
          </w:tcPr>
          <w:p>
            <w:pPr>
              <w:pStyle w:val="Normal"/>
              <w:jc w:val="both"/>
              <w:rPr>
                <w:sz w:val="22"/>
              </w:rPr>
            </w:pPr>
            <w:r>
              <w:rPr>
                <w:sz w:val="22"/>
              </w:rPr>
              <w:t>Zero</w:t>
            </w:r>
          </w:p>
        </w:tc>
      </w:tr>
      <w:tr>
        <w:trPr>
          <w:trHeight w:val="621" w:hRule="atLeast"/>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bl>
    <w:p>
      <w:pPr>
        <w:pStyle w:val="Normal"/>
        <w:rPr>
          <w:b/>
          <w:sz w:val="22"/>
        </w:rPr>
      </w:pPr>
      <w:r>
        <w:rPr>
          <w:b/>
          <w:sz w:val="22"/>
        </w:rPr>
      </w:r>
    </w:p>
    <w:p>
      <w:pPr>
        <w:pStyle w:val="Normal"/>
        <w:jc w:val="both"/>
        <w:rPr>
          <w:b/>
          <w:sz w:val="22"/>
        </w:rPr>
      </w:pPr>
      <w:r>
        <w:rPr>
          <w:b/>
          <w:sz w:val="22"/>
        </w:rPr>
      </w:r>
    </w:p>
    <w:p>
      <w:pPr>
        <w:pStyle w:val="Normal"/>
        <w:tabs>
          <w:tab w:val="left" w:pos="720" w:leader="none"/>
          <w:tab w:val="left" w:pos="4320" w:leader="none"/>
        </w:tabs>
        <w:jc w:val="both"/>
        <w:rPr>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b/>
                <w:sz w:val="22"/>
              </w:rPr>
            </w:pPr>
            <w:r>
              <w:rPr>
                <w:b/>
                <w:sz w:val="22"/>
              </w:rPr>
              <w:t xml:space="preserve">Rounding.  </w:t>
            </w:r>
          </w:p>
          <w:p>
            <w:pPr>
              <w:pStyle w:val="Normal"/>
              <w:jc w:val="both"/>
              <w:rPr>
                <w:b/>
                <w:sz w:val="22"/>
              </w:rPr>
            </w:pPr>
            <w:r>
              <w:rPr>
                <w:b/>
                <w:sz w:val="22"/>
              </w:rPr>
            </w:r>
          </w:p>
          <w:p>
            <w:pPr>
              <w:pStyle w:val="BodyTextIndent"/>
              <w:rPr/>
            </w:pPr>
            <w:r>
              <w:rPr/>
              <w:t>For purposes of the calculation of the Floating Price all numbers shall be rounded to three (3) decimal places.  If the number after the final number is five (5) or greater then the final number shall be increased by one (1), and if the number after the final number is less than five (5) then the final number shall remain unchanged.</w:t>
            </w:r>
          </w:p>
          <w:p>
            <w:pPr>
              <w:pStyle w:val="Normal"/>
              <w:jc w:val="both"/>
              <w:rPr>
                <w:sz w:val="22"/>
              </w:rPr>
            </w:pPr>
            <w:r>
              <w:rPr>
                <w:sz w:val="22"/>
              </w:rPr>
            </w:r>
          </w:p>
          <w:p>
            <w:pPr>
              <w:pStyle w:val="Normal"/>
              <w:spacing w:lineRule="exact" w:line="24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pPr>
            <w:r>
              <w:rPr>
                <w:b/>
                <w:sz w:val="22"/>
              </w:rPr>
              <w:t>Aggregate Payout Limit</w:t>
            </w:r>
            <w:r>
              <w:rPr>
                <w:sz w:val="22"/>
              </w:rPr>
              <w:t xml:space="preserve"> is the maximum possible Cash Settlement Amount that will be paid under this Contract.</w:t>
            </w:r>
          </w:p>
          <w:p>
            <w:pPr>
              <w:pStyle w:val="Normal"/>
              <w:ind w:start="720" w:end="0"/>
              <w:jc w:val="both"/>
              <w:rPr>
                <w:b/>
                <w:sz w:val="22"/>
              </w:rPr>
            </w:pPr>
            <w:r>
              <w:rPr>
                <w:b/>
                <w:sz w:val="22"/>
              </w:rPr>
            </w:r>
          </w:p>
          <w:p>
            <w:pPr>
              <w:pStyle w:val="Normal"/>
              <w:ind w:start="720" w:end="0"/>
              <w:jc w:val="both"/>
              <w:rPr/>
            </w:pPr>
            <w:r>
              <w:rPr>
                <w:b/>
                <w:sz w:val="22"/>
              </w:rPr>
              <w:t>Capacity Outage Amount</w:t>
            </w:r>
            <w:r>
              <w:rPr>
                <w:sz w:val="22"/>
              </w:rPr>
              <w:t xml:space="preserve"> for an Unplanned Outage is the generation capacity, measured in MWh for each On-Peak Hour for each Delivery Day during the Determination Period, lost in respect of a Covered Unit or Covered Units due to an Unplanned Outage.  Capacity Outage Amount for an Unplanned Derating is the generation capacity, measured in MWh for each On-Peak Hour for each Delivery Day during the Determination Period, lost in respect of a Covered Unit or Covered Units due to an Unplanned Derating, provided, however, that only generation capacity lost from Covered Units that have an Unplanned Derating of at least 100 MW shall be used in calculating the Capacity Outage Amount</w:t>
            </w:r>
            <w:r>
              <w:rPr>
                <w:sz w:val="22"/>
                <w:highlight w:val="yellow"/>
              </w:rPr>
              <w:t>.</w:t>
            </w:r>
            <w:r>
              <w:rPr>
                <w:sz w:val="22"/>
              </w:rPr>
              <w:t xml:space="preserve">  The Capacity Outage Amount will be based on the Net Dependable Capacity for the Covered Unit. </w:t>
            </w:r>
          </w:p>
          <w:p>
            <w:pPr>
              <w:pStyle w:val="Normal"/>
              <w:ind w:start="720" w:end="0"/>
              <w:jc w:val="both"/>
              <w:rPr>
                <w:b/>
                <w:sz w:val="22"/>
              </w:rPr>
            </w:pPr>
            <w:r>
              <w:rPr>
                <w:b/>
                <w:sz w:val="22"/>
              </w:rPr>
            </w:r>
          </w:p>
          <w:p>
            <w:pPr>
              <w:pStyle w:val="Normal"/>
              <w:ind w:start="720" w:end="0"/>
              <w:jc w:val="both"/>
              <w:rPr/>
            </w:pPr>
            <w:r>
              <w:rPr>
                <w:b/>
                <w:sz w:val="22"/>
              </w:rPr>
              <w:t>Capacity Share</w:t>
            </w:r>
            <w:r>
              <w:rPr>
                <w:sz w:val="22"/>
              </w:rPr>
              <w:t xml:space="preserve"> means the portion of the Net Dependable Capacity of a Covered Unit that contributes to the Capacity Outage Amount, as such share is set forth specifically above for each Covered Unit.   </w:t>
            </w:r>
          </w:p>
          <w:p>
            <w:pPr>
              <w:pStyle w:val="Normal"/>
              <w:ind w:start="720" w:end="0"/>
              <w:jc w:val="both"/>
              <w:rPr>
                <w:b/>
                <w:sz w:val="22"/>
              </w:rPr>
            </w:pPr>
            <w:r>
              <w:rPr>
                <w:b/>
                <w:sz w:val="22"/>
              </w:rPr>
            </w:r>
          </w:p>
          <w:p>
            <w:pPr>
              <w:pStyle w:val="Normal"/>
              <w:ind w:start="720" w:end="0"/>
              <w:jc w:val="both"/>
              <w:rPr>
                <w:b/>
                <w:sz w:val="22"/>
              </w:rPr>
            </w:pPr>
            <w:r>
              <w:rPr>
                <w:b/>
                <w:sz w:val="22"/>
              </w:rPr>
            </w:r>
          </w:p>
          <w:p>
            <w:pPr>
              <w:pStyle w:val="Normal"/>
              <w:ind w:start="720" w:end="0"/>
              <w:jc w:val="both"/>
              <w:rPr/>
            </w:pPr>
            <w:r>
              <w:rPr>
                <w:b/>
                <w:sz w:val="22"/>
              </w:rPr>
              <w:t>Delivery Day</w:t>
            </w:r>
            <w:r>
              <w:rPr>
                <w:sz w:val="22"/>
              </w:rPr>
              <w:t xml:space="preserve"> means a day during the term of the transaction that is a Monday, Tuesday, Wednesday, Thursday or Friday, excluding any day that is a NERC Holiday.</w:t>
            </w:r>
          </w:p>
          <w:p>
            <w:pPr>
              <w:pStyle w:val="Normal"/>
              <w:ind w:start="720" w:end="0"/>
              <w:jc w:val="both"/>
              <w:rPr>
                <w:sz w:val="22"/>
              </w:rPr>
            </w:pPr>
            <w:r>
              <w:rPr>
                <w:sz w:val="22"/>
              </w:rPr>
            </w:r>
          </w:p>
          <w:p>
            <w:pPr>
              <w:pStyle w:val="Normal"/>
              <w:ind w:start="720" w:end="0"/>
              <w:jc w:val="both"/>
              <w:rPr/>
            </w:pPr>
            <w:r>
              <w:rPr>
                <w:b/>
                <w:sz w:val="22"/>
              </w:rPr>
              <w:t>Excluded Outages</w:t>
            </w:r>
            <w:r>
              <w:rPr>
                <w:sz w:val="22"/>
              </w:rPr>
              <w:t xml:space="preserve"> are generation outage events caused by the following: (a) the gross negligence, willful misconduct, fraud or infidelity of either (i) Buyer or its employees, or (ii) the owner or operator of any Covered Unit or its employees; (b) compliance with any local, state or federal environmental laws or regulations; or (c) curtailment or interruption of any fuel supply necessary for the Covered Units to produce or deliver power. Outage of a Covered Unit otherwise meeting the definition of an Unplanned Outage that is caused by or results from (either directly or indirectly) Force Majeure is an Excluded Outage, even if the Force Majeure event is not the immediate proximate cause of the outage.</w:t>
            </w:r>
          </w:p>
          <w:p>
            <w:pPr>
              <w:pStyle w:val="Normal"/>
              <w:ind w:start="720" w:end="0"/>
              <w:jc w:val="both"/>
              <w:rPr>
                <w:b/>
                <w:sz w:val="22"/>
              </w:rPr>
            </w:pPr>
            <w:r>
              <w:rPr>
                <w:b/>
                <w:sz w:val="22"/>
              </w:rPr>
            </w:r>
          </w:p>
          <w:p>
            <w:pPr>
              <w:pStyle w:val="Normal"/>
              <w:ind w:start="720" w:end="0"/>
              <w:jc w:val="both"/>
              <w:rPr/>
            </w:pPr>
            <w:r>
              <w:rPr>
                <w:b/>
                <w:sz w:val="22"/>
              </w:rPr>
              <w:t>Excluded Derates</w:t>
            </w:r>
            <w:r>
              <w:rPr>
                <w:sz w:val="22"/>
              </w:rPr>
              <w:t xml:space="preserve"> are generation derate events caused by the following: (a) the gross negligence, willful misconduct, fraud or infidelity of either (i) Buyer or its employees, or (ii) the owner or operator of any Covered Unit or its employees; (b) compliance with any state or federal environmental laws or regulations; or (c) seasonal deratings due to ambient conditions or cooling water limitations. Derating of a Covered Unit otherwise meeting the definition of an Unplanned Derating that is caused by or results from (either directly or indirectly) Force Majeure is an Excluded Derate.  Deratings on Covered Units with a Net Dependable Capacity less than 100MW shall be Excluded Derates.</w:t>
            </w:r>
          </w:p>
          <w:p>
            <w:pPr>
              <w:pStyle w:val="Normal"/>
              <w:ind w:start="720" w:end="0"/>
              <w:jc w:val="both"/>
              <w:rPr>
                <w:b/>
                <w:sz w:val="22"/>
              </w:rPr>
            </w:pPr>
            <w:r>
              <w:rPr>
                <w:b/>
                <w:sz w:val="22"/>
              </w:rPr>
            </w:r>
          </w:p>
          <w:p>
            <w:pPr>
              <w:pStyle w:val="Normal"/>
              <w:ind w:start="720" w:end="0"/>
              <w:jc w:val="both"/>
              <w:rPr/>
            </w:pPr>
            <w:r>
              <w:rPr>
                <w:b/>
                <w:sz w:val="22"/>
              </w:rPr>
              <w:t>Force Majeure</w:t>
            </w:r>
            <w:r>
              <w:rPr>
                <w:sz w:val="22"/>
              </w:rPr>
              <w:t xml:space="preserve"> means any of the following events as determined by the parties in good faith: any flood, earth movement, riot, civil disturbance, sabotage, terrorism, act of the public enemy, war, generalized strike or labor disputes, any official governmental court, regulatory or control area order proceeding or action.</w:t>
            </w:r>
          </w:p>
          <w:p>
            <w:pPr>
              <w:pStyle w:val="Normal"/>
              <w:ind w:start="720" w:end="0"/>
              <w:jc w:val="both"/>
              <w:rPr>
                <w:b/>
                <w:sz w:val="22"/>
              </w:rPr>
            </w:pPr>
            <w:r>
              <w:rPr>
                <w:b/>
                <w:sz w:val="22"/>
              </w:rPr>
            </w:r>
          </w:p>
          <w:p>
            <w:pPr>
              <w:pStyle w:val="Normal"/>
              <w:ind w:start="720" w:end="0"/>
              <w:jc w:val="both"/>
              <w:rPr/>
            </w:pPr>
            <w:r>
              <w:rPr>
                <w:b/>
                <w:sz w:val="22"/>
              </w:rPr>
              <w:t>Hub Basis</w:t>
            </w:r>
            <w:r>
              <w:rPr>
                <w:sz w:val="22"/>
              </w:rPr>
              <w:t xml:space="preserve"> is, the weighted average cost per MWh of Known Trades that exceed the Strike Price at the Delivery Point minus the “Weighted Average Index” price at the “Into Cinergy Daily On Peak” delivery point under the heading “Trades for Standard 16-Hour Daily Products” as reported in Megawatt Daily during the same period.  If there are no Known Trades at the Delivery Point that exceed the Strike Price then the Hub Basis shall be $0 (zero dollars).</w:t>
            </w:r>
          </w:p>
          <w:p>
            <w:pPr>
              <w:pStyle w:val="Normal"/>
              <w:ind w:start="720" w:end="0"/>
              <w:jc w:val="both"/>
              <w:rPr>
                <w:sz w:val="22"/>
              </w:rPr>
            </w:pPr>
            <w:r>
              <w:rPr>
                <w:sz w:val="22"/>
              </w:rPr>
            </w:r>
          </w:p>
          <w:p>
            <w:pPr>
              <w:pStyle w:val="Normal"/>
              <w:ind w:start="720" w:end="0"/>
              <w:jc w:val="both"/>
              <w:rPr/>
            </w:pPr>
            <w:r>
              <w:rPr>
                <w:b/>
                <w:sz w:val="22"/>
              </w:rPr>
              <w:t>Knock-in-Event</w:t>
            </w:r>
            <w:r>
              <w:rPr>
                <w:sz w:val="22"/>
              </w:rPr>
              <w:t xml:space="preserve"> occurs when the Capacity Outage Amount exceeds the Capacity Strike Amount during an Unplanned Outage or Unplanned Derating that occurs during a Calculation Period.  A Knock-In Event begins at the earlier of (i) the top of the hour following the hour in which the Capacity Outage Amount first exceeds the Capacity Strike Amount, if the Unplanned Outage or Unplanned Derating commenced during the Calculation Period, or (ii) the top of the first hour of the Calculation Period, if the Unplanned Outage or Unplanned Derating commenced prior to the Calculation Period. A Knock-In Event ends at the earlier of (i) the top of the hour following the first hour in which the Capacity Outage Amount no longer exceeds the Capacity Strike Amount, (ii) the conclusion of the Unplanned Outage or Unplanned Derating as defined below or (iii) the Termination Date.  More than one Knock-In-Event may occur during the Calculation Period.  </w:t>
            </w:r>
          </w:p>
          <w:p>
            <w:pPr>
              <w:pStyle w:val="Normal"/>
              <w:ind w:start="720" w:end="0"/>
              <w:jc w:val="both"/>
              <w:rPr>
                <w:sz w:val="22"/>
              </w:rPr>
            </w:pPr>
            <w:r>
              <w:rPr>
                <w:sz w:val="22"/>
              </w:rPr>
            </w:r>
          </w:p>
          <w:p>
            <w:pPr>
              <w:pStyle w:val="Normal"/>
              <w:ind w:start="720" w:end="0"/>
              <w:jc w:val="both"/>
              <w:rPr>
                <w:b/>
                <w:sz w:val="22"/>
              </w:rPr>
            </w:pPr>
            <w:r>
              <w:rPr>
                <w:b/>
                <w:sz w:val="22"/>
              </w:rPr>
              <w:t>Known Trades</w:t>
            </w:r>
            <w:r>
              <w:rPr>
                <w:sz w:val="22"/>
              </w:rPr>
              <w:t xml:space="preserve"> are hourly or daily trades during On-Peak Hours of Delivery Days during the Determination Period at the Delivery Point of which either or both Seller and the Buyer are aware and for which accurate cost and volume information is available to either Seller or the Buyer.  Hourly trades are translated into an equivalent daily value by taking the weighted average hourly trades over the On-Peak Hours, using $0 (zero dollars) for those hours in which there are no hourly trades. Only hourly or daily trades will be included in this calculation</w:t>
            </w:r>
          </w:p>
          <w:p>
            <w:pPr>
              <w:pStyle w:val="Normal"/>
              <w:ind w:start="720" w:end="0"/>
              <w:jc w:val="both"/>
              <w:rPr>
                <w:b/>
                <w:sz w:val="22"/>
              </w:rPr>
            </w:pPr>
            <w:r>
              <w:rPr>
                <w:b/>
                <w:sz w:val="22"/>
              </w:rPr>
            </w:r>
          </w:p>
          <w:p>
            <w:pPr>
              <w:pStyle w:val="Normal"/>
              <w:ind w:start="720" w:end="0"/>
              <w:jc w:val="both"/>
              <w:rPr/>
            </w:pPr>
            <w:r>
              <w:rPr>
                <w:b/>
                <w:sz w:val="22"/>
              </w:rPr>
              <w:t>Knock In Outage Amount</w:t>
            </w:r>
            <w:r>
              <w:rPr>
                <w:sz w:val="22"/>
              </w:rPr>
              <w:t xml:space="preserve"> is the amount by which the Capacity Outage Amount exceeds the Capacity Strike Amount.  For the purposes of calculating the Cash Settlement Amount, in no event shall the Knock-In Outage Amount exceed the Notional Quantity per Determination Period.</w:t>
            </w:r>
          </w:p>
          <w:p>
            <w:pPr>
              <w:pStyle w:val="Normal"/>
              <w:ind w:start="720" w:end="0"/>
              <w:jc w:val="both"/>
              <w:rPr>
                <w:sz w:val="22"/>
              </w:rPr>
            </w:pPr>
            <w:r>
              <w:rPr>
                <w:sz w:val="22"/>
              </w:rPr>
            </w:r>
          </w:p>
          <w:p>
            <w:pPr>
              <w:pStyle w:val="Normal"/>
              <w:ind w:start="720" w:end="0"/>
              <w:jc w:val="both"/>
              <w:rPr/>
            </w:pPr>
            <w:r>
              <w:rPr>
                <w:b/>
                <w:sz w:val="22"/>
              </w:rPr>
              <w:t>Net Dependable Capacity</w:t>
            </w:r>
            <w:r>
              <w:rPr>
                <w:sz w:val="22"/>
              </w:rPr>
              <w:t xml:space="preserve"> is the maximum sustainable generation capacity of a Covered Unit, modified for ambient limitations for a specified period of time (such as a month or season). Net Dependable Capacity shall not exceed the capacity specified herein for each Covered Unit. </w:t>
            </w:r>
          </w:p>
          <w:p>
            <w:pPr>
              <w:pStyle w:val="Normal"/>
              <w:ind w:start="720" w:end="0"/>
              <w:jc w:val="both"/>
              <w:rPr>
                <w:sz w:val="22"/>
              </w:rPr>
            </w:pPr>
            <w:r>
              <w:rPr>
                <w:sz w:val="22"/>
              </w:rPr>
            </w:r>
          </w:p>
          <w:p>
            <w:pPr>
              <w:pStyle w:val="Normal"/>
              <w:ind w:start="720" w:end="0"/>
              <w:jc w:val="both"/>
              <w:rPr/>
            </w:pPr>
            <w:r>
              <w:rPr>
                <w:b/>
                <w:sz w:val="22"/>
              </w:rPr>
              <w:t>On-Peak Hours</w:t>
            </w:r>
            <w:r>
              <w:rPr>
                <w:sz w:val="22"/>
              </w:rPr>
              <w:t xml:space="preserve"> are, for each Delivery Day, the hours beginning with the hour ending 0800 (7:00 AM) and concluding with the hour ending 2300 (11:00 PM) Eastern Prevailing Time.</w:t>
            </w:r>
          </w:p>
          <w:p>
            <w:pPr>
              <w:pStyle w:val="Normal"/>
              <w:ind w:start="720" w:end="0"/>
              <w:jc w:val="both"/>
              <w:rPr>
                <w:sz w:val="22"/>
              </w:rPr>
            </w:pPr>
            <w:r>
              <w:rPr>
                <w:sz w:val="22"/>
              </w:rPr>
            </w:r>
          </w:p>
          <w:p>
            <w:pPr>
              <w:pStyle w:val="Normal"/>
              <w:ind w:start="720" w:end="0"/>
              <w:jc w:val="both"/>
              <w:rPr/>
            </w:pPr>
            <w:r>
              <w:rPr>
                <w:b/>
                <w:sz w:val="22"/>
              </w:rPr>
              <w:t>Settlement Data</w:t>
            </w:r>
            <w:r>
              <w:rPr>
                <w:sz w:val="22"/>
              </w:rPr>
              <w:t xml:space="preserve"> is the information Buyer must provide to Seller, in writing, including supporting documentation, to substantiate any request for payment hereunder and permit the accurate calculation of the Cash Settlement Amount. All Settlement Data and any other data previously provided to Seller is subject to audit and verification by Seller. Settlement Data may be provided to Seller by fax, overnight delivery or electronic mail at the address specified in the Condition Precedent to Payment section.</w:t>
            </w:r>
          </w:p>
          <w:p>
            <w:pPr>
              <w:pStyle w:val="Normal"/>
              <w:ind w:start="720" w:end="0"/>
              <w:jc w:val="both"/>
              <w:rPr>
                <w:sz w:val="22"/>
              </w:rPr>
            </w:pPr>
            <w:r>
              <w:rPr>
                <w:sz w:val="22"/>
              </w:rPr>
            </w:r>
          </w:p>
          <w:p>
            <w:pPr>
              <w:pStyle w:val="Normal"/>
              <w:ind w:start="720" w:end="0"/>
              <w:jc w:val="both"/>
              <w:rPr/>
            </w:pPr>
            <w:r>
              <w:rPr>
                <w:b/>
                <w:sz w:val="22"/>
              </w:rPr>
              <w:t>Strike Price</w:t>
            </w:r>
            <w:r>
              <w:rPr>
                <w:sz w:val="22"/>
              </w:rPr>
              <w:t xml:space="preserve"> is the value that must be exceeded by the Floating Price Index before the Seller will be obligated to pay the Cash Settlement Amount during a Knock-In Event.</w:t>
            </w:r>
          </w:p>
          <w:p>
            <w:pPr>
              <w:pStyle w:val="Normal"/>
              <w:ind w:start="720" w:end="0"/>
              <w:jc w:val="both"/>
              <w:rPr>
                <w:sz w:val="22"/>
              </w:rPr>
            </w:pPr>
            <w:r>
              <w:rPr>
                <w:sz w:val="22"/>
              </w:rPr>
            </w:r>
          </w:p>
          <w:p>
            <w:pPr>
              <w:pStyle w:val="Normal"/>
              <w:ind w:start="720" w:end="0"/>
              <w:jc w:val="both"/>
              <w:rPr/>
            </w:pPr>
            <w:r>
              <w:rPr>
                <w:b/>
                <w:sz w:val="22"/>
              </w:rPr>
              <w:t>Unplanned Outage</w:t>
            </w:r>
            <w:r>
              <w:rPr>
                <w:sz w:val="22"/>
              </w:rPr>
              <w:t xml:space="preserve"> is a generation outage event classified as a class U1, U2, U3 or SF unplanned outage in the North American Electricity Reliability Council's Generating Availability Data System (the "NERC GADS"), during which a Covered Unit is not capable of producing any net power or delivering power to its point of interconnection with the high voltage transmission system.  Unplanned Outages do not include any planned outage, as defined in the NERC GADS.  An Unplanned Outage shall be deemed to have commenced at the top of the hour following the hour during which the generation outage event first occurred.  An Unplanned Outage will be deemed to have concluded at the top of the hour following the hour in which the generation outage event that caused the Unplanned Outage ends and the Covered Unit is capable of producing its Net Dependable Capacity.  More than one Unplanned Outage may occur during the Determination Period.  An Unplanned Outage shall not include an Excluded Outage.</w:t>
            </w:r>
          </w:p>
          <w:p>
            <w:pPr>
              <w:pStyle w:val="Normal"/>
              <w:tabs>
                <w:tab w:val="left" w:pos="720" w:leader="none"/>
                <w:tab w:val="left" w:pos="1440" w:leader="none"/>
                <w:tab w:val="left" w:pos="2160" w:leader="none"/>
                <w:tab w:val="left" w:pos="5040" w:leader="none"/>
                <w:tab w:val="left" w:pos="5760" w:leader="none"/>
                <w:tab w:val="left" w:pos="6480" w:leader="none"/>
              </w:tabs>
              <w:ind w:start="720" w:end="0"/>
              <w:jc w:val="both"/>
              <w:rPr>
                <w:b/>
                <w:sz w:val="20"/>
              </w:rPr>
            </w:pPr>
            <w:r>
              <w:rPr>
                <w:b/>
                <w:sz w:val="20"/>
              </w:rPr>
            </w:r>
          </w:p>
          <w:p>
            <w:pPr>
              <w:pStyle w:val="Normal"/>
              <w:tabs>
                <w:tab w:val="left" w:pos="720" w:leader="none"/>
                <w:tab w:val="left" w:pos="1440" w:leader="none"/>
                <w:tab w:val="left" w:pos="2160" w:leader="none"/>
                <w:tab w:val="left" w:pos="5040" w:leader="none"/>
                <w:tab w:val="left" w:pos="5760" w:leader="none"/>
                <w:tab w:val="left" w:pos="6480" w:leader="none"/>
              </w:tabs>
              <w:ind w:start="720" w:end="0"/>
              <w:jc w:val="both"/>
              <w:rPr/>
            </w:pPr>
            <w:r>
              <w:rPr>
                <w:b/>
                <w:sz w:val="22"/>
              </w:rPr>
              <w:t>Unplanned Derating</w:t>
            </w:r>
            <w:r>
              <w:rPr>
                <w:sz w:val="22"/>
              </w:rPr>
              <w:t xml:space="preserve"> is a generation derating event or combination of concurrent events classified both in magnitude and duration as a D1, D2, or D3 unplanned derating in the NERC GADS, during which a Covered Unit is not capable of producing net power or delivering power at its Net Dependable Capacity less 20 MW to its point of interconnection with the high-voltage transmission system</w:t>
            </w:r>
            <w:r>
              <w:rPr>
                <w:sz w:val="22"/>
                <w:u w:val="single"/>
              </w:rPr>
              <w:t>.</w:t>
            </w:r>
            <w:r>
              <w:rPr>
                <w:sz w:val="22"/>
              </w:rPr>
              <w:t xml:space="preserve"> An Unplanned Derating does not include any planned derating, as defined in the NERC GADS, or any derating other than those enumerated above.  An Unplanned Derating shall be deemed to have commenced at the top of the hour following the hour during which the generation derating event first occurred.  An Unplanned Derating will be deemed to have concluded at the top of the hour following the hour in which the generation derating event that caused the derating ends and the Covered Unit is capable of producing its Net Dependable Capacity less [</w:t>
            </w:r>
            <w:r>
              <w:rPr>
                <w:sz w:val="22"/>
                <w:highlight w:val="yellow"/>
              </w:rPr>
              <w:t>x</w:t>
            </w:r>
            <w:r>
              <w:rPr>
                <w:sz w:val="22"/>
              </w:rPr>
              <w:t>] MW.  An Unplanned Derating shall not include an Excluded Derate.</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jc w:val="both"/>
              <w:rPr/>
            </w:pPr>
            <w:r>
              <w:rPr>
                <w:b/>
                <w:sz w:val="22"/>
                <w:u w:val="single"/>
              </w:rPr>
              <w:t>Condition Precedent to Payment</w:t>
            </w:r>
            <w:r>
              <w:rPr>
                <w:b/>
                <w:sz w:val="22"/>
              </w:rPr>
              <w:t>.</w:t>
            </w:r>
            <w:r>
              <w:rPr>
                <w:sz w:val="22"/>
              </w:rPr>
              <w:tab/>
              <w:t>Buyer must notify Seller of the occurrence of a Knock-In Event no later than 3 hours after the commencement of the Unplanned Outage or Unplanned Derating that may create the Knock-In Event. In the event notification occurs later than as set forth in the preceding sentence, then no Knock-In Event shall be deemed to commence until 3 hours after notice is given. This notification shall be made by telephone, e-mail, or facsimile to --</w:t>
            </w:r>
          </w:p>
          <w:p>
            <w:pPr>
              <w:pStyle w:val="Normal"/>
              <w:jc w:val="both"/>
              <w:rPr>
                <w:sz w:val="22"/>
              </w:rPr>
            </w:pPr>
            <w:r>
              <w:rPr>
                <w:sz w:val="22"/>
              </w:rPr>
            </w:r>
          </w:p>
          <w:p>
            <w:pPr>
              <w:pStyle w:val="Normal"/>
              <w:ind w:start="720" w:end="0"/>
              <w:jc w:val="both"/>
              <w:rPr>
                <w:sz w:val="22"/>
              </w:rPr>
            </w:pPr>
            <w:r>
              <w:rPr>
                <w:sz w:val="22"/>
              </w:rPr>
              <w:t xml:space="preserve">David T. Hoog </w:t>
            </w:r>
          </w:p>
          <w:p>
            <w:pPr>
              <w:pStyle w:val="Normal"/>
              <w:ind w:start="720" w:end="0"/>
              <w:jc w:val="both"/>
              <w:rPr>
                <w:sz w:val="22"/>
              </w:rPr>
            </w:pPr>
            <w:r>
              <w:rPr>
                <w:sz w:val="22"/>
              </w:rPr>
              <w:t>Enron North America</w:t>
            </w:r>
          </w:p>
          <w:p>
            <w:pPr>
              <w:pStyle w:val="Normal"/>
              <w:ind w:start="720" w:end="0"/>
              <w:jc w:val="both"/>
              <w:rPr>
                <w:sz w:val="22"/>
              </w:rPr>
            </w:pPr>
            <w:r>
              <w:rPr>
                <w:sz w:val="22"/>
              </w:rPr>
              <w:t>780 Third Avenue</w:t>
            </w:r>
          </w:p>
          <w:p>
            <w:pPr>
              <w:pStyle w:val="Normal"/>
              <w:ind w:start="720" w:end="0"/>
              <w:jc w:val="both"/>
              <w:rPr>
                <w:sz w:val="22"/>
              </w:rPr>
            </w:pPr>
            <w:r>
              <w:rPr>
                <w:sz w:val="22"/>
              </w:rPr>
              <w:t>36th Floor</w:t>
            </w:r>
          </w:p>
          <w:p>
            <w:pPr>
              <w:pStyle w:val="Normal"/>
              <w:ind w:start="720" w:end="0"/>
              <w:jc w:val="both"/>
              <w:rPr>
                <w:sz w:val="22"/>
              </w:rPr>
            </w:pPr>
            <w:r>
              <w:rPr>
                <w:sz w:val="22"/>
              </w:rPr>
              <w:t>New York, NY 10017</w:t>
            </w:r>
          </w:p>
          <w:p>
            <w:pPr>
              <w:pStyle w:val="Normal"/>
              <w:ind w:start="720" w:end="0"/>
              <w:jc w:val="both"/>
              <w:rPr>
                <w:sz w:val="22"/>
              </w:rPr>
            </w:pPr>
            <w:r>
              <w:rPr>
                <w:sz w:val="22"/>
              </w:rPr>
              <w:t>Tel:  212-702-3920</w:t>
            </w:r>
          </w:p>
          <w:p>
            <w:pPr>
              <w:pStyle w:val="Normal"/>
              <w:ind w:start="720" w:end="0"/>
              <w:jc w:val="both"/>
              <w:rPr>
                <w:sz w:val="22"/>
              </w:rPr>
            </w:pPr>
            <w:r>
              <w:rPr>
                <w:sz w:val="22"/>
              </w:rPr>
              <w:t>Fax:  212-702-3950</w:t>
            </w:r>
          </w:p>
          <w:p>
            <w:pPr>
              <w:pStyle w:val="Normal"/>
              <w:ind w:start="720" w:end="0"/>
              <w:jc w:val="both"/>
              <w:rPr/>
            </w:pPr>
            <w:hyperlink r:id="rId8">
              <w:r>
                <w:rPr>
                  <w:rStyle w:val="Hyperlink"/>
                  <w:sz w:val="22"/>
                </w:rPr>
                <w:t>David.hoog@enron.com</w:t>
              </w:r>
            </w:hyperlink>
            <w:r>
              <w:rPr>
                <w:sz w:val="22"/>
              </w:rPr>
              <w:t>.</w:t>
            </w:r>
          </w:p>
          <w:p>
            <w:pPr>
              <w:pStyle w:val="Normal"/>
              <w:ind w:start="720" w:end="0"/>
              <w:jc w:val="both"/>
              <w:rPr>
                <w:sz w:val="22"/>
              </w:rPr>
            </w:pPr>
            <w:r>
              <w:rPr>
                <w:sz w:val="22"/>
              </w:rPr>
            </w:r>
          </w:p>
          <w:p>
            <w:pPr>
              <w:pStyle w:val="Normal"/>
              <w:jc w:val="both"/>
              <w:rPr>
                <w:sz w:val="22"/>
              </w:rPr>
            </w:pPr>
            <w:r>
              <w:rPr>
                <w:sz w:val="22"/>
              </w:rPr>
              <w:t>In addition, notification shall be made by telephone or facsimile or by copy of notice mailed via overnight carrier to the address for notices specified below.</w:t>
            </w:r>
          </w:p>
          <w:p>
            <w:pPr>
              <w:pStyle w:val="Normal"/>
              <w:jc w:val="both"/>
              <w:rPr>
                <w:sz w:val="22"/>
              </w:rPr>
            </w:pPr>
            <w:r>
              <w:rPr>
                <w:sz w:val="22"/>
              </w:rPr>
            </w:r>
          </w:p>
          <w:p>
            <w:pPr>
              <w:pStyle w:val="Normal"/>
              <w:jc w:val="both"/>
              <w:rPr/>
            </w:pPr>
            <w:r>
              <w:rPr>
                <w:b/>
                <w:sz w:val="22"/>
              </w:rPr>
              <w:t xml:space="preserve">Additional Representations of Buyer. </w:t>
            </w:r>
            <w:r>
              <w:rPr>
                <w:sz w:val="22"/>
              </w:rPr>
              <w:t xml:space="preserve"> In addition to the Representations set forth in Annex A, Buyer hereby further represents and warrants to Seller (which representations will be deemed to be repeated by Buyer at all times until the termination of this Transaction) the following: (a) This Agreement and each Transaction has been and will be, entered into not for the purpose of speculation but solely in connection with the financing activities of Buyer, including, without limitation, increasing the predictability of cash flow, including earnings on invested funds, and otherwise improving Buyer’s ability to manage its funds and revenues.  (b) This Transaction does not constitute any kind of investment by Buyer that is proscribed by any constitution, charter, law, rule, regulation, investment guideline, restriction or policy, government code, constituent or governing instrument, resolution, guideline, ordinance, order, writ, judgment, decree, charge, or ruling to which Buyer (or any of its officials in their respective capacities as such) or its property or revenues is subject.  (c) Buyer has clear investment policies, its personnel are fully trained in and knowledgeable of such investment policies, and such investment policies are subject to regular reviews.  (d) All information that is furnished in writing by or on behalf of Buyer to Seller regarding the history and condition of the Covered Unit(s) provided as part of the due diligence relating to this Transaction is as of the date of the information, true, accurate and complete in every material respect and such information is incorporated by reference herein.</w:t>
            </w:r>
          </w:p>
          <w:p>
            <w:pPr>
              <w:pStyle w:val="Normal"/>
              <w:jc w:val="both"/>
              <w:rPr>
                <w:b/>
                <w:sz w:val="22"/>
              </w:rPr>
            </w:pPr>
            <w:r>
              <w:rPr>
                <w:b/>
                <w:sz w:val="22"/>
              </w:rPr>
            </w:r>
          </w:p>
          <w:p>
            <w:pPr>
              <w:pStyle w:val="Normal"/>
              <w:jc w:val="both"/>
              <w:rPr/>
            </w:pPr>
            <w:r>
              <w:rPr>
                <w:b/>
                <w:sz w:val="22"/>
              </w:rPr>
              <w:t>Documentation.</w:t>
            </w:r>
            <w:r>
              <w:rPr>
                <w:sz w:val="22"/>
              </w:rPr>
              <w:tab/>
              <w:t>Upon request of Seller, Buyer agrees to deliver to Seller certified copies of:  (1) the charter, enabling statutes, and constitution or comparable legislation, creating or authorizing Buyer; (2) bylaws of Buyer; (3) other charter and constituent instruments of Buyer; (4) investment policies, guidelines or restrictions of Buyer; (5) resolution approving the Transactions contemplated by this Agreement and authorizing a specified person or persons to execute and deliver on behalf of Buyer this Agreement, the exhibits, supplements, and attachments hereto, the documents incorporated by reference herein, and the Confirmations hereunder; and (6) amendments to any of the foregoing.</w:t>
            </w:r>
          </w:p>
          <w:p>
            <w:pPr>
              <w:pStyle w:val="Normal"/>
              <w:jc w:val="both"/>
              <w:rPr>
                <w:sz w:val="22"/>
              </w:rPr>
            </w:pPr>
            <w:r>
              <w:rPr>
                <w:sz w:val="22"/>
              </w:rPr>
            </w:r>
          </w:p>
          <w:p>
            <w:pPr>
              <w:pStyle w:val="BodyText2"/>
              <w:tabs>
                <w:tab w:val="clear" w:pos="720"/>
                <w:tab w:val="left" w:pos="810" w:leader="none"/>
                <w:tab w:val="left" w:pos="1170" w:leader="none"/>
              </w:tabs>
              <w:rPr>
                <w:sz w:val="22"/>
              </w:rPr>
            </w:pPr>
            <w:r>
              <w:rPr>
                <w:sz w:val="22"/>
              </w:rPr>
            </w:r>
          </w:p>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Seller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tc>
      </w:tr>
    </w:tbl>
    <w:p>
      <w:pPr>
        <w:pStyle w:val="Normal"/>
        <w:tabs>
          <w:tab w:val="left" w:pos="720" w:leader="none"/>
        </w:tabs>
        <w:jc w:val="both"/>
        <w:rPr>
          <w:sz w:val="22"/>
        </w:rPr>
      </w:pPr>
      <w:r>
        <w:rPr>
          <w:sz w:val="22"/>
        </w:rPr>
        <w:tab/>
        <w:t>This Confirmation is a complete and binding agreement between you and us as to the Transaction.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sectPr>
          <w:type w:val="continuous"/>
          <w:pgSz w:w="12240" w:h="15840"/>
          <w:pgMar w:left="1152" w:right="864" w:gutter="0" w:header="720" w:top="864" w:footer="720" w:bottom="864"/>
          <w:formProt w:val="false"/>
          <w:titlePg/>
          <w:textDirection w:val="lrTb"/>
          <w:docGrid w:type="default" w:linePitch="360" w:charSpace="0"/>
        </w:sectPr>
        <w:pStyle w:val="Normal"/>
        <w:rPr>
          <w:sz w:val="22"/>
        </w:rPr>
      </w:pPr>
      <w:r>
        <w:rPr>
          <w:sz w:val="22"/>
        </w:rPr>
      </w:r>
      <w:r>
        <w:br w:type="page"/>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Enron Power Marketing, Inc. </w:t>
            </w:r>
          </w:p>
        </w:tc>
        <w:tc>
          <w:tcPr>
            <w:tcW w:w="6012" w:type="dxa"/>
            <w:tcBorders/>
          </w:tcPr>
          <w:p>
            <w:pPr>
              <w:pStyle w:val="Normal"/>
              <w:rPr>
                <w:sz w:val="22"/>
              </w:rPr>
            </w:pPr>
            <w:r>
              <w:rPr>
                <w:sz w:val="22"/>
              </w:rPr>
              <w:t>Orion Power Holdings,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By:   _________________________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EPMI, ATTENTION: Power Contracts Documentation Manager at fax no. (713) 646-2196</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Seller:</w:t>
            </w:r>
          </w:p>
        </w:tc>
        <w:tc>
          <w:tcPr>
            <w:tcW w:w="4932" w:type="dxa"/>
            <w:tcBorders/>
          </w:tcPr>
          <w:p>
            <w:pPr>
              <w:pStyle w:val="Normal"/>
              <w:rPr>
                <w:sz w:val="22"/>
              </w:rPr>
            </w:pPr>
            <w:r>
              <w:rPr>
                <w:b/>
                <w:sz w:val="22"/>
              </w:rPr>
              <w:t>Payment Account Information for Seller:</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rHeight w:val="270" w:hRule="atLeast"/>
        </w:trPr>
        <w:tc>
          <w:tcPr>
            <w:tcW w:w="5508" w:type="dxa"/>
            <w:tcBorders/>
          </w:tcPr>
          <w:p>
            <w:pPr>
              <w:pStyle w:val="Normal"/>
              <w:rPr>
                <w:sz w:val="22"/>
              </w:rPr>
            </w:pPr>
            <w:r>
              <w:rPr>
                <w:sz w:val="22"/>
              </w:rPr>
              <w:t xml:space="preserve">Enron </w:t>
            </w:r>
          </w:p>
        </w:tc>
        <w:tc>
          <w:tcPr>
            <w:tcW w:w="4932" w:type="dxa"/>
            <w:tcBorders/>
          </w:tcPr>
          <w:p>
            <w:pPr>
              <w:pStyle w:val="Normal"/>
              <w:rPr>
                <w:sz w:val="22"/>
              </w:rPr>
            </w:pPr>
            <w:r>
              <w:rPr>
                <w:sz w:val="22"/>
              </w:rPr>
              <w:t>Bank of America</w:t>
            </w:r>
          </w:p>
          <w:p>
            <w:pPr>
              <w:pStyle w:val="Normal"/>
              <w:rPr>
                <w:sz w:val="22"/>
              </w:rPr>
            </w:pPr>
            <w:r>
              <w:rPr>
                <w:sz w:val="22"/>
              </w:rPr>
              <w:t xml:space="preserve">Dallas, TX </w:t>
            </w:r>
          </w:p>
          <w:p>
            <w:pPr>
              <w:pStyle w:val="Normal"/>
              <w:rPr>
                <w:sz w:val="22"/>
              </w:rPr>
            </w:pPr>
            <w:r>
              <w:rPr>
                <w:sz w:val="22"/>
              </w:rPr>
              <w:t>Enron North America Corp.</w:t>
            </w:r>
          </w:p>
          <w:p>
            <w:pPr>
              <w:pStyle w:val="Normal"/>
              <w:rPr>
                <w:sz w:val="22"/>
              </w:rPr>
            </w:pPr>
            <w:r>
              <w:rPr>
                <w:sz w:val="22"/>
              </w:rPr>
            </w:r>
          </w:p>
        </w:tc>
      </w:tr>
      <w:tr>
        <w:trPr/>
        <w:tc>
          <w:tcPr>
            <w:tcW w:w="5508" w:type="dxa"/>
            <w:tcBorders/>
          </w:tcPr>
          <w:p>
            <w:pPr>
              <w:pStyle w:val="Normal"/>
              <w:rPr>
                <w:sz w:val="22"/>
              </w:rPr>
            </w:pPr>
            <w:r>
              <w:rPr>
                <w:sz w:val="22"/>
              </w:rPr>
              <w:t>P.O. Box 4428</w:t>
            </w:r>
          </w:p>
          <w:p>
            <w:pPr>
              <w:pStyle w:val="Normal"/>
              <w:rPr>
                <w:sz w:val="22"/>
              </w:rPr>
            </w:pPr>
            <w:r>
              <w:rPr>
                <w:sz w:val="22"/>
              </w:rPr>
              <w:t>Houston, TX 77210-4428</w:t>
            </w:r>
          </w:p>
        </w:tc>
        <w:tc>
          <w:tcPr>
            <w:tcW w:w="4932" w:type="dxa"/>
            <w:tcBorders/>
          </w:tcPr>
          <w:p>
            <w:pPr>
              <w:pStyle w:val="Normal"/>
              <w:rPr>
                <w:sz w:val="22"/>
              </w:rPr>
            </w:pPr>
            <w:r>
              <w:rPr>
                <w:sz w:val="22"/>
              </w:rPr>
              <w:t>Acct No. 3751443337</w:t>
            </w:r>
          </w:p>
        </w:tc>
      </w:tr>
      <w:tr>
        <w:trPr/>
        <w:tc>
          <w:tcPr>
            <w:tcW w:w="5508" w:type="dxa"/>
            <w:tcBorders/>
          </w:tcPr>
          <w:p>
            <w:pPr>
              <w:pStyle w:val="Normal"/>
              <w:rPr>
                <w:sz w:val="22"/>
              </w:rPr>
            </w:pPr>
            <w:r>
              <w:rPr>
                <w:sz w:val="22"/>
              </w:rPr>
              <w:t>Attention: Laurel Adams</w:t>
            </w:r>
          </w:p>
        </w:tc>
        <w:tc>
          <w:tcPr>
            <w:tcW w:w="4932" w:type="dxa"/>
            <w:tcBorders/>
          </w:tcPr>
          <w:p>
            <w:pPr>
              <w:pStyle w:val="Normal"/>
              <w:rPr>
                <w:sz w:val="22"/>
              </w:rPr>
            </w:pPr>
            <w:r>
              <w:rPr>
                <w:sz w:val="22"/>
              </w:rPr>
              <w:t>ABA Routing No. 111000012</w:t>
            </w:r>
          </w:p>
        </w:tc>
      </w:tr>
      <w:tr>
        <w:trPr/>
        <w:tc>
          <w:tcPr>
            <w:tcW w:w="5508" w:type="dxa"/>
            <w:tcBorders/>
          </w:tcPr>
          <w:p>
            <w:pPr>
              <w:pStyle w:val="Normal"/>
              <w:rPr>
                <w:sz w:val="22"/>
              </w:rPr>
            </w:pPr>
            <w:r>
              <w:rPr>
                <w:sz w:val="22"/>
              </w:rPr>
              <w:t>Fax: (713) 646-2196</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853-7035</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Buyer:</w:t>
            </w:r>
          </w:p>
        </w:tc>
        <w:tc>
          <w:tcPr>
            <w:tcW w:w="5220" w:type="dxa"/>
            <w:tcBorders/>
          </w:tcPr>
          <w:p>
            <w:pPr>
              <w:pStyle w:val="Normal"/>
              <w:rPr>
                <w:sz w:val="22"/>
              </w:rPr>
            </w:pPr>
            <w:r>
              <w:rPr>
                <w:b/>
                <w:sz w:val="22"/>
                <w:u w:val="single"/>
              </w:rPr>
              <w:t>Payment Account Information for Buyer:</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b/>
          <w:sz w:val="22"/>
        </w:rPr>
      </w:pPr>
      <w:r>
        <w:rPr>
          <w:b/>
          <w:sz w:val="22"/>
        </w:rPr>
      </w:r>
    </w:p>
    <w:p>
      <w:pPr>
        <w:pStyle w:val="Normal"/>
        <w:rPr>
          <w:b/>
        </w:rPr>
      </w:pPr>
      <w:r>
        <w:rPr>
          <w:b/>
        </w:rPr>
        <w:t>BUYER: PLEASE PROVIDE ABOVE REQUESTED INFORMATION IF NOT PROVIDED PREVIOUSLY OR IF CHANGES HAVE OCCURRED</w:t>
      </w:r>
    </w:p>
    <w:p>
      <w:pPr>
        <w:sectPr>
          <w:headerReference w:type="default" r:id="rId9"/>
          <w:footerReference w:type="default" r:id="rId10"/>
          <w:type w:val="nextPage"/>
          <w:pgSz w:w="12240" w:h="15840"/>
          <w:pgMar w:left="1152" w:right="864" w:gutter="0" w:header="720" w:top="864" w:footer="720" w:bottom="864"/>
          <w:pgNumType w:fmt="decimal"/>
          <w:formProt w:val="false"/>
          <w:textDirection w:val="lrTb"/>
          <w:docGrid w:type="default" w:linePitch="360" w:charSpace="0"/>
        </w:sectPr>
      </w:pPr>
    </w:p>
    <w:p>
      <w:pPr>
        <w:pStyle w:val="Normal"/>
        <w:numPr>
          <w:ilvl w:val="0"/>
          <w:numId w:val="0"/>
        </w:numPr>
        <w:rPr>
          <w:rFonts w:ascii="Arial Narrow" w:hAnsi="Arial Narrow" w:cs="Arial Narrow"/>
          <w:sz w:val="18"/>
        </w:rPr>
      </w:pPr>
      <w:r>
        <w:rPr>
          <w:rFonts w:cs="Arial Narrow" w:ascii="Arial Narrow" w:hAnsi="Arial Narrow"/>
          <w:sz w:val="18"/>
        </w:rPr>
      </w:r>
    </w:p>
    <w:p>
      <w:pPr>
        <w:sectPr>
          <w:type w:val="continuous"/>
          <w:pgSz w:w="12240" w:h="15840"/>
          <w:pgMar w:left="1152" w:right="864" w:gutter="0" w:header="720" w:top="864" w:footer="720" w:bottom="864"/>
          <w:cols w:num="2" w:space="708" w:equalWidth="true" w:sep="false"/>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505.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8640" w:end="0"/>
      <w:rPr>
        <w:sz w:val="16"/>
      </w:rPr>
    </w:pPr>
    <w:r>
      <w:rPr>
        <w:sz w:val="16"/>
      </w:rPr>
      <w:tab/>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w:t>
    </w:r>
  </w:p>
  <w:p>
    <w:pPr>
      <w:pStyle w:val="Footer"/>
      <w:ind w:start="7200" w:end="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8640" w:end="0"/>
      <w:rPr>
        <w:sz w:val="16"/>
      </w:rPr>
    </w:pPr>
    <w:r>
      <w:rPr>
        <w:sz w:val="16"/>
      </w:rPr>
    </w:r>
  </w:p>
  <w:p>
    <w:pPr>
      <w:pStyle w:val="Footer"/>
      <w:ind w:start="8640" w:end="0"/>
      <w:rPr/>
    </w:pPr>
    <w:r>
      <w:rPr>
        <w:sz w:val="16"/>
      </w:rPr>
      <w:tab/>
      <w:t xml:space="preserve">- </w:t>
    </w:r>
    <w:r>
      <w:rPr>
        <w:sz w:val="16"/>
      </w:rPr>
      <w:fldChar w:fldCharType="begin"/>
    </w:r>
    <w:r>
      <w:rPr>
        <w:sz w:val="16"/>
      </w:rPr>
      <w:instrText xml:space="preserve"> PAGE </w:instrText>
    </w:r>
    <w:r>
      <w:rPr>
        <w:sz w:val="16"/>
      </w:rPr>
      <w:fldChar w:fldCharType="separate"/>
    </w:r>
    <w:r>
      <w:rPr>
        <w:sz w:val="16"/>
      </w:rPr>
      <w:t>9</w:t>
    </w:r>
    <w:r>
      <w:rPr>
        <w:sz w:val="16"/>
      </w:rPr>
      <w:fldChar w:fldCharType="end"/>
    </w:r>
    <w:r>
      <w:rPr>
        <w:sz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sz w:val="20"/>
      </w:rPr>
    </w:pPr>
    <w:r>
      <w:rPr/>
      <w:tab/>
      <w:tab/>
      <w:tab/>
    </w:r>
  </w:p>
  <w:p>
    <w:pPr>
      <w:pStyle w:val="Header"/>
      <w:tabs>
        <w:tab w:val="clear" w:pos="8640"/>
        <w:tab w:val="center" w:pos="4320" w:leader="none"/>
        <w:tab w:val="right" w:pos="7200" w:leader="none"/>
      </w:tabs>
      <w:ind w:start="5040" w:end="0"/>
      <w:rPr/>
    </w:pPr>
    <w:r>
      <w:rPr/>
      <w:tab/>
      <w:tab/>
    </w:r>
    <w:r>
      <w:rPr>
        <w:sz w:val="20"/>
      </w:rPr>
      <w:t>Deal No. CCC103-0003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tab/>
    </w:r>
  </w:p>
  <w:p>
    <w:pPr>
      <w:pStyle w:val="Header"/>
      <w:tabs>
        <w:tab w:val="clear" w:pos="8640"/>
        <w:tab w:val="center" w:pos="4320" w:leader="none"/>
        <w:tab w:val="right" w:pos="7200" w:leader="none"/>
      </w:tabs>
      <w:ind w:start="5040" w:end="0"/>
      <w:rPr/>
    </w:pPr>
    <w:r>
      <w:rPr/>
      <w:tab/>
      <w:tab/>
    </w:r>
    <w:r>
      <w:rPr>
        <w:sz w:val="20"/>
      </w:rPr>
      <w:t>Deal No. CCC103-0003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5">
    <w:name w:val="heading 5"/>
    <w:basedOn w:val="Normal"/>
    <w:next w:val="Normal"/>
    <w:qFormat/>
    <w:pPr>
      <w:keepNext w:val="true"/>
      <w:numPr>
        <w:ilvl w:val="4"/>
        <w:numId w:val="1"/>
      </w:numPr>
      <w:jc w:val="end"/>
      <w:outlineLvl w:val="4"/>
    </w:pPr>
    <w:rPr>
      <w:b/>
      <w:color w:val="FF0000"/>
      <w:sz w:val="22"/>
      <w:u w:val="single"/>
    </w:rPr>
  </w:style>
  <w:style w:type="paragraph" w:styleId="Heading7">
    <w:name w:val="heading 7"/>
    <w:basedOn w:val="Normal"/>
    <w:next w:val="Normal"/>
    <w:qFormat/>
    <w:pPr>
      <w:keepNext w:val="true"/>
      <w:numPr>
        <w:ilvl w:val="6"/>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outlineLvl w:val="6"/>
    </w:pPr>
    <w:rPr>
      <w:b/>
      <w:sz w:val="22"/>
    </w:rPr>
  </w:style>
  <w:style w:type="character" w:styleId="WW8Num2z0">
    <w:name w:val="WW8Num2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z w:val="22"/>
    </w:rPr>
  </w:style>
  <w:style w:type="paragraph" w:styleId="BodyText2">
    <w:name w:val="Body Text 2"/>
    <w:basedOn w:val="Normal"/>
    <w:qFormat/>
    <w:pPr>
      <w:jc w:val="both"/>
    </w:pPr>
    <w:rPr>
      <w:sz w:val="22"/>
    </w:rPr>
  </w:style>
  <w:style w:type="paragraph" w:styleId="Expanded">
    <w:name w:val="Expanded"/>
    <w:basedOn w:val="Normal"/>
    <w:next w:val="Normal"/>
    <w:qFormat/>
    <w:pPr>
      <w:widowControl w:val="false"/>
      <w:spacing w:before="0" w:after="240"/>
      <w:jc w:val="center"/>
    </w:pPr>
    <w:rPr>
      <w:b/>
      <w:caps/>
      <w:spacing w:val="60"/>
      <w:sz w:val="22"/>
    </w:rPr>
  </w:style>
  <w:style w:type="paragraph" w:styleId="BodyText3">
    <w:name w:val="Body Text 3"/>
    <w:basedOn w:val="Normal"/>
    <w:qFormat/>
    <w:pPr>
      <w:spacing w:lineRule="atLeast" w:line="240"/>
      <w:jc w:val="both"/>
    </w:pPr>
    <w:rPr>
      <w:color w:val="000000"/>
      <w:sz w:val="22"/>
    </w:rPr>
  </w:style>
  <w:style w:type="paragraph" w:styleId="BodyTextIndent3">
    <w:name w:val="Body Text Indent 3"/>
    <w:basedOn w:val="Normal"/>
    <w:qFormat/>
    <w:pPr>
      <w:ind w:hanging="0" w:start="720" w:end="0"/>
      <w:jc w:val="both"/>
    </w:pPr>
    <w:rPr>
      <w:sz w:val="22"/>
    </w:rPr>
  </w:style>
  <w:style w:type="paragraph" w:styleId="BodyTextIndent2">
    <w:name w:val="Body Text Indent 2"/>
    <w:basedOn w:val="Normal"/>
    <w:qFormat/>
    <w:p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360" w:end="0"/>
      <w:jc w:val="both"/>
    </w:pPr>
    <w:rPr>
      <w:sz w:val="22"/>
    </w:rPr>
  </w:style>
  <w:style w:type="paragraph" w:styleId="Justified">
    <w:name w:val="Justified"/>
    <w:basedOn w:val="Normal"/>
    <w:next w:val="Heading2"/>
    <w:qFormat/>
    <w:pPr>
      <w:spacing w:before="0" w:after="12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5112" w:leader="none"/>
        <w:tab w:val="right" w:pos="1022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png"/><Relationship Id="rId7" Type="http://schemas.openxmlformats.org/officeDocument/2006/relationships/hyperlink" Target="http://www.cpc.ncep.noaa.gov/products/analysis_monitoring/cdus/prcp_temp_tables/mrffox.txt" TargetMode="External"/><Relationship Id="rId8" Type="http://schemas.openxmlformats.org/officeDocument/2006/relationships/hyperlink" Target="mailto:david.hoog@enron.com" TargetMode="Externa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2001-05-30T19:48:00Z</dcterms:created>
  <dc:creator>ECT</dc:creator>
  <dc:description/>
  <dc:language>en-CA</dc:language>
  <cp:lastModifiedBy>Marcus Nettelton</cp:lastModifiedBy>
  <cp:lastPrinted>2001-05-30T13:46:00Z</cp:lastPrinted>
  <dcterms:modified xsi:type="dcterms:W3CDTF">2001-05-30T19:48:00Z</dcterms:modified>
  <cp:revision>2</cp:revision>
  <dc:subject/>
  <dc:title>THIS CONTRACT IS A SAMPLE FORM OF CONTRACT ONLY AND DOES NOT INCLUDE ALL PROVISIONS THAT ARE NECESSARY TO IMPLEMENT TRANSACTIO</dc:title>
</cp:coreProperties>
</file>