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Original Sheet No. 5B.05</w:t>
      </w:r>
    </w:p>
    <w:p>
      <w:pPr>
        <w:pStyle w:val="Normal"/>
        <w:jc w:val="end"/>
        <w:rPr/>
      </w:pPr>
      <w:r>
        <w:rPr/>
      </w:r>
    </w:p>
    <w:p>
      <w:pPr>
        <w:pStyle w:val="Normal"/>
        <w:jc w:val="center"/>
        <w:rPr/>
      </w:pPr>
      <w:r>
        <w:rPr/>
      </w:r>
    </w:p>
    <w:p>
      <w:pPr>
        <w:pStyle w:val="Normal"/>
        <w:jc w:val="center"/>
        <w:rPr/>
      </w:pPr>
      <w:r>
        <w:rPr/>
        <w:t>STATEMENT OF NEGOTIATED RATES (1)</w:t>
      </w:r>
    </w:p>
    <w:p>
      <w:pPr>
        <w:pStyle w:val="Normal"/>
        <w:jc w:val="center"/>
        <w:rPr/>
      </w:pPr>
      <w:r>
        <w:rPr/>
      </w:r>
    </w:p>
    <w:p>
      <w:pPr>
        <w:pStyle w:val="Normal"/>
        <w:jc w:val="both"/>
        <w:rPr>
          <w:sz w:val="18"/>
          <w:szCs w:val="18"/>
        </w:rPr>
      </w:pPr>
      <w:r>
        <w:rPr>
          <w:sz w:val="18"/>
          <w:szCs w:val="18"/>
        </w:rPr>
        <w:t>Shipper Name</w:t>
        <w:tab/>
        <w:tab/>
        <w:t>Rate</w:t>
        <w:tab/>
        <w:tab/>
        <w:t xml:space="preserve">Negotiated </w:t>
        <w:tab/>
        <w:t>Other</w:t>
        <w:tab/>
        <w:t>Receipt</w:t>
        <w:tab/>
        <w:t>Delivery</w:t>
      </w:r>
    </w:p>
    <w:p>
      <w:pPr>
        <w:pStyle w:val="Normal"/>
        <w:ind w:end="-1620"/>
        <w:jc w:val="both"/>
        <w:rPr>
          <w:sz w:val="18"/>
          <w:szCs w:val="18"/>
        </w:rPr>
      </w:pPr>
      <w:r>
        <w:rPr>
          <w:sz w:val="18"/>
          <w:szCs w:val="18"/>
        </w:rPr>
        <w:tab/>
        <w:tab/>
        <w:tab/>
        <w:t>Schedule</w:t>
        <w:tab/>
        <w:tab/>
        <w:t>Rate</w:t>
        <w:tab/>
        <w:tab/>
        <w:t>Charges</w:t>
        <w:tab/>
        <w:t>Point(s)</w:t>
        <w:tab/>
        <w:t>Point(s)</w:t>
        <w:tab/>
        <w:tab/>
        <w:t>Volume</w:t>
      </w:r>
    </w:p>
    <w:p>
      <w:pPr>
        <w:pStyle w:val="Normal"/>
        <w:jc w:val="both"/>
        <w:rPr>
          <w:sz w:val="18"/>
          <w:szCs w:val="18"/>
        </w:rPr>
      </w:pPr>
      <w:r>
        <w:rPr>
          <w:sz w:val="18"/>
          <w:szCs w:val="18"/>
        </w:rPr>
      </w:r>
    </w:p>
    <w:p>
      <w:pPr>
        <w:pStyle w:val="Normal"/>
        <w:ind w:end="-1440"/>
        <w:jc w:val="both"/>
        <w:rPr>
          <w:sz w:val="18"/>
          <w:szCs w:val="18"/>
        </w:rPr>
      </w:pPr>
      <w:r>
        <w:rPr>
          <w:sz w:val="18"/>
          <w:szCs w:val="18"/>
        </w:rPr>
        <w:t>U.S. Gas Transmission, Inc.</w:t>
        <w:tab/>
        <w:t>FTS-1</w:t>
        <w:tab/>
        <w:tab/>
        <w:t>(2)</w:t>
        <w:tab/>
        <w:tab/>
        <w:t>(3)</w:t>
        <w:tab/>
        <w:t>(4)</w:t>
        <w:tab/>
        <w:t>(5)</w:t>
        <w:tab/>
        <w:tab/>
        <w:t>400,000 MMBtu/day</w:t>
      </w:r>
    </w:p>
    <w:p>
      <w:pPr>
        <w:pStyle w:val="Normal"/>
        <w:ind w:end="-1440"/>
        <w:jc w:val="both"/>
        <w:rPr>
          <w:sz w:val="18"/>
          <w:szCs w:val="18"/>
        </w:rPr>
      </w:pPr>
      <w:r>
        <w:rPr>
          <w:sz w:val="18"/>
          <w:szCs w:val="18"/>
        </w:rPr>
      </w:r>
    </w:p>
    <w:p>
      <w:pPr>
        <w:pStyle w:val="Normal"/>
        <w:ind w:end="-1440"/>
        <w:jc w:val="both"/>
        <w:rPr>
          <w:sz w:val="18"/>
          <w:szCs w:val="18"/>
        </w:rPr>
      </w:pPr>
      <w:r>
        <w:rPr>
          <w:sz w:val="18"/>
          <w:szCs w:val="18"/>
        </w:rPr>
      </w:r>
    </w:p>
    <w:p>
      <w:pPr>
        <w:pStyle w:val="BlockText"/>
        <w:rPr/>
      </w:pPr>
      <w:r>
        <w:rPr/>
        <w:t>1/  Unless otherwise noted, negotiated service agreements do not deviate in any material respect from the applicable form of service agreement set forth in Transwestern's FERC Gas Tariff.</w:t>
      </w:r>
    </w:p>
    <w:p>
      <w:pPr>
        <w:pStyle w:val="Normal"/>
        <w:ind w:end="-1440"/>
        <w:jc w:val="both"/>
        <w:rPr>
          <w:sz w:val="18"/>
          <w:szCs w:val="18"/>
        </w:rPr>
      </w:pPr>
      <w:r>
        <w:rPr>
          <w:sz w:val="18"/>
          <w:szCs w:val="18"/>
        </w:rPr>
      </w:r>
    </w:p>
    <w:p>
      <w:pPr>
        <w:pStyle w:val="Normal"/>
        <w:widowControl w:val="false"/>
        <w:ind w:hanging="270" w:start="270" w:end="0"/>
        <w:rPr/>
      </w:pPr>
      <w:r>
        <w:rPr>
          <w:sz w:val="18"/>
          <w:szCs w:val="18"/>
        </w:rPr>
        <w:t xml:space="preserve">2/   For East to East flow, the </w:t>
      </w:r>
      <w:r>
        <w:rPr/>
        <w:t xml:space="preserve">reservation rate is $0.0075/MMBtu/day and the commodity rate $0.0093/MMBtu/day.  For East to West flow, the combined rate is $0.04/MMBtu/day.  </w:t>
      </w:r>
    </w:p>
    <w:p>
      <w:pPr>
        <w:pStyle w:val="Normal"/>
        <w:widowControl w:val="false"/>
        <w:rPr/>
      </w:pPr>
      <w:r>
        <w:rPr/>
      </w:r>
    </w:p>
    <w:p>
      <w:pPr>
        <w:pStyle w:val="BodyText2"/>
        <w:rPr/>
      </w:pPr>
      <w:r>
        <w:rPr/>
        <w:t>In addition, Transwestern shall be entitled to share in the Commodity Sales Margins (defined below) resulting from Shipper’s use of the capacity pursuant to the FTS-1 Agreement, as follows:</w:t>
      </w:r>
    </w:p>
    <w:p>
      <w:pPr>
        <w:pStyle w:val="Normal"/>
        <w:widowControl w:val="false"/>
        <w:ind w:start="720" w:end="0"/>
        <w:rPr/>
      </w:pPr>
      <w:r>
        <w:rPr/>
      </w:r>
    </w:p>
    <w:p>
      <w:pPr>
        <w:pStyle w:val="Normal"/>
        <w:numPr>
          <w:ilvl w:val="0"/>
          <w:numId w:val="2"/>
        </w:numPr>
        <w:tabs>
          <w:tab w:val="clear" w:pos="720"/>
          <w:tab w:val="left" w:pos="0" w:leader="none"/>
        </w:tabs>
        <w:spacing w:before="0" w:after="120"/>
        <w:ind w:hanging="1062" w:start="1422" w:end="0"/>
        <w:rPr/>
      </w:pPr>
      <w:r>
        <w:rPr/>
        <w:t xml:space="preserve">Transwestern and Shipper shall each share fifty percent (50%) of the Commodity Sales Margins above the Revenue Sharing Threshold.  The Revenue Sharing Threshold shall be an amount equal to the sum of the total charges due and payable to Transwestern under this Agreement, plus the first $2.5 million of Commodity Sales Margins resulting from Shipper’s use of the capacity covered under this Agreement. </w:t>
      </w:r>
    </w:p>
    <w:p>
      <w:pPr>
        <w:pStyle w:val="Normal"/>
        <w:numPr>
          <w:ilvl w:val="0"/>
          <w:numId w:val="2"/>
        </w:numPr>
        <w:tabs>
          <w:tab w:val="clear" w:pos="720"/>
          <w:tab w:val="left" w:pos="0" w:leader="none"/>
        </w:tabs>
        <w:spacing w:before="0" w:after="120"/>
        <w:ind w:hanging="1062" w:start="1422" w:end="0"/>
        <w:rPr/>
      </w:pPr>
      <w:r>
        <w:rPr/>
        <w:t>If Shipper releases capacity during the term of the FTS-1 Agreement at a rate that exceeds the Discounted Rate, then the amount of the excess shall be treated as Commodity Sales Margins.  If Shipper releases capacity at a rate at or below the Discounted Rate, then the demand charges otherwise due and payable to Transwestern shall be reduced in an amount commensurate with the term and quantity of capacity released by Shipper solely for purposes of calculating the Revenue Sharing Threshold.  Any adjustment to demand charges for purposes of calculating the Revenue Sharing Threshold does not relieve Shipper of any obligation to pay all charges pursuant to the FTS-1 Agreement or Transwestern’s FERC Gas Tariff.</w:t>
      </w:r>
    </w:p>
    <w:p>
      <w:pPr>
        <w:pStyle w:val="Normal"/>
        <w:numPr>
          <w:ilvl w:val="0"/>
          <w:numId w:val="2"/>
        </w:numPr>
        <w:tabs>
          <w:tab w:val="clear" w:pos="720"/>
          <w:tab w:val="left" w:pos="0" w:leader="none"/>
        </w:tabs>
        <w:spacing w:before="0" w:after="120"/>
        <w:ind w:hanging="792" w:start="1584" w:end="0"/>
        <w:rPr/>
      </w:pPr>
      <w:r>
        <w:rPr/>
        <w:t xml:space="preserve">The Commodity Sales Margins shall be calculated according to the following formula: </w:t>
      </w:r>
    </w:p>
    <w:p>
      <w:pPr>
        <w:pStyle w:val="Normal"/>
        <w:tabs>
          <w:tab w:val="clear" w:pos="720"/>
          <w:tab w:val="left" w:pos="9000" w:leader="none"/>
        </w:tabs>
        <w:ind w:start="1080" w:end="936"/>
        <w:rPr/>
      </w:pPr>
      <w:r>
        <w:rPr/>
        <w:t xml:space="preserve">Commodity Sales Margins =  Actual quantity of East Flow volumes transported pursuant to this FTS-1 Agreement </w:t>
      </w:r>
      <w:r>
        <w:rPr>
          <w:u w:val="single"/>
        </w:rPr>
        <w:t>multiplied by</w:t>
      </w:r>
      <w:r>
        <w:rPr/>
        <w:t xml:space="preserve"> ((the difference in the commodity price for natural gas as reported in </w:t>
      </w:r>
      <w:r>
        <w:rPr>
          <w:u w:val="single"/>
        </w:rPr>
        <w:t>Gas Daily</w:t>
      </w:r>
      <w:r>
        <w:rPr/>
        <w:t xml:space="preserve">, Daily Price Survey, Permian Basin, midpoint Tex intras, Waha area </w:t>
      </w:r>
      <w:r>
        <w:rPr>
          <w:u w:val="single"/>
        </w:rPr>
        <w:t>minus</w:t>
      </w:r>
      <w:r>
        <w:rPr/>
        <w:t xml:space="preserve"> midpoint Transwestern) </w:t>
      </w:r>
      <w:r>
        <w:rPr>
          <w:u w:val="single"/>
        </w:rPr>
        <w:t>minus</w:t>
      </w:r>
      <w:r>
        <w:rPr/>
        <w:t xml:space="preserve"> the commodity rate of $0.0093/MMBtu </w:t>
      </w:r>
      <w:r>
        <w:rPr>
          <w:u w:val="single"/>
        </w:rPr>
        <w:t>minus</w:t>
      </w:r>
      <w:r>
        <w:rPr/>
        <w:t xml:space="preserve"> the cost of fuel (applicable fuel charge under Transwestern's FERC Gas Tariff </w:t>
      </w:r>
      <w:r>
        <w:rPr>
          <w:u w:val="single"/>
        </w:rPr>
        <w:t>multiplied by</w:t>
      </w:r>
      <w:r>
        <w:rPr/>
        <w:t xml:space="preserve"> the commodity price for natural gas as reported in </w:t>
      </w:r>
      <w:r>
        <w:rPr>
          <w:u w:val="single"/>
        </w:rPr>
        <w:t>Gas Daily</w:t>
      </w:r>
      <w:r>
        <w:rPr/>
        <w:t>, Daily Price Survey, Permian Basin, midpoint Transwestern)).  "East Flow" shall mean gas transported from East-of-Thoreau receipt points (to include receipts from Window Rock and Thoreau) to East-of-Thoreau delivery points.</w:t>
      </w:r>
    </w:p>
    <w:p>
      <w:pPr>
        <w:pStyle w:val="Normal"/>
        <w:widowControl w:val="false"/>
        <w:ind w:start="1440" w:end="846"/>
        <w:rPr/>
      </w:pPr>
      <w:r>
        <w:rPr/>
      </w:r>
    </w:p>
    <w:p>
      <w:pPr>
        <w:pStyle w:val="Normal"/>
        <w:widowControl w:val="false"/>
        <w:rPr/>
      </w:pPr>
      <w:r>
        <w:rPr/>
        <w:t>3/  The rates stated in 2/ above are inclusive of surcharges.</w:t>
      </w:r>
    </w:p>
    <w:p>
      <w:pPr>
        <w:pStyle w:val="Normal"/>
        <w:widowControl w:val="false"/>
        <w:jc w:val="end"/>
        <w:rPr/>
      </w:pPr>
      <w:r>
        <w:rPr/>
        <w:t>Effective:  April 1, 2000</w:t>
      </w:r>
      <w:r>
        <w:br w:type="page"/>
      </w:r>
    </w:p>
    <w:p>
      <w:pPr>
        <w:pStyle w:val="Normal"/>
        <w:widowControl w:val="false"/>
        <w:jc w:val="end"/>
        <w:rPr/>
      </w:pPr>
      <w:r>
        <w:rPr/>
        <w:t>Original Sheet No. 5B.06</w:t>
      </w:r>
    </w:p>
    <w:p>
      <w:pPr>
        <w:pStyle w:val="Normal"/>
        <w:widowControl w:val="false"/>
        <w:jc w:val="end"/>
        <w:rPr/>
      </w:pPr>
      <w:r>
        <w:rPr/>
      </w:r>
    </w:p>
    <w:p>
      <w:pPr>
        <w:pStyle w:val="Normal"/>
        <w:widowControl w:val="false"/>
        <w:rPr/>
      </w:pPr>
      <w:r>
        <w:rPr/>
        <w:t xml:space="preserve">4/ </w:t>
      </w:r>
      <w:r>
        <w:rPr>
          <w:b/>
          <w:bCs/>
          <w:u w:val="single"/>
        </w:rPr>
        <w:t>Primary Point(s) of Receipt</w:t>
      </w:r>
      <w:r>
        <w:rPr/>
        <w:tab/>
        <w:tab/>
      </w:r>
      <w:r>
        <w:rPr>
          <w:u w:val="single"/>
        </w:rPr>
        <w:t>Point Name</w:t>
      </w:r>
      <w:r>
        <w:rPr/>
        <w:tab/>
        <w:tab/>
      </w:r>
    </w:p>
    <w:p>
      <w:pPr>
        <w:pStyle w:val="Normal"/>
        <w:ind w:firstLine="720" w:start="720" w:end="0"/>
        <w:rPr/>
      </w:pPr>
      <w:r>
        <w:rPr/>
        <w:t>58646</w:t>
        <w:tab/>
        <w:tab/>
        <w:tab/>
        <w:t>West Texas Pool</w:t>
      </w:r>
    </w:p>
    <w:p>
      <w:pPr>
        <w:pStyle w:val="Normal"/>
        <w:ind w:firstLine="720" w:start="720" w:end="0"/>
        <w:rPr/>
      </w:pPr>
      <w:r>
        <w:rPr/>
        <w:t>58649</w:t>
        <w:tab/>
        <w:tab/>
        <w:tab/>
        <w:t>Central Pool</w:t>
      </w:r>
    </w:p>
    <w:p>
      <w:pPr>
        <w:pStyle w:val="Normal"/>
        <w:ind w:firstLine="720" w:start="720" w:end="0"/>
        <w:rPr/>
      </w:pPr>
      <w:r>
        <w:rPr/>
        <w:t>58647</w:t>
        <w:tab/>
        <w:tab/>
        <w:tab/>
        <w:t>Panhandle Pool</w:t>
      </w:r>
    </w:p>
    <w:p>
      <w:pPr>
        <w:pStyle w:val="Normal"/>
        <w:ind w:firstLine="720" w:start="720" w:end="0"/>
        <w:rPr/>
      </w:pPr>
      <w:r>
        <w:rPr/>
        <w:t>60921</w:t>
        <w:tab/>
        <w:tab/>
        <w:tab/>
        <w:t>Rio Puerco</w:t>
      </w:r>
    </w:p>
    <w:p>
      <w:pPr>
        <w:pStyle w:val="Normal"/>
        <w:ind w:firstLine="720" w:start="720" w:end="0"/>
        <w:rPr/>
      </w:pPr>
      <w:r>
        <w:rPr/>
        <w:t>500179</w:t>
        <w:tab/>
        <w:tab/>
        <w:tab/>
        <w:t>EPNG- Window Rock</w:t>
      </w:r>
    </w:p>
    <w:p>
      <w:pPr>
        <w:pStyle w:val="Normal"/>
        <w:ind w:firstLine="720" w:start="720" w:end="0"/>
        <w:rPr/>
      </w:pPr>
      <w:r>
        <w:rPr/>
      </w:r>
    </w:p>
    <w:p>
      <w:pPr>
        <w:pStyle w:val="Normal"/>
        <w:ind w:start="180" w:end="0"/>
        <w:rPr/>
      </w:pPr>
      <w:r>
        <w:rPr>
          <w:b/>
          <w:bCs/>
          <w:u w:val="single"/>
        </w:rPr>
        <w:t>Alternate Point(s) of Receipt</w:t>
      </w:r>
      <w:r>
        <w:rPr/>
        <w:tab/>
        <w:tab/>
      </w:r>
      <w:r>
        <w:rPr>
          <w:u w:val="single"/>
        </w:rPr>
        <w:t>Point Name</w:t>
      </w:r>
    </w:p>
    <w:p>
      <w:pPr>
        <w:pStyle w:val="Normal"/>
        <w:ind w:start="1440" w:end="0"/>
        <w:rPr/>
      </w:pPr>
      <w:r>
        <w:rPr/>
        <w:t>500085</w:t>
        <w:tab/>
        <w:tab/>
        <w:tab/>
        <w:t>PNM Wingate</w:t>
      </w:r>
    </w:p>
    <w:p>
      <w:pPr>
        <w:pStyle w:val="Normal"/>
        <w:ind w:start="1440" w:end="0"/>
        <w:rPr/>
      </w:pPr>
      <w:r>
        <w:rPr/>
        <w:t>56709</w:t>
        <w:tab/>
        <w:tab/>
        <w:tab/>
        <w:t>Thoreau</w:t>
      </w:r>
    </w:p>
    <w:p>
      <w:pPr>
        <w:pStyle w:val="Normal"/>
        <w:ind w:start="1440" w:end="0"/>
        <w:rPr/>
      </w:pPr>
      <w:r>
        <w:rPr/>
        <w:t>0009018</w:t>
        <w:tab/>
        <w:tab/>
        <w:tab/>
        <w:t>ANR Red Deer</w:t>
      </w:r>
    </w:p>
    <w:p>
      <w:pPr>
        <w:pStyle w:val="Normal"/>
        <w:ind w:start="1440" w:end="0"/>
        <w:rPr/>
      </w:pPr>
      <w:r>
        <w:rPr/>
      </w:r>
    </w:p>
    <w:p>
      <w:pPr>
        <w:pStyle w:val="Normal"/>
        <w:ind w:start="270" w:end="0"/>
        <w:rPr/>
      </w:pPr>
      <w:r>
        <w:rPr/>
        <w:t xml:space="preserve">5/   </w:t>
      </w:r>
      <w:r>
        <w:rPr>
          <w:b/>
          <w:bCs/>
          <w:u w:val="single"/>
        </w:rPr>
        <w:t>Primary Point(s) of Delivery</w:t>
      </w:r>
      <w:r>
        <w:rPr/>
        <w:tab/>
      </w:r>
      <w:r>
        <w:rPr>
          <w:u w:val="single"/>
        </w:rPr>
        <w:t>Point Name</w:t>
      </w:r>
    </w:p>
    <w:p>
      <w:pPr>
        <w:pStyle w:val="Normal"/>
        <w:ind w:firstLine="720" w:start="720" w:end="0"/>
        <w:rPr/>
      </w:pPr>
      <w:r>
        <w:rPr/>
        <w:t>8516</w:t>
        <w:tab/>
        <w:tab/>
        <w:tab/>
        <w:t>Oasis-Blk 16</w:t>
      </w:r>
    </w:p>
    <w:p>
      <w:pPr>
        <w:pStyle w:val="Normal"/>
        <w:ind w:firstLine="720" w:start="720" w:end="0"/>
        <w:rPr/>
      </w:pPr>
      <w:r>
        <w:rPr/>
        <w:t>56943</w:t>
        <w:tab/>
        <w:tab/>
        <w:tab/>
        <w:t>Valero Ward</w:t>
      </w:r>
    </w:p>
    <w:p>
      <w:pPr>
        <w:pStyle w:val="Normal"/>
        <w:ind w:firstLine="720" w:start="720" w:end="0"/>
        <w:rPr/>
      </w:pPr>
      <w:r>
        <w:rPr/>
        <w:t>500515</w:t>
        <w:tab/>
        <w:tab/>
        <w:tab/>
        <w:t>Valero Pecos</w:t>
      </w:r>
    </w:p>
    <w:p>
      <w:pPr>
        <w:pStyle w:val="Normal"/>
        <w:ind w:firstLine="720" w:start="720" w:end="0"/>
        <w:rPr/>
      </w:pPr>
      <w:r>
        <w:rPr/>
        <w:t>500168</w:t>
        <w:tab/>
        <w:tab/>
        <w:tab/>
        <w:t>Westar Ward</w:t>
      </w:r>
    </w:p>
    <w:p>
      <w:pPr>
        <w:pStyle w:val="Normal"/>
        <w:ind w:firstLine="720" w:start="720" w:end="0"/>
        <w:rPr/>
      </w:pPr>
      <w:r>
        <w:rPr/>
        <w:t>57245</w:t>
        <w:tab/>
        <w:tab/>
        <w:tab/>
        <w:t>Lone Star Ward</w:t>
      </w:r>
    </w:p>
    <w:p>
      <w:pPr>
        <w:pStyle w:val="Normal"/>
        <w:ind w:firstLine="720" w:start="720" w:end="0"/>
        <w:rPr/>
      </w:pPr>
      <w:r>
        <w:rPr/>
        <w:t>6828</w:t>
        <w:tab/>
        <w:tab/>
        <w:tab/>
        <w:t>NGPL Gray</w:t>
      </w:r>
    </w:p>
    <w:p>
      <w:pPr>
        <w:pStyle w:val="Normal"/>
        <w:ind w:firstLine="720" w:start="720" w:end="0"/>
        <w:rPr/>
      </w:pPr>
      <w:r>
        <w:rPr/>
        <w:t>57274</w:t>
        <w:tab/>
        <w:tab/>
        <w:tab/>
        <w:t>ANR/TW Red Deer</w:t>
      </w:r>
    </w:p>
    <w:p>
      <w:pPr>
        <w:pStyle w:val="Normal"/>
        <w:ind w:firstLine="720" w:start="720" w:end="0"/>
        <w:rPr/>
      </w:pPr>
      <w:r>
        <w:rPr/>
        <w:t xml:space="preserve">8042 </w:t>
        <w:tab/>
        <w:tab/>
        <w:tab/>
        <w:t>PEPL Hansford</w:t>
      </w:r>
    </w:p>
    <w:p>
      <w:pPr>
        <w:pStyle w:val="Normal"/>
        <w:ind w:firstLine="720" w:start="720" w:end="0"/>
        <w:rPr/>
      </w:pPr>
      <w:r>
        <w:rPr/>
      </w:r>
    </w:p>
    <w:p>
      <w:pPr>
        <w:pStyle w:val="Normal"/>
        <w:ind w:start="540" w:end="0"/>
        <w:rPr/>
      </w:pPr>
      <w:r>
        <w:rPr>
          <w:b/>
          <w:bCs/>
          <w:u w:val="single"/>
        </w:rPr>
        <w:t>Alternate Point(s) of Delivery</w:t>
      </w:r>
      <w:r>
        <w:rPr/>
        <w:tab/>
      </w:r>
      <w:r>
        <w:rPr>
          <w:u w:val="single"/>
        </w:rPr>
        <w:t>Point Name</w:t>
      </w:r>
    </w:p>
    <w:p>
      <w:pPr>
        <w:pStyle w:val="Heading2"/>
        <w:rPr/>
      </w:pPr>
      <w:r>
        <w:rPr/>
        <w:t>West Flow</w:t>
      </w:r>
    </w:p>
    <w:p>
      <w:pPr>
        <w:pStyle w:val="Normal"/>
        <w:ind w:firstLine="720" w:start="720" w:end="0"/>
        <w:rPr/>
      </w:pPr>
      <w:r>
        <w:rPr/>
        <w:t>57276</w:t>
        <w:tab/>
        <w:tab/>
        <w:tab/>
        <w:t>CA Pool</w:t>
        <w:tab/>
      </w:r>
    </w:p>
    <w:p>
      <w:pPr>
        <w:pStyle w:val="Normal"/>
        <w:rPr/>
      </w:pPr>
      <w:r>
        <w:rPr/>
        <w:tab/>
        <w:tab/>
        <w:t>10487</w:t>
        <w:tab/>
        <w:tab/>
        <w:tab/>
        <w:t>SoCal Needles</w:t>
      </w:r>
    </w:p>
    <w:p>
      <w:pPr>
        <w:pStyle w:val="Normal"/>
        <w:rPr/>
      </w:pPr>
      <w:r>
        <w:rPr/>
        <w:tab/>
        <w:tab/>
        <w:t>56697</w:t>
        <w:tab/>
        <w:tab/>
        <w:tab/>
        <w:t>SoCal Topock</w:t>
      </w:r>
    </w:p>
    <w:p>
      <w:pPr>
        <w:pStyle w:val="Normal"/>
        <w:rPr/>
      </w:pPr>
      <w:r>
        <w:rPr/>
        <w:tab/>
        <w:tab/>
        <w:t>56698</w:t>
        <w:tab/>
        <w:tab/>
        <w:tab/>
        <w:t>PG&amp;E Topock</w:t>
      </w:r>
    </w:p>
    <w:p>
      <w:pPr>
        <w:pStyle w:val="Normal"/>
        <w:rPr/>
      </w:pPr>
      <w:r>
        <w:rPr/>
        <w:tab/>
        <w:tab/>
        <w:t>56696</w:t>
        <w:tab/>
        <w:tab/>
        <w:tab/>
        <w:t>Mojave Topock</w:t>
      </w:r>
    </w:p>
    <w:p>
      <w:pPr>
        <w:pStyle w:val="Normal"/>
        <w:rPr/>
      </w:pPr>
      <w:r>
        <w:rPr/>
      </w:r>
    </w:p>
    <w:p>
      <w:pPr>
        <w:pStyle w:val="Normal"/>
        <w:rPr/>
      </w:pPr>
      <w:r>
        <w:rPr/>
        <w:tab/>
        <w:tab/>
      </w:r>
      <w:r>
        <w:rPr>
          <w:u w:val="single"/>
        </w:rPr>
        <w:t>East Flow</w:t>
      </w:r>
    </w:p>
    <w:p>
      <w:pPr>
        <w:pStyle w:val="Normal"/>
        <w:ind w:firstLine="720" w:start="720" w:end="0"/>
        <w:rPr/>
      </w:pPr>
      <w:r>
        <w:rPr/>
        <w:t>All East of Thoreau delivery points, subject to available capacity</w:t>
      </w:r>
    </w:p>
    <w:p>
      <w:pPr>
        <w:pStyle w:val="Normal"/>
        <w:rPr/>
      </w:pPr>
      <w:r>
        <w:rPr/>
        <w:tab/>
      </w:r>
    </w:p>
    <w:p>
      <w:pPr>
        <w:pStyle w:val="Normal"/>
        <w:widowControl w:val="false"/>
        <w:rPr/>
      </w:pPr>
      <w:r>
        <w:rPr/>
      </w:r>
    </w:p>
    <w:p>
      <w:pPr>
        <w:pStyle w:val="Normal"/>
        <w:widowControl w:val="false"/>
        <w:rPr/>
      </w:pPr>
      <w:r>
        <w:rPr/>
      </w:r>
    </w:p>
    <w:p>
      <w:pPr>
        <w:pStyle w:val="Normal"/>
        <w:widowControl w:val="false"/>
        <w:jc w:val="end"/>
        <w:rPr/>
      </w:pPr>
      <w:r>
        <w:rPr/>
        <w:t>Effective:  April 1, 2000</w:t>
      </w:r>
    </w:p>
    <w:p>
      <w:pPr>
        <w:pStyle w:val="Normal"/>
        <w:widowControl w:val="false"/>
        <w:jc w:val="end"/>
        <w:rPr/>
      </w:pPr>
      <w: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92"/>
        </w:tabs>
        <w:ind w:start="792" w:hanging="79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ind w:firstLine="720" w:start="720" w:end="0"/>
      <w:outlineLvl w:val="1"/>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270" w:start="270" w:end="-1440"/>
      <w:jc w:val="both"/>
    </w:pPr>
    <w:rPr>
      <w:sz w:val="18"/>
      <w:szCs w:val="18"/>
    </w:rPr>
  </w:style>
  <w:style w:type="paragraph" w:styleId="BodyText2">
    <w:name w:val="Body Text 2"/>
    <w:basedOn w:val="Normal"/>
    <w:qFormat/>
    <w:pPr>
      <w:widowControl w:val="false"/>
      <w:ind w:hanging="0" w:start="27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2000-03-24T17:13:00Z</dcterms:created>
  <dc:creator>Susan Scott</dc:creator>
  <dc:description/>
  <dc:language>en-CA</dc:language>
  <cp:lastModifiedBy>Susan Scott</cp:lastModifiedBy>
  <cp:lastPrinted>2000-03-24T14:12:00Z</cp:lastPrinted>
  <dcterms:modified xsi:type="dcterms:W3CDTF">2000-03-24T17:52:00Z</dcterms:modified>
  <cp:revision>2</cp:revision>
  <dc:subject/>
  <dc:title>Original Sheet No</dc:title>
</cp:coreProperties>
</file>