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embeddings/oleObject13.xlsx" ContentType="application/vnd.openxmlformats-officedocument.spreadsheetml.sheet"/>
  <Override PartName="/word/embeddings/oleObject12.xlsx" ContentType="application/vnd.openxmlformats-officedocument.spreadsheetml.sheet"/>
  <Override PartName="/word/embeddings/oleObject11.xlsx" ContentType="application/vnd.openxmlformats-officedocument.spreadsheetml.sheet"/>
  <Override PartName="/word/embeddings/oleObject10.xlsx" ContentType="application/vnd.openxmlformats-officedocument.spreadsheetml.sheet"/>
  <Override PartName="/word/embeddings/oleObject9.xlsx" ContentType="application/vnd.openxmlformats-officedocument.spreadsheetml.sheet"/>
  <Override PartName="/word/embeddings/oleObject2.bin" ContentType="application/vnd.openxmlformats-officedocument.oleObject"/>
  <Override PartName="/word/embeddings/oleObject8.xlsx" ContentType="application/vnd.openxmlformats-officedocument.spreadsheetml.sheet"/>
  <Override PartName="/word/embeddings/oleObject7.xlsx" ContentType="application/vnd.openxmlformats-officedocument.spreadsheetml.sheet"/>
  <Override PartName="/word/embeddings/oleObject6.xlsx" ContentType="application/vnd.openxmlformats-officedocument.spreadsheetml.sheet"/>
  <Override PartName="/word/embeddings/oleObject23.xlsx" ContentType="application/vnd.openxmlformats-officedocument.spreadsheetml.sheet"/>
  <Override PartName="/word/embeddings/oleObject22.xlsx" ContentType="application/vnd.openxmlformats-officedocument.spreadsheetml.sheet"/>
  <Override PartName="/word/embeddings/oleObject19.xlsx" ContentType="application/vnd.openxmlformats-officedocument.spreadsheetml.sheet"/>
  <Override PartName="/word/embeddings/oleObject18.xlsx" ContentType="application/vnd.openxmlformats-officedocument.spreadsheetml.sheet"/>
  <Override PartName="/word/embeddings/oleObject17.xlsx" ContentType="application/vnd.openxmlformats-officedocument.spreadsheetml.sheet"/>
  <Override PartName="/word/embeddings/oleObject5.xlsx" ContentType="application/vnd.openxmlformats-officedocument.spreadsheetml.sheet"/>
  <Override PartName="/word/embeddings/oleObject21.docx" ContentType="application/vnd.openxmlformats-officedocument.wordprocessingml.document"/>
  <Override PartName="/word/embeddings/oleObject24.bin" ContentType="application/vnd.openxmlformats-officedocument.oleObject"/>
  <Override PartName="/word/embeddings/oleObject16.xlsx" ContentType="application/vnd.openxmlformats-officedocument.spreadsheetml.sheet"/>
  <Override PartName="/word/embeddings/oleObject1.bin" ContentType="application/vnd.openxmlformats-officedocument.oleObject"/>
  <Override PartName="/word/embeddings/oleObject15.xlsx" ContentType="application/vnd.openxmlformats-officedocument.spreadsheetml.sheet"/>
  <Override PartName="/word/embeddings/oleObject3.xlsx" ContentType="application/vnd.openxmlformats-officedocument.spreadsheetml.sheet"/>
  <Override PartName="/word/embeddings/oleObject14.xlsx" ContentType="application/vnd.openxmlformats-officedocument.spreadsheetml.sheet"/>
  <Override PartName="/word/embeddings/oleObject4.xlsx" ContentType="application/vnd.openxmlformats-officedocument.spreadsheetml.sheet"/>
  <Override PartName="/word/embeddings/oleObject20.docx" ContentType="application/vnd.openxmlformats-officedocument.wordprocessingml.document"/>
  <Override PartName="/word/media/image13.wmf" ContentType="image/x-wmf"/>
  <Override PartName="/word/media/image4.wmf" ContentType="image/x-wmf"/>
  <Override PartName="/word/media/image9.wmf" ContentType="image/x-wmf"/>
  <Override PartName="/word/media/image18.wmf" ContentType="image/x-wmf"/>
  <Override PartName="/word/media/image12.wmf" ContentType="image/x-wmf"/>
  <Override PartName="/word/media/image3.wmf" ContentType="image/x-wmf"/>
  <Override PartName="/word/media/image8.wmf" ContentType="image/x-wmf"/>
  <Override PartName="/word/media/image17.wmf" ContentType="image/x-wmf"/>
  <Override PartName="/word/media/image11.wmf" ContentType="image/x-wmf"/>
  <Override PartName="/word/media/image7.wmf" ContentType="image/x-wmf"/>
  <Override PartName="/word/media/image16.wmf" ContentType="image/x-wmf"/>
  <Override PartName="/word/media/image10.wmf" ContentType="image/x-wmf"/>
  <Override PartName="/word/media/image1.wmf" ContentType="image/x-wmf"/>
  <Override PartName="/word/media/image26.wmf" ContentType="image/x-wmf"/>
  <Override PartName="/word/media/image25.wmf" ContentType="image/x-wmf"/>
  <Override PartName="/word/media/image24.wmf" ContentType="image/x-wmf"/>
  <Override PartName="/word/media/image23.png" ContentType="image/png"/>
  <Override PartName="/word/media/image22.wmf" ContentType="image/x-wmf"/>
  <Override PartName="/word/media/image20.png" ContentType="image/png"/>
  <Override PartName="/word/media/image14.wmf" ContentType="image/x-wmf"/>
  <Override PartName="/word/media/image5.wmf" ContentType="image/x-wmf"/>
  <Override PartName="/word/media/image21.wmf" ContentType="image/x-wmf"/>
  <Override PartName="/word/media/image19.wmf" ContentType="image/x-wmf"/>
  <Override PartName="/word/media/image2.png" ContentType="image/png"/>
  <Override PartName="/word/media/image6.wmf" ContentType="image/x-wmf"/>
  <Override PartName="/word/media/image15.wmf" ContentType="image/x-wmf"/>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tabs>
          <w:tab w:val="clear" w:pos="4320"/>
          <w:tab w:val="clear" w:pos="8640"/>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lang w:val="en-CA" w:eastAsia="en-CA"/>
        </w:rPr>
      </w:pPr>
      <w:r>
        <w:rPr>
          <w:lang w:val="en-CA" w:eastAsia="en-CA"/>
        </w:rPr>
        <w:object w:dxaOrig="8638" w:dyaOrig="10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8pt;margin-top:15.6pt;width:477pt;height:65.4pt;mso-wrap-distance-left:9.05pt;mso-wrap-distance-right:9.05pt;mso-position-horizontal-relative:text;mso-position-vertical-relative:text" filled="f" o:ole="">
            <v:imagedata r:id="rId3" o:title=""/>
            <w10:wrap type="topAndBottom"/>
          </v:shape>
          <o:OLEObject Type="Embed" ProgID="" ShapeID="ole_rId2" DrawAspect="Content" ObjectID="_1116344131" r:id="rId2"/>
        </w:object>
      </w:r>
      <w:r>
        <mc:AlternateContent>
          <mc:Choice Requires="wps">
            <w:drawing>
              <wp:anchor behindDoc="0" distT="0" distB="0" distL="114935" distR="114935" simplePos="0" locked="0" layoutInCell="1" allowOverlap="1" relativeHeight="16">
                <wp:simplePos x="0" y="0"/>
                <wp:positionH relativeFrom="column">
                  <wp:posOffset>457200</wp:posOffset>
                </wp:positionH>
                <wp:positionV relativeFrom="paragraph">
                  <wp:posOffset>259715</wp:posOffset>
                </wp:positionV>
                <wp:extent cx="5372100" cy="571500"/>
                <wp:effectExtent l="0" t="0" r="0" b="0"/>
                <wp:wrapNone/>
                <wp:docPr id="1" name="Frame1"/>
                <a:graphic xmlns:a="http://schemas.openxmlformats.org/drawingml/2006/main">
                  <a:graphicData uri="http://schemas.microsoft.com/office/word/2010/wordprocessingShape">
                    <wps:wsp>
                      <wps:cNvSpPr txBox="1"/>
                      <wps:spPr>
                        <a:xfrm>
                          <a:off x="0" y="0"/>
                          <a:ext cx="5372100" cy="571500"/>
                        </a:xfrm>
                        <a:prstGeom prst="rect"/>
                        <a:solidFill>
                          <a:srgbClr val="FFFFFF"/>
                        </a:solidFill>
                      </wps:spPr>
                      <wps:txbx>
                        <w:txbxContent>
                          <w:p>
                            <w:pPr>
                              <w:pStyle w:val="BodyText"/>
                              <w:rPr>
                                <w:sz w:val="56"/>
                              </w:rPr>
                            </w:pPr>
                            <w:r>
                              <w:rPr>
                                <w:sz w:val="56"/>
                              </w:rPr>
                              <w:t>Organizational Statistics</w:t>
                            </w:r>
                          </w:p>
                        </w:txbxContent>
                      </wps:txbx>
                      <wps:bodyPr anchor="t" lIns="92075" tIns="46355" rIns="92075" bIns="46355">
                        <a:noAutofit/>
                      </wps:bodyPr>
                    </wps:wsp>
                  </a:graphicData>
                </a:graphic>
              </wp:anchor>
            </w:drawing>
          </mc:Choice>
          <mc:Fallback>
            <w:pict>
              <v:rect fillcolor="#FFFFFF" style="position:absolute;rotation:-0;width:423pt;height:45pt;mso-wrap-distance-left:9.05pt;mso-wrap-distance-right:9.05pt;mso-wrap-distance-top:0pt;mso-wrap-distance-bottom:0pt;margin-top:20.45pt;mso-position-vertical-relative:text;margin-left:36pt;mso-position-horizontal-relative:text">
                <v:textbox inset="0.100694444444444in,0.0506944444444444in,0.100694444444444in,0.0506944444444444in">
                  <w:txbxContent>
                    <w:p>
                      <w:pPr>
                        <w:pStyle w:val="BodyText"/>
                        <w:rPr>
                          <w:sz w:val="56"/>
                        </w:rPr>
                      </w:pPr>
                      <w:r>
                        <w:rPr>
                          <w:sz w:val="56"/>
                        </w:rPr>
                        <w:t>Organizational Statistics</w:t>
                      </w:r>
                    </w:p>
                  </w:txbxContent>
                </v:textbox>
                <w10:wrap type="none"/>
              </v:rect>
            </w:pict>
          </mc:Fallback>
        </mc:AlternateContent>
      </w:r>
    </w:p>
    <w:p>
      <w:pPr>
        <w:pStyle w:val="Normal"/>
        <w:rPr/>
      </w:pPr>
      <w:r>
        <w:rPr/>
      </w:r>
    </w:p>
    <w:p>
      <w:pPr>
        <w:pStyle w:val="Normal"/>
        <w:rPr/>
      </w:pPr>
      <w:r>
        <w:rPr/>
      </w:r>
    </w:p>
    <w:p>
      <w:pPr>
        <w:pStyle w:val="Heading2"/>
        <w:ind w:hanging="0" w:start="0"/>
        <w:rPr>
          <w:i/>
          <w:i/>
          <w:iCs/>
          <w:sz w:val="40"/>
        </w:rPr>
      </w:pPr>
      <w:r>
        <w:rPr>
          <w:i/>
          <w:iCs/>
          <w:sz w:val="40"/>
        </w:rPr>
      </w:r>
    </w:p>
    <w:p>
      <w:pPr>
        <w:pStyle w:val="Heading1"/>
        <w:ind w:hanging="0" w:start="0"/>
        <w:rPr>
          <w:b/>
          <w:bCs/>
          <w:i/>
          <w:i/>
          <w:iCs/>
          <w:sz w:val="14"/>
        </w:rPr>
      </w:pPr>
      <w:r>
        <w:rPr>
          <w:b/>
          <w:bCs/>
          <w:i/>
          <w:iCs/>
          <w:sz w:val="14"/>
        </w:rPr>
      </w:r>
    </w:p>
    <w:p>
      <w:pPr>
        <w:pStyle w:val="Heading1"/>
        <w:ind w:hanging="0" w:start="0"/>
        <w:rPr>
          <w:b/>
          <w:bCs/>
          <w:i/>
          <w:i/>
          <w:iCs/>
          <w:sz w:val="44"/>
        </w:rPr>
      </w:pPr>
      <w:r>
        <w:rPr>
          <w:b/>
          <w:bCs/>
          <w:i/>
          <w:iCs/>
          <w:sz w:val="44"/>
        </w:rPr>
        <w:t>As of</w:t>
      </w:r>
    </w:p>
    <w:p>
      <w:pPr>
        <w:pStyle w:val="Normal"/>
        <w:rPr>
          <w:b/>
          <w:bCs/>
          <w:i/>
          <w:i/>
          <w:iCs/>
          <w:sz w:val="44"/>
        </w:rPr>
      </w:pPr>
      <w:r>
        <w:rPr>
          <w:b/>
          <w:bCs/>
          <w:i/>
          <w:iCs/>
          <w:sz w:val="44"/>
        </w:rPr>
      </w:r>
    </w:p>
    <w:p>
      <w:pPr>
        <w:pStyle w:val="Heading1"/>
        <w:ind w:hanging="0" w:start="0"/>
        <w:rPr>
          <w:b/>
          <w:bCs/>
          <w:sz w:val="44"/>
        </w:rPr>
      </w:pPr>
      <w:r>
        <w:rPr>
          <w:b/>
          <w:bCs/>
          <w:sz w:val="44"/>
        </w:rPr>
        <w:t>June 30, 2001</w:t>
      </w:r>
    </w:p>
    <w:p>
      <w:pPr>
        <w:pStyle w:val="Normal"/>
        <w:rPr>
          <w:b/>
          <w:bCs/>
          <w:sz w:val="44"/>
          <w:lang w:val="en-CA" w:eastAsia="en-CA"/>
        </w:rPr>
      </w:pPr>
      <w:r>
        <w:rPr>
          <w:b/>
          <w:bCs/>
          <w:sz w:val="44"/>
          <w:lang w:val="en-CA" w:eastAsia="en-CA"/>
        </w:rPr>
        <w:object w:dxaOrig="13228" w:dyaOrig="6389">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position:absolute;margin-left:144pt;margin-top:33.55pt;width:151.2pt;height:73.1pt;mso-wrap-distance-left:9.05pt;mso-wrap-distance-right:9.05pt;mso-position-horizontal-relative:text;mso-position-vertical-relative:text" filled="f" o:ole="">
            <v:imagedata r:id="rId5" o:title=""/>
            <w10:wrap type="topAndBottom"/>
          </v:shape>
          <o:OLEObject Type="Embed" ProgID="" ShapeID="ole_rId4" DrawAspect="Content" ObjectID="_1548236739" r:id="rId4"/>
        </w:object>
      </w:r>
    </w:p>
    <w:p>
      <w:pPr>
        <w:pStyle w:val="Normal"/>
        <w:rPr/>
      </w:pPr>
      <w:r>
        <w:rPr/>
      </w:r>
    </w:p>
    <w:p>
      <w:pPr>
        <w:pStyle w:val="Normal"/>
        <w:rPr/>
      </w:pPr>
      <w:r>
        <w:rPr/>
      </w:r>
    </w:p>
    <w:p>
      <w:pPr>
        <w:pStyle w:val="Normal"/>
        <w:rPr/>
      </w:pPr>
      <w:r>
        <w:rPr/>
      </w:r>
    </w:p>
    <w:p>
      <w:pPr>
        <w:pStyle w:val="Normal"/>
        <w:rPr>
          <w:lang w:val="en-CA" w:eastAsia="en-CA"/>
        </w:rPr>
      </w:pPr>
      <w:r>
        <w:rPr>
          <w:lang w:val="en-CA" w:eastAsia="en-CA"/>
        </w:rPr>
        <mc:AlternateContent>
          <mc:Choice Requires="wpg">
            <w:drawing>
              <wp:anchor behindDoc="0" distT="0" distB="0" distL="114935" distR="114935" simplePos="0" locked="0" layoutInCell="1" allowOverlap="1" relativeHeight="19">
                <wp:simplePos x="0" y="0"/>
                <wp:positionH relativeFrom="column">
                  <wp:posOffset>-457200</wp:posOffset>
                </wp:positionH>
                <wp:positionV relativeFrom="paragraph">
                  <wp:posOffset>2575560</wp:posOffset>
                </wp:positionV>
                <wp:extent cx="686435" cy="647700"/>
                <wp:effectExtent l="0" t="0" r="0" b="0"/>
                <wp:wrapNone/>
                <wp:docPr id="2" name=""/>
                <a:graphic xmlns:a="http://schemas.openxmlformats.org/drawingml/2006/main">
                  <a:graphicData uri="http://schemas.microsoft.com/office/word/2010/wordprocessingGroup">
                    <wpg:wgp>
                      <wpg:cNvGrpSpPr/>
                      <wpg:grpSpPr>
                        <a:xfrm>
                          <a:off x="0" y="0"/>
                          <a:ext cx="686520" cy="647640"/>
                          <a:chOff x="0" y="0"/>
                          <a:chExt cx="686520" cy="647640"/>
                        </a:xfrm>
                      </wpg:grpSpPr>
                      <wpg:grpSp>
                        <wpg:cNvGrpSpPr/>
                        <wpg:grpSpPr>
                          <a:xfrm>
                            <a:off x="0" y="239400"/>
                            <a:ext cx="686520" cy="408240"/>
                          </a:xfrm>
                        </wpg:grpSpPr>
                        <wps:wsp>
                          <wps:cNvPr id="3" name=""/>
                          <wps:cNvSpPr/>
                          <wps:spPr>
                            <a:xfrm>
                              <a:off x="0" y="1440"/>
                              <a:ext cx="137160" cy="129600"/>
                            </a:xfrm>
                            <a:custGeom>
                              <a:avLst/>
                              <a:gdLst/>
                              <a:ahLst/>
                              <a:rect l="l" t="t" r="r" b="b"/>
                              <a:pathLst>
                                <a:path w="352" h="351">
                                  <a:moveTo>
                                    <a:pt x="0" y="225"/>
                                  </a:moveTo>
                                  <a:lnTo>
                                    <a:pt x="226" y="0"/>
                                  </a:lnTo>
                                  <a:lnTo>
                                    <a:pt x="351" y="125"/>
                                  </a:lnTo>
                                  <a:lnTo>
                                    <a:pt x="308" y="167"/>
                                  </a:lnTo>
                                  <a:lnTo>
                                    <a:pt x="230" y="90"/>
                                  </a:lnTo>
                                  <a:lnTo>
                                    <a:pt x="189" y="131"/>
                                  </a:lnTo>
                                  <a:lnTo>
                                    <a:pt x="265" y="208"/>
                                  </a:lnTo>
                                  <a:lnTo>
                                    <a:pt x="222" y="249"/>
                                  </a:lnTo>
                                  <a:lnTo>
                                    <a:pt x="146" y="174"/>
                                  </a:lnTo>
                                  <a:lnTo>
                                    <a:pt x="90" y="229"/>
                                  </a:lnTo>
                                  <a:lnTo>
                                    <a:pt x="168" y="307"/>
                                  </a:lnTo>
                                  <a:lnTo>
                                    <a:pt x="126" y="350"/>
                                  </a:lnTo>
                                  <a:lnTo>
                                    <a:pt x="0" y="225"/>
                                  </a:lnTo>
                                </a:path>
                              </a:pathLst>
                            </a:custGeom>
                            <a:solidFill>
                              <a:srgbClr val="1c77ff"/>
                            </a:solidFill>
                            <a:ln w="0">
                              <a:noFill/>
                            </a:ln>
                          </wps:spPr>
                          <wps:style>
                            <a:lnRef idx="0"/>
                            <a:fillRef idx="0"/>
                            <a:effectRef idx="0"/>
                            <a:fontRef idx="minor"/>
                          </wps:style>
                          <wps:bodyPr/>
                        </wps:wsp>
                        <wps:wsp>
                          <wps:cNvPr id="4" name=""/>
                          <wps:cNvSpPr/>
                          <wps:spPr>
                            <a:xfrm>
                              <a:off x="67320" y="64800"/>
                              <a:ext cx="146160" cy="137880"/>
                            </a:xfrm>
                            <a:custGeom>
                              <a:avLst/>
                              <a:gdLst/>
                              <a:ahLst/>
                              <a:rect l="l" t="t" r="r" b="b"/>
                              <a:pathLst>
                                <a:path w="374" h="374">
                                  <a:moveTo>
                                    <a:pt x="226" y="0"/>
                                  </a:moveTo>
                                  <a:lnTo>
                                    <a:pt x="282" y="56"/>
                                  </a:lnTo>
                                  <a:lnTo>
                                    <a:pt x="200" y="225"/>
                                  </a:lnTo>
                                  <a:lnTo>
                                    <a:pt x="201" y="226"/>
                                  </a:lnTo>
                                  <a:lnTo>
                                    <a:pt x="327" y="100"/>
                                  </a:lnTo>
                                  <a:lnTo>
                                    <a:pt x="373" y="146"/>
                                  </a:lnTo>
                                  <a:lnTo>
                                    <a:pt x="148" y="373"/>
                                  </a:lnTo>
                                  <a:lnTo>
                                    <a:pt x="94" y="319"/>
                                  </a:lnTo>
                                  <a:lnTo>
                                    <a:pt x="174" y="146"/>
                                  </a:lnTo>
                                  <a:lnTo>
                                    <a:pt x="48" y="272"/>
                                  </a:lnTo>
                                  <a:lnTo>
                                    <a:pt x="0" y="225"/>
                                  </a:lnTo>
                                  <a:lnTo>
                                    <a:pt x="226" y="0"/>
                                  </a:lnTo>
                                </a:path>
                              </a:pathLst>
                            </a:custGeom>
                            <a:solidFill>
                              <a:srgbClr val="1c77ff"/>
                            </a:solidFill>
                            <a:ln w="0">
                              <a:noFill/>
                            </a:ln>
                          </wps:spPr>
                          <wps:style>
                            <a:lnRef idx="0"/>
                            <a:fillRef idx="0"/>
                            <a:effectRef idx="0"/>
                            <a:fontRef idx="minor"/>
                          </wps:style>
                          <wps:bodyPr/>
                        </wps:wsp>
                        <wps:wsp>
                          <wps:cNvPr id="5" name=""/>
                          <wps:cNvSpPr/>
                          <wps:spPr>
                            <a:xfrm>
                              <a:off x="286560" y="271800"/>
                              <a:ext cx="145440" cy="136440"/>
                            </a:xfrm>
                            <a:custGeom>
                              <a:avLst/>
                              <a:gdLst/>
                              <a:ahLst/>
                              <a:rect l="l" t="t" r="r" b="b"/>
                              <a:pathLst>
                                <a:path w="373" h="371">
                                  <a:moveTo>
                                    <a:pt x="225" y="0"/>
                                  </a:moveTo>
                                  <a:lnTo>
                                    <a:pt x="281" y="56"/>
                                  </a:lnTo>
                                  <a:lnTo>
                                    <a:pt x="200" y="226"/>
                                  </a:lnTo>
                                  <a:lnTo>
                                    <a:pt x="325" y="100"/>
                                  </a:lnTo>
                                  <a:lnTo>
                                    <a:pt x="372" y="147"/>
                                  </a:lnTo>
                                  <a:lnTo>
                                    <a:pt x="147" y="370"/>
                                  </a:lnTo>
                                  <a:lnTo>
                                    <a:pt x="94" y="320"/>
                                  </a:lnTo>
                                  <a:lnTo>
                                    <a:pt x="174" y="146"/>
                                  </a:lnTo>
                                  <a:lnTo>
                                    <a:pt x="47" y="273"/>
                                  </a:lnTo>
                                  <a:lnTo>
                                    <a:pt x="0" y="225"/>
                                  </a:lnTo>
                                  <a:lnTo>
                                    <a:pt x="225" y="0"/>
                                  </a:lnTo>
                                </a:path>
                              </a:pathLst>
                            </a:custGeom>
                            <a:solidFill>
                              <a:srgbClr val="1c77ff"/>
                            </a:solidFill>
                            <a:ln w="0">
                              <a:noFill/>
                            </a:ln>
                          </wps:spPr>
                          <wps:style>
                            <a:lnRef idx="0"/>
                            <a:fillRef idx="0"/>
                            <a:effectRef idx="0"/>
                            <a:fontRef idx="minor"/>
                          </wps:style>
                          <wps:bodyPr/>
                        </wps:wsp>
                        <wps:wsp>
                          <wps:cNvPr id="6" name=""/>
                          <wps:cNvSpPr/>
                          <wps:spPr>
                            <a:xfrm>
                              <a:off x="230040" y="216360"/>
                              <a:ext cx="6480" cy="20880"/>
                            </a:xfrm>
                            <a:custGeom>
                              <a:avLst/>
                              <a:gdLst/>
                              <a:ahLst/>
                              <a:rect l="l" t="t" r="r" b="b"/>
                              <a:pathLst>
                                <a:path w="17" h="57">
                                  <a:moveTo>
                                    <a:pt x="0" y="0"/>
                                  </a:moveTo>
                                  <a:lnTo>
                                    <a:pt x="0" y="56"/>
                                  </a:lnTo>
                                  <a:lnTo>
                                    <a:pt x="2" y="53"/>
                                  </a:lnTo>
                                  <a:lnTo>
                                    <a:pt x="16" y="33"/>
                                  </a:lnTo>
                                  <a:lnTo>
                                    <a:pt x="13" y="14"/>
                                  </a:lnTo>
                                  <a:lnTo>
                                    <a:pt x="0" y="0"/>
                                  </a:lnTo>
                                </a:path>
                              </a:pathLst>
                            </a:custGeom>
                            <a:solidFill>
                              <a:srgbClr val="1c77ff"/>
                            </a:solidFill>
                            <a:ln w="0">
                              <a:noFill/>
                            </a:ln>
                          </wps:spPr>
                          <wps:style>
                            <a:lnRef idx="0"/>
                            <a:fillRef idx="0"/>
                            <a:effectRef idx="0"/>
                            <a:fontRef idx="minor"/>
                          </wps:style>
                          <wps:bodyPr/>
                        </wps:wsp>
                        <wps:wsp>
                          <wps:cNvPr id="7" name=""/>
                          <wps:cNvSpPr/>
                          <wps:spPr>
                            <a:xfrm>
                              <a:off x="230040" y="136440"/>
                              <a:ext cx="44280" cy="82080"/>
                            </a:xfrm>
                            <a:custGeom>
                              <a:avLst/>
                              <a:gdLst/>
                              <a:ahLst/>
                              <a:rect l="l" t="t" r="r" b="b"/>
                              <a:pathLst>
                                <a:path w="114" h="223">
                                  <a:moveTo>
                                    <a:pt x="0" y="164"/>
                                  </a:moveTo>
                                  <a:lnTo>
                                    <a:pt x="0" y="211"/>
                                  </a:lnTo>
                                  <a:lnTo>
                                    <a:pt x="10" y="216"/>
                                  </a:lnTo>
                                  <a:lnTo>
                                    <a:pt x="22" y="221"/>
                                  </a:lnTo>
                                  <a:lnTo>
                                    <a:pt x="33" y="222"/>
                                  </a:lnTo>
                                  <a:lnTo>
                                    <a:pt x="44" y="221"/>
                                  </a:lnTo>
                                  <a:lnTo>
                                    <a:pt x="66" y="211"/>
                                  </a:lnTo>
                                  <a:lnTo>
                                    <a:pt x="88" y="192"/>
                                  </a:lnTo>
                                  <a:lnTo>
                                    <a:pt x="103" y="174"/>
                                  </a:lnTo>
                                  <a:lnTo>
                                    <a:pt x="111" y="155"/>
                                  </a:lnTo>
                                  <a:lnTo>
                                    <a:pt x="113" y="138"/>
                                  </a:lnTo>
                                  <a:lnTo>
                                    <a:pt x="109" y="121"/>
                                  </a:lnTo>
                                  <a:lnTo>
                                    <a:pt x="101" y="103"/>
                                  </a:lnTo>
                                  <a:lnTo>
                                    <a:pt x="88" y="85"/>
                                  </a:lnTo>
                                  <a:lnTo>
                                    <a:pt x="53" y="48"/>
                                  </a:lnTo>
                                  <a:lnTo>
                                    <a:pt x="6" y="0"/>
                                  </a:lnTo>
                                  <a:lnTo>
                                    <a:pt x="0" y="6"/>
                                  </a:lnTo>
                                  <a:lnTo>
                                    <a:pt x="0" y="100"/>
                                  </a:lnTo>
                                  <a:lnTo>
                                    <a:pt x="19" y="82"/>
                                  </a:lnTo>
                                  <a:lnTo>
                                    <a:pt x="34" y="100"/>
                                  </a:lnTo>
                                  <a:lnTo>
                                    <a:pt x="41" y="117"/>
                                  </a:lnTo>
                                  <a:lnTo>
                                    <a:pt x="40" y="134"/>
                                  </a:lnTo>
                                  <a:lnTo>
                                    <a:pt x="28" y="151"/>
                                  </a:lnTo>
                                  <a:lnTo>
                                    <a:pt x="12" y="163"/>
                                  </a:lnTo>
                                  <a:lnTo>
                                    <a:pt x="0" y="164"/>
                                  </a:lnTo>
                                </a:path>
                              </a:pathLst>
                            </a:custGeom>
                            <a:solidFill>
                              <a:srgbClr val="1c77ff"/>
                            </a:solidFill>
                            <a:ln w="0">
                              <a:noFill/>
                            </a:ln>
                          </wps:spPr>
                          <wps:style>
                            <a:lnRef idx="0"/>
                            <a:fillRef idx="0"/>
                            <a:effectRef idx="0"/>
                            <a:fontRef idx="minor"/>
                          </wps:style>
                          <wps:bodyPr/>
                        </wps:wsp>
                        <wps:wsp>
                          <wps:cNvPr id="8" name=""/>
                          <wps:cNvSpPr/>
                          <wps:spPr>
                            <a:xfrm>
                              <a:off x="143640" y="138960"/>
                              <a:ext cx="85680" cy="133920"/>
                            </a:xfrm>
                            <a:custGeom>
                              <a:avLst/>
                              <a:gdLst/>
                              <a:ahLst/>
                              <a:rect l="l" t="t" r="r" b="b"/>
                              <a:pathLst>
                                <a:path w="221" h="363">
                                  <a:moveTo>
                                    <a:pt x="220" y="94"/>
                                  </a:moveTo>
                                  <a:lnTo>
                                    <a:pt x="220" y="0"/>
                                  </a:lnTo>
                                  <a:lnTo>
                                    <a:pt x="0" y="220"/>
                                  </a:lnTo>
                                  <a:lnTo>
                                    <a:pt x="47" y="267"/>
                                  </a:lnTo>
                                  <a:lnTo>
                                    <a:pt x="144" y="170"/>
                                  </a:lnTo>
                                  <a:lnTo>
                                    <a:pt x="153" y="179"/>
                                  </a:lnTo>
                                  <a:lnTo>
                                    <a:pt x="161" y="189"/>
                                  </a:lnTo>
                                  <a:lnTo>
                                    <a:pt x="167" y="204"/>
                                  </a:lnTo>
                                  <a:lnTo>
                                    <a:pt x="167" y="221"/>
                                  </a:lnTo>
                                  <a:lnTo>
                                    <a:pt x="159" y="234"/>
                                  </a:lnTo>
                                  <a:lnTo>
                                    <a:pt x="120" y="274"/>
                                  </a:lnTo>
                                  <a:lnTo>
                                    <a:pt x="105" y="292"/>
                                  </a:lnTo>
                                  <a:lnTo>
                                    <a:pt x="99" y="302"/>
                                  </a:lnTo>
                                  <a:lnTo>
                                    <a:pt x="95" y="315"/>
                                  </a:lnTo>
                                  <a:lnTo>
                                    <a:pt x="142" y="362"/>
                                  </a:lnTo>
                                  <a:lnTo>
                                    <a:pt x="146" y="350"/>
                                  </a:lnTo>
                                  <a:lnTo>
                                    <a:pt x="152" y="339"/>
                                  </a:lnTo>
                                  <a:lnTo>
                                    <a:pt x="167" y="321"/>
                                  </a:lnTo>
                                  <a:lnTo>
                                    <a:pt x="201" y="286"/>
                                  </a:lnTo>
                                  <a:lnTo>
                                    <a:pt x="220" y="265"/>
                                  </a:lnTo>
                                  <a:lnTo>
                                    <a:pt x="220" y="209"/>
                                  </a:lnTo>
                                  <a:lnTo>
                                    <a:pt x="216" y="204"/>
                                  </a:lnTo>
                                  <a:lnTo>
                                    <a:pt x="217" y="203"/>
                                  </a:lnTo>
                                  <a:lnTo>
                                    <a:pt x="220" y="205"/>
                                  </a:lnTo>
                                  <a:lnTo>
                                    <a:pt x="220" y="158"/>
                                  </a:lnTo>
                                  <a:lnTo>
                                    <a:pt x="215" y="158"/>
                                  </a:lnTo>
                                  <a:lnTo>
                                    <a:pt x="196" y="151"/>
                                  </a:lnTo>
                                  <a:lnTo>
                                    <a:pt x="178" y="136"/>
                                  </a:lnTo>
                                  <a:lnTo>
                                    <a:pt x="220" y="94"/>
                                  </a:lnTo>
                                </a:path>
                              </a:pathLst>
                            </a:custGeom>
                            <a:solidFill>
                              <a:srgbClr val="1c77ff"/>
                            </a:solidFill>
                            <a:ln w="0">
                              <a:noFill/>
                            </a:ln>
                          </wps:spPr>
                          <wps:style>
                            <a:lnRef idx="0"/>
                            <a:fillRef idx="0"/>
                            <a:effectRef idx="0"/>
                            <a:fontRef idx="minor"/>
                          </wps:style>
                          <wps:bodyPr/>
                        </wps:wsp>
                        <wps:wsp>
                          <wps:cNvPr id="9" name=""/>
                          <wps:cNvSpPr/>
                          <wps:spPr>
                            <a:xfrm>
                              <a:off x="285840" y="216360"/>
                              <a:ext cx="58320" cy="103680"/>
                            </a:xfrm>
                            <a:custGeom>
                              <a:avLst/>
                              <a:gdLst/>
                              <a:ahLst/>
                              <a:rect l="l" t="t" r="r" b="b"/>
                              <a:pathLst>
                                <a:path w="150" h="281">
                                  <a:moveTo>
                                    <a:pt x="0" y="189"/>
                                  </a:moveTo>
                                  <a:lnTo>
                                    <a:pt x="0" y="280"/>
                                  </a:lnTo>
                                  <a:lnTo>
                                    <a:pt x="20" y="263"/>
                                  </a:lnTo>
                                  <a:lnTo>
                                    <a:pt x="115" y="168"/>
                                  </a:lnTo>
                                  <a:lnTo>
                                    <a:pt x="133" y="147"/>
                                  </a:lnTo>
                                  <a:lnTo>
                                    <a:pt x="143" y="128"/>
                                  </a:lnTo>
                                  <a:lnTo>
                                    <a:pt x="148" y="109"/>
                                  </a:lnTo>
                                  <a:lnTo>
                                    <a:pt x="149" y="91"/>
                                  </a:lnTo>
                                  <a:lnTo>
                                    <a:pt x="145" y="75"/>
                                  </a:lnTo>
                                  <a:lnTo>
                                    <a:pt x="138" y="58"/>
                                  </a:lnTo>
                                  <a:lnTo>
                                    <a:pt x="117" y="31"/>
                                  </a:lnTo>
                                  <a:lnTo>
                                    <a:pt x="89" y="10"/>
                                  </a:lnTo>
                                  <a:lnTo>
                                    <a:pt x="73" y="4"/>
                                  </a:lnTo>
                                  <a:lnTo>
                                    <a:pt x="56" y="0"/>
                                  </a:lnTo>
                                  <a:lnTo>
                                    <a:pt x="39" y="0"/>
                                  </a:lnTo>
                                  <a:lnTo>
                                    <a:pt x="20" y="5"/>
                                  </a:lnTo>
                                  <a:lnTo>
                                    <a:pt x="1" y="15"/>
                                  </a:lnTo>
                                  <a:lnTo>
                                    <a:pt x="0" y="16"/>
                                  </a:lnTo>
                                  <a:lnTo>
                                    <a:pt x="0" y="108"/>
                                  </a:lnTo>
                                  <a:lnTo>
                                    <a:pt x="40" y="67"/>
                                  </a:lnTo>
                                  <a:lnTo>
                                    <a:pt x="49" y="61"/>
                                  </a:lnTo>
                                  <a:lnTo>
                                    <a:pt x="58" y="61"/>
                                  </a:lnTo>
                                  <a:lnTo>
                                    <a:pt x="70" y="63"/>
                                  </a:lnTo>
                                  <a:lnTo>
                                    <a:pt x="79" y="69"/>
                                  </a:lnTo>
                                  <a:lnTo>
                                    <a:pt x="86" y="78"/>
                                  </a:lnTo>
                                  <a:lnTo>
                                    <a:pt x="88" y="89"/>
                                  </a:lnTo>
                                  <a:lnTo>
                                    <a:pt x="87" y="99"/>
                                  </a:lnTo>
                                  <a:lnTo>
                                    <a:pt x="81" y="107"/>
                                  </a:lnTo>
                                  <a:lnTo>
                                    <a:pt x="0" y="189"/>
                                  </a:lnTo>
                                </a:path>
                              </a:pathLst>
                            </a:custGeom>
                            <a:solidFill>
                              <a:srgbClr val="1c77ff"/>
                            </a:solidFill>
                            <a:ln w="0">
                              <a:noFill/>
                            </a:ln>
                          </wps:spPr>
                          <wps:style>
                            <a:lnRef idx="0"/>
                            <a:fillRef idx="0"/>
                            <a:effectRef idx="0"/>
                            <a:fontRef idx="minor"/>
                          </wps:style>
                          <wps:bodyPr/>
                        </wps:wsp>
                        <wps:wsp>
                          <wps:cNvPr id="10" name=""/>
                          <wps:cNvSpPr/>
                          <wps:spPr>
                            <a:xfrm>
                              <a:off x="227880" y="222120"/>
                              <a:ext cx="57960" cy="104040"/>
                            </a:xfrm>
                            <a:custGeom>
                              <a:avLst/>
                              <a:gdLst/>
                              <a:ahLst/>
                              <a:rect l="l" t="t" r="r" b="b"/>
                              <a:pathLst>
                                <a:path w="149" h="282">
                                  <a:moveTo>
                                    <a:pt x="148" y="92"/>
                                  </a:moveTo>
                                  <a:lnTo>
                                    <a:pt x="148" y="0"/>
                                  </a:lnTo>
                                  <a:lnTo>
                                    <a:pt x="128" y="17"/>
                                  </a:lnTo>
                                  <a:lnTo>
                                    <a:pt x="32" y="113"/>
                                  </a:lnTo>
                                  <a:lnTo>
                                    <a:pt x="16" y="132"/>
                                  </a:lnTo>
                                  <a:lnTo>
                                    <a:pt x="6" y="152"/>
                                  </a:lnTo>
                                  <a:lnTo>
                                    <a:pt x="0" y="170"/>
                                  </a:lnTo>
                                  <a:lnTo>
                                    <a:pt x="0" y="189"/>
                                  </a:lnTo>
                                  <a:lnTo>
                                    <a:pt x="3" y="206"/>
                                  </a:lnTo>
                                  <a:lnTo>
                                    <a:pt x="10" y="222"/>
                                  </a:lnTo>
                                  <a:lnTo>
                                    <a:pt x="31" y="249"/>
                                  </a:lnTo>
                                  <a:lnTo>
                                    <a:pt x="58" y="271"/>
                                  </a:lnTo>
                                  <a:lnTo>
                                    <a:pt x="74" y="277"/>
                                  </a:lnTo>
                                  <a:lnTo>
                                    <a:pt x="91" y="281"/>
                                  </a:lnTo>
                                  <a:lnTo>
                                    <a:pt x="109" y="280"/>
                                  </a:lnTo>
                                  <a:lnTo>
                                    <a:pt x="128" y="275"/>
                                  </a:lnTo>
                                  <a:lnTo>
                                    <a:pt x="148" y="264"/>
                                  </a:lnTo>
                                  <a:lnTo>
                                    <a:pt x="148" y="173"/>
                                  </a:lnTo>
                                  <a:lnTo>
                                    <a:pt x="108" y="213"/>
                                  </a:lnTo>
                                  <a:lnTo>
                                    <a:pt x="99" y="218"/>
                                  </a:lnTo>
                                  <a:lnTo>
                                    <a:pt x="89" y="220"/>
                                  </a:lnTo>
                                  <a:lnTo>
                                    <a:pt x="78" y="218"/>
                                  </a:lnTo>
                                  <a:lnTo>
                                    <a:pt x="69" y="211"/>
                                  </a:lnTo>
                                  <a:lnTo>
                                    <a:pt x="62" y="202"/>
                                  </a:lnTo>
                                  <a:lnTo>
                                    <a:pt x="60" y="191"/>
                                  </a:lnTo>
                                  <a:lnTo>
                                    <a:pt x="62" y="181"/>
                                  </a:lnTo>
                                  <a:lnTo>
                                    <a:pt x="68" y="173"/>
                                  </a:lnTo>
                                  <a:lnTo>
                                    <a:pt x="148" y="92"/>
                                  </a:lnTo>
                                </a:path>
                              </a:pathLst>
                            </a:custGeom>
                            <a:solidFill>
                              <a:srgbClr val="1c77ff"/>
                            </a:solidFill>
                            <a:ln w="0">
                              <a:noFill/>
                            </a:ln>
                          </wps:spPr>
                          <wps:style>
                            <a:lnRef idx="0"/>
                            <a:fillRef idx="0"/>
                            <a:effectRef idx="0"/>
                            <a:fontRef idx="minor"/>
                          </wps:style>
                          <wps:bodyPr/>
                        </wps:wsp>
                        <wps:wsp>
                          <wps:cNvPr id="11" name=""/>
                          <wps:cNvSpPr/>
                          <wps:spPr>
                            <a:xfrm>
                              <a:off x="413280" y="0"/>
                              <a:ext cx="272880" cy="326520"/>
                            </a:xfrm>
                            <a:custGeom>
                              <a:avLst/>
                              <a:gdLst/>
                              <a:ahLst/>
                              <a:rect l="l" t="t" r="r" b="b"/>
                              <a:pathLst>
                                <a:path w="699" h="884">
                                  <a:moveTo>
                                    <a:pt x="698" y="230"/>
                                  </a:moveTo>
                                  <a:lnTo>
                                    <a:pt x="471" y="0"/>
                                  </a:lnTo>
                                  <a:lnTo>
                                    <a:pt x="7" y="463"/>
                                  </a:lnTo>
                                  <a:lnTo>
                                    <a:pt x="54" y="510"/>
                                  </a:lnTo>
                                  <a:lnTo>
                                    <a:pt x="471" y="94"/>
                                  </a:lnTo>
                                  <a:lnTo>
                                    <a:pt x="606" y="230"/>
                                  </a:lnTo>
                                  <a:lnTo>
                                    <a:pt x="0" y="836"/>
                                  </a:lnTo>
                                  <a:lnTo>
                                    <a:pt x="47" y="883"/>
                                  </a:lnTo>
                                  <a:lnTo>
                                    <a:pt x="698" y="230"/>
                                  </a:lnTo>
                                </a:path>
                              </a:pathLst>
                            </a:custGeom>
                            <a:solidFill>
                              <a:srgbClr val="1c77ff"/>
                            </a:solidFill>
                            <a:ln w="0">
                              <a:noFill/>
                            </a:ln>
                          </wps:spPr>
                          <wps:style>
                            <a:lnRef idx="0"/>
                            <a:fillRef idx="0"/>
                            <a:effectRef idx="0"/>
                            <a:fontRef idx="minor"/>
                          </wps:style>
                          <wps:bodyPr/>
                        </wps:wsp>
                      </wpg:grpSp>
                      <wps:wsp>
                        <wps:cNvPr id="12" name=""/>
                        <wps:cNvSpPr/>
                        <wps:spPr>
                          <a:xfrm>
                            <a:off x="88920" y="0"/>
                            <a:ext cx="344880" cy="326520"/>
                          </a:xfrm>
                          <a:custGeom>
                            <a:avLst/>
                            <a:gdLst/>
                            <a:ahLst/>
                            <a:rect l="l" t="t" r="r" b="b"/>
                            <a:pathLst>
                              <a:path w="884" h="883">
                                <a:moveTo>
                                  <a:pt x="561" y="835"/>
                                </a:moveTo>
                                <a:lnTo>
                                  <a:pt x="419" y="694"/>
                                </a:lnTo>
                                <a:lnTo>
                                  <a:pt x="883" y="230"/>
                                </a:lnTo>
                                <a:lnTo>
                                  <a:pt x="653" y="0"/>
                                </a:lnTo>
                                <a:lnTo>
                                  <a:pt x="0" y="654"/>
                                </a:lnTo>
                                <a:lnTo>
                                  <a:pt x="47" y="701"/>
                                </a:lnTo>
                                <a:lnTo>
                                  <a:pt x="653" y="95"/>
                                </a:lnTo>
                                <a:lnTo>
                                  <a:pt x="788" y="230"/>
                                </a:lnTo>
                                <a:lnTo>
                                  <a:pt x="325" y="694"/>
                                </a:lnTo>
                                <a:lnTo>
                                  <a:pt x="514" y="882"/>
                                </a:lnTo>
                                <a:lnTo>
                                  <a:pt x="561" y="835"/>
                                </a:lnTo>
                              </a:path>
                            </a:pathLst>
                          </a:custGeom>
                          <a:solidFill>
                            <a:srgbClr val="ff0017"/>
                          </a:solidFill>
                          <a:ln w="0">
                            <a:noFill/>
                          </a:ln>
                        </wps:spPr>
                        <wps:style>
                          <a:lnRef idx="0"/>
                          <a:fillRef idx="0"/>
                          <a:effectRef idx="0"/>
                          <a:fontRef idx="minor"/>
                        </wps:style>
                        <wps:bodyPr/>
                      </wps:wsp>
                      <wps:wsp>
                        <wps:cNvPr id="13" name=""/>
                        <wps:cNvSpPr/>
                        <wps:spPr>
                          <a:xfrm>
                            <a:off x="289440" y="119520"/>
                            <a:ext cx="271080" cy="326520"/>
                          </a:xfrm>
                          <a:custGeom>
                            <a:avLst/>
                            <a:gdLst/>
                            <a:ahLst/>
                            <a:rect l="l" t="t" r="r" b="b"/>
                            <a:pathLst>
                              <a:path w="695" h="884">
                                <a:moveTo>
                                  <a:pt x="371" y="835"/>
                                </a:moveTo>
                                <a:lnTo>
                                  <a:pt x="230" y="694"/>
                                </a:lnTo>
                                <a:lnTo>
                                  <a:pt x="694" y="231"/>
                                </a:lnTo>
                                <a:lnTo>
                                  <a:pt x="463" y="0"/>
                                </a:lnTo>
                                <a:lnTo>
                                  <a:pt x="0" y="464"/>
                                </a:lnTo>
                                <a:lnTo>
                                  <a:pt x="47" y="511"/>
                                </a:lnTo>
                                <a:lnTo>
                                  <a:pt x="463" y="95"/>
                                </a:lnTo>
                                <a:lnTo>
                                  <a:pt x="599" y="231"/>
                                </a:lnTo>
                                <a:lnTo>
                                  <a:pt x="136" y="694"/>
                                </a:lnTo>
                                <a:lnTo>
                                  <a:pt x="324" y="883"/>
                                </a:lnTo>
                                <a:lnTo>
                                  <a:pt x="371" y="835"/>
                                </a:lnTo>
                              </a:path>
                            </a:pathLst>
                          </a:custGeom>
                          <a:solidFill>
                            <a:srgbClr val="33cc33"/>
                          </a:solidFill>
                          <a:ln w="0">
                            <a:noFill/>
                          </a:ln>
                        </wps:spPr>
                        <wps:style>
                          <a:lnRef idx="0"/>
                          <a:fillRef idx="0"/>
                          <a:effectRef idx="0"/>
                          <a:fontRef idx="minor"/>
                        </wps:style>
                        <wps:bodyPr/>
                      </wps:wsp>
                    </wpg:wgp>
                  </a:graphicData>
                </a:graphic>
              </wp:anchor>
            </w:drawing>
          </mc:Choice>
          <mc:Fallback>
            <w:pict>
              <v:group id="shape_0" style="position:absolute;margin-left:-36pt;margin-top:202.8pt;width:54.05pt;height:51pt" coordorigin="-720,4056" coordsize="1081,1020">
                <v:group id="shape_0" style="position:absolute;left:-720;top:4433;width:1081;height:643">
                  <v:shape id="shape_0" coordsize="352,351" path="m0,225l226,0l351,125l308,167l230,90l189,131l265,208l222,249l146,174l90,229l168,307l126,350l0,225e" fillcolor="#1c77ff" stroked="f" o:allowincell="f" style="position:absolute;left:-720;top:4435;width:215;height:203;mso-wrap-style:none;v-text-anchor:middle">
                    <v:fill o:detectmouseclick="t" type="solid" color2="#e38800"/>
                    <v:stroke color="#3465a4" joinstyle="round" endcap="flat"/>
                    <w10:wrap type="none"/>
                  </v:shape>
                  <v:shape id="shape_0" coordsize="374,374" path="m226,0l282,56l200,225l201,226l327,100l373,146l148,373l94,319l174,146l48,272l0,225l226,0e" fillcolor="#1c77ff" stroked="f" o:allowincell="f" style="position:absolute;left:-614;top:4535;width:229;height:216;mso-wrap-style:none;v-text-anchor:middle">
                    <v:fill o:detectmouseclick="t" type="solid" color2="#e38800"/>
                    <v:stroke color="#3465a4" joinstyle="round" endcap="flat"/>
                    <w10:wrap type="none"/>
                  </v:shape>
                  <v:shape id="shape_0" coordsize="373,371" path="m225,0l281,56l200,226l325,100l372,147l147,370l94,320l174,146l47,273l0,225l225,0e" fillcolor="#1c77ff" stroked="f" o:allowincell="f" style="position:absolute;left:-269;top:4861;width:228;height:214;mso-wrap-style:none;v-text-anchor:middle">
                    <v:fill o:detectmouseclick="t" type="solid" color2="#e38800"/>
                    <v:stroke color="#3465a4" joinstyle="round" endcap="flat"/>
                    <w10:wrap type="none"/>
                  </v:shape>
                  <v:shape id="shape_0" coordsize="17,57" path="m0,0l0,56l2,53l16,33l13,14l0,0e" fillcolor="#1c77ff" stroked="f" o:allowincell="f" style="position:absolute;left:-358;top:4774;width:9;height:32;mso-wrap-style:none;v-text-anchor:middle">
                    <v:fill o:detectmouseclick="t" type="solid" color2="#e38800"/>
                    <v:stroke color="#3465a4" joinstyle="round" endcap="flat"/>
                    <w10:wrap type="none"/>
                  </v:shape>
                  <v:shape id="shape_0" coordsize="114,223" path="m0,164l0,211l10,216l22,221l33,222l44,221l66,211l88,192l103,174l111,155l113,138l109,121l101,103l88,85l53,48l6,0l0,6l0,100l19,82l34,100l41,117l40,134l28,151l12,163l0,164e" fillcolor="#1c77ff" stroked="f" o:allowincell="f" style="position:absolute;left:-358;top:4648;width:69;height:128;mso-wrap-style:none;v-text-anchor:middle">
                    <v:fill o:detectmouseclick="t" type="solid" color2="#e38800"/>
                    <v:stroke color="#3465a4" joinstyle="round" endcap="flat"/>
                    <w10:wrap type="none"/>
                  </v:shape>
                  <v:shape id="shape_0" coordsize="221,363" path="m220,94l220,0l0,220l47,267l144,170l153,179l161,189l167,204l167,221l159,234l120,274l105,292l99,302l95,315l142,362l146,350l152,339l167,321l201,286l220,265l220,209l216,204l217,203l220,205l220,158l215,158l196,151l178,136l220,94e" fillcolor="#1c77ff" stroked="f" o:allowincell="f" style="position:absolute;left:-494;top:4652;width:134;height:210;mso-wrap-style:none;v-text-anchor:middle">
                    <v:fill o:detectmouseclick="t" type="solid" color2="#e38800"/>
                    <v:stroke color="#3465a4" joinstyle="round" endcap="flat"/>
                    <w10:wrap type="none"/>
                  </v:shape>
                  <v:shape id="shape_0" coordsize="150,281" path="m0,189l0,280l20,263l115,168l133,147l143,128l148,109l149,91l145,75l138,58l117,31l89,10l73,4l56,0l39,0l20,5l1,15l0,16l0,108l40,67l49,61l58,61l70,63l79,69l86,78l88,89l87,99l81,107l0,189e" fillcolor="#1c77ff" stroked="f" o:allowincell="f" style="position:absolute;left:-270;top:4774;width:91;height:162;mso-wrap-style:none;v-text-anchor:middle">
                    <v:fill o:detectmouseclick="t" type="solid" color2="#e38800"/>
                    <v:stroke color="#3465a4" joinstyle="round" endcap="flat"/>
                    <w10:wrap type="none"/>
                  </v:shape>
                  <v:shape id="shape_0" coordsize="149,282" path="m148,92l148,0l128,17l32,113l16,132l6,152l0,170l0,189l3,206l10,222l31,249l58,271l74,277l91,281l109,280l128,275l148,264l148,173l108,213l99,218l89,220l78,218l69,211l62,202l60,191l62,181l68,173l148,92e" fillcolor="#1c77ff" stroked="f" o:allowincell="f" style="position:absolute;left:-361;top:4783;width:90;height:163;mso-wrap-style:none;v-text-anchor:middle">
                    <v:fill o:detectmouseclick="t" type="solid" color2="#e38800"/>
                    <v:stroke color="#3465a4" joinstyle="round" endcap="flat"/>
                    <w10:wrap type="none"/>
                  </v:shape>
                  <v:shape id="shape_0" coordsize="699,884" path="m698,230l471,0l7,463l54,510l471,94l606,230l0,836l47,883l698,230e" fillcolor="#1c77ff" stroked="f" o:allowincell="f" style="position:absolute;left:-69;top:4433;width:429;height:513;mso-wrap-style:none;v-text-anchor:middle">
                    <v:fill o:detectmouseclick="t" type="solid" color2="#e38800"/>
                    <v:stroke color="#3465a4" joinstyle="round" endcap="flat"/>
                    <w10:wrap type="none"/>
                  </v:shape>
                </v:group>
                <v:shape id="shape_0" coordsize="884,883" path="m561,835l419,694l883,230l653,0l0,654l47,701l653,95l788,230l325,694l514,882l561,835e" fillcolor="#ff0017" stroked="f" o:allowincell="f" style="position:absolute;left:-580;top:4056;width:542;height:513;mso-wrap-style:none;v-text-anchor:middle">
                  <v:fill o:detectmouseclick="t" type="solid" color2="#00ffe8"/>
                  <v:stroke color="#3465a4" joinstyle="round" endcap="flat"/>
                  <w10:wrap type="none"/>
                </v:shape>
                <v:shape id="shape_0" coordsize="695,884" path="m371,835l230,694l694,231l463,0l0,464l47,511l463,95l599,231l136,694l324,883l371,835e" fillcolor="#33cc33" stroked="f" o:allowincell="f" style="position:absolute;left:-264;top:4244;width:426;height:513;mso-wrap-style:none;v-text-anchor:middle">
                  <v:fill o:detectmouseclick="t" type="solid" color2="#cc33cc"/>
                  <v:stroke color="#3465a4" joinstyle="round" endcap="flat"/>
                  <w10:wrap type="none"/>
                </v:shape>
              </v:group>
            </w:pict>
          </mc:Fallback>
        </mc:AlternateContent>
      </w:r>
    </w:p>
    <w:p>
      <w:pPr>
        <w:pStyle w:val="Header"/>
        <w:tabs>
          <w:tab w:val="clear" w:pos="4320"/>
          <w:tab w:val="clear" w:pos="8640"/>
        </w:tabs>
        <w:rPr/>
      </w:pPr>
      <w:r>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sz w:val="24"/>
        </w:rPr>
      </w:pPr>
      <w:r>
        <w:rPr>
          <w:b/>
          <w:bCs/>
          <w:sz w:val="24"/>
        </w:rPr>
      </w:r>
    </w:p>
    <w:p>
      <w:pPr>
        <w:pStyle w:val="Normal"/>
        <w:ind w:start="-360" w:end="-360"/>
        <w:jc w:val="center"/>
        <w:rPr>
          <w:b/>
          <w:bCs/>
          <w:emboss/>
          <w:color w:val="333333"/>
          <w:sz w:val="24"/>
        </w:rPr>
      </w:pPr>
      <w:r>
        <w:rPr>
          <w:b/>
          <w:bCs/>
          <w:emboss/>
          <w:color w:val="333333"/>
          <w:sz w:val="24"/>
        </w:rPr>
      </w:r>
    </w:p>
    <w:p>
      <w:pPr>
        <w:pStyle w:val="Normal"/>
        <w:pBdr>
          <w:top w:val="single" w:sz="8" w:space="1" w:color="000080"/>
          <w:left w:val="single" w:sz="8" w:space="4" w:color="000080"/>
          <w:bottom w:val="single" w:sz="8" w:space="1" w:color="000080"/>
          <w:right w:val="single" w:sz="8" w:space="4" w:color="000080"/>
        </w:pBdr>
        <w:shd w:fill="0000FF" w:val="clear"/>
        <w:ind w:start="-360" w:end="-360"/>
        <w:jc w:val="center"/>
        <w:rPr>
          <w:b/>
          <w:bCs/>
          <w:emboss/>
          <w:color w:val="FFFFFF"/>
          <w:sz w:val="24"/>
        </w:rPr>
      </w:pPr>
      <w:r>
        <w:rPr>
          <w:b/>
          <w:bCs/>
          <w:emboss/>
          <w:color w:val="FFFFFF"/>
          <w:sz w:val="24"/>
        </w:rPr>
        <w:t xml:space="preserve">Enron </w:t>
      </w:r>
    </w:p>
    <w:p>
      <w:pPr>
        <w:pStyle w:val="Normal"/>
        <w:pBdr>
          <w:top w:val="single" w:sz="8" w:space="1" w:color="000080"/>
          <w:left w:val="single" w:sz="8" w:space="4" w:color="000080"/>
          <w:bottom w:val="single" w:sz="8" w:space="1" w:color="000080"/>
          <w:right w:val="single" w:sz="8" w:space="4" w:color="000080"/>
        </w:pBdr>
        <w:shd w:fill="0000FF" w:val="clear"/>
        <w:ind w:start="-360" w:end="-360"/>
        <w:jc w:val="center"/>
        <w:rPr>
          <w:b/>
          <w:bCs/>
          <w:emboss/>
          <w:color w:val="FFFFFF"/>
          <w:sz w:val="24"/>
        </w:rPr>
      </w:pPr>
      <w:r>
        <w:rPr>
          <w:b/>
          <w:bCs/>
          <w:emboss/>
          <w:color w:val="FFFFFF"/>
          <w:sz w:val="24"/>
        </w:rPr>
        <w:t>At-A-Glance</w:t>
      </w:r>
    </w:p>
    <w:p>
      <w:pPr>
        <w:pStyle w:val="Normal"/>
        <w:ind w:start="-360" w:end="-360"/>
        <w:jc w:val="center"/>
        <w:rPr>
          <w:b/>
          <w:bCs/>
          <w:emboss/>
          <w:color w:val="FFFFFF"/>
          <w:sz w:val="24"/>
          <w:u w:val="single"/>
        </w:rPr>
      </w:pPr>
      <w:r>
        <w:rPr>
          <w:b/>
          <w:bCs/>
          <w:emboss/>
          <w:color w:val="FFFFFF"/>
          <w:sz w:val="24"/>
          <w:u w:val="single"/>
        </w:rPr>
      </w:r>
    </w:p>
    <w:p>
      <w:pPr>
        <w:pStyle w:val="Normal"/>
        <w:ind w:start="-360" w:end="-360"/>
        <w:jc w:val="both"/>
        <w:rPr>
          <w:b/>
          <w:bCs/>
          <w:color w:val="000080"/>
        </w:rPr>
      </w:pPr>
      <w:r>
        <w:rPr>
          <w:b/>
          <w:bCs/>
          <w:color w:val="000080"/>
        </w:rPr>
        <w:t>Headcount</w:t>
      </w:r>
    </w:p>
    <w:p>
      <w:pPr>
        <w:pStyle w:val="Normal"/>
        <w:ind w:start="-360" w:end="-360"/>
        <w:jc w:val="both"/>
        <w:rPr>
          <w:b/>
          <w:bCs/>
          <w:color w:val="000080"/>
          <w:sz w:val="14"/>
          <w:lang w:val="en-CA" w:eastAsia="en-CA"/>
        </w:rPr>
      </w:pPr>
      <w:r>
        <w:rPr>
          <w:b/>
          <w:bCs/>
          <w:color w:val="000080"/>
          <w:sz w:val="14"/>
          <w:lang w:val="en-CA" w:eastAsia="en-CA"/>
        </w:rPr>
        <w:object w:dxaOrig="11256" w:dyaOrig="1815">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18.75pt;margin-top:8.65pt;width:487.75pt;height:78.1pt;mso-wrap-distance-left:9.05pt;mso-wrap-distance-right:9.05pt;mso-position-horizontal-relative:text;mso-position-vertical-relative:text" stroked="t" strokecolor="#000000" strokeweight="0pt" filled="t" fillcolor="#FFFFFF" o:ole="">
            <v:stroke linestyle="Single" dashstyle="Solid"/>
            <v:imagedata r:id="rId7" o:title=""/>
            <w10:wrap type="topAndBottom"/>
          </v:shape>
          <o:OLEObject Type="Embed" ProgID="Excel.Sheet.12" ShapeID="ole_rId6" DrawAspect="Content" ObjectID="_1832572646" r:id="rId6"/>
        </w:object>
      </w:r>
    </w:p>
    <w:p>
      <w:pPr>
        <w:pStyle w:val="Normal"/>
        <w:ind w:start="-360" w:end="-360"/>
        <w:jc w:val="both"/>
        <w:rPr>
          <w:b/>
          <w:bCs/>
          <w:sz w:val="14"/>
        </w:rPr>
      </w:pPr>
      <w:r>
        <w:rPr>
          <w:b/>
          <w:bCs/>
          <w:sz w:val="14"/>
        </w:rPr>
      </w:r>
    </w:p>
    <w:p>
      <w:pPr>
        <w:pStyle w:val="Normal"/>
        <w:ind w:start="-360" w:end="-360"/>
        <w:jc w:val="both"/>
        <w:rPr>
          <w:b/>
          <w:bCs/>
          <w:color w:val="000080"/>
        </w:rPr>
      </w:pPr>
      <w:r>
        <w:object w:dxaOrig="10463" w:dyaOrig="138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18.75pt;margin-top:15.95pt;width:487.3pt;height:62.25pt;mso-wrap-distance-left:9.05pt;mso-wrap-distance-right:9.05pt;mso-position-horizontal-relative:text;mso-position-vertical-relative:text" stroked="t" strokecolor="#000000" strokeweight="0pt" filled="t" fillcolor="#FFFFFF" o:ole="">
            <v:stroke linestyle="Single" dashstyle="Solid"/>
            <v:imagedata r:id="rId9" o:title=""/>
            <w10:wrap type="topAndBottom"/>
          </v:shape>
          <o:OLEObject Type="Embed" ProgID="Excel.Sheet.12" ShapeID="ole_rId8" DrawAspect="Content" ObjectID="_105564539" r:id="rId8"/>
        </w:object>
      </w:r>
      <w:r>
        <w:rPr>
          <w:b/>
          <w:bCs/>
          <w:color w:val="000080"/>
        </w:rPr>
        <w:t>Job Growth</w:t>
      </w:r>
    </w:p>
    <w:p>
      <w:pPr>
        <w:pStyle w:val="Normal"/>
        <w:ind w:end="-360"/>
        <w:jc w:val="both"/>
        <w:rPr>
          <w:b/>
          <w:bCs/>
          <w:color w:val="000080"/>
          <w:sz w:val="14"/>
        </w:rPr>
      </w:pPr>
      <w:r>
        <w:rPr>
          <w:b/>
          <w:bCs/>
          <w:color w:val="000080"/>
          <w:sz w:val="14"/>
        </w:rPr>
      </w:r>
    </w:p>
    <w:p>
      <w:pPr>
        <w:pStyle w:val="Normal"/>
        <w:ind w:start="-360" w:end="-360"/>
        <w:jc w:val="both"/>
        <w:rPr>
          <w:b/>
          <w:bCs/>
          <w:color w:val="000080"/>
        </w:rPr>
      </w:pPr>
      <w:r>
        <w:rPr>
          <w:b/>
          <w:bCs/>
          <w:color w:val="000080"/>
        </w:rPr>
        <w:t>Direct Costs Due to Hiring and Separations</w:t>
      </w:r>
    </w:p>
    <w:p>
      <w:pPr>
        <w:pStyle w:val="Normal"/>
        <w:ind w:end="-360"/>
        <w:jc w:val="both"/>
        <w:rPr>
          <w:b/>
          <w:bCs/>
          <w:color w:val="000080"/>
          <w:sz w:val="16"/>
          <w:lang w:val="en-CA" w:eastAsia="en-CA"/>
        </w:rPr>
      </w:pPr>
      <w:r>
        <w:rPr>
          <w:b/>
          <w:bCs/>
          <w:color w:val="000080"/>
          <w:sz w:val="16"/>
          <w:lang w:val="en-CA" w:eastAsia="en-CA"/>
        </w:rPr>
        <w:object w:dxaOrig="10146" w:dyaOrig="1501">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position:absolute;margin-left:-18.75pt;margin-top:5.5pt;width:487.65pt;height:67.95pt;mso-wrap-distance-left:9.05pt;mso-wrap-distance-right:9.05pt;mso-position-horizontal-relative:text;mso-position-vertical-relative:text" stroked="t" strokecolor="#000000" strokeweight="0pt" filled="t" fillcolor="#FFFFFF" o:ole="">
            <v:stroke linestyle="Single" dashstyle="Solid"/>
            <v:imagedata r:id="rId11" o:title=""/>
            <w10:wrap type="topAndBottom"/>
          </v:shape>
          <o:OLEObject Type="Embed" ProgID="Excel.Sheet.12" ShapeID="ole_rId10" DrawAspect="Content" ObjectID="_1857088106" r:id="rId10"/>
        </w:object>
      </w:r>
    </w:p>
    <w:p>
      <w:pPr>
        <w:pStyle w:val="Normal"/>
        <w:ind w:start="-360" w:end="-360"/>
        <w:jc w:val="both"/>
        <w:rPr>
          <w:b/>
          <w:bCs/>
          <w:color w:val="000080"/>
        </w:rPr>
      </w:pPr>
      <w:r>
        <w:object w:dxaOrig="10858" w:dyaOrig="2295">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position:absolute;margin-left:-18.75pt;margin-top:17.3pt;width:487.5pt;height:100.5pt;mso-wrap-distance-left:9.05pt;mso-wrap-distance-right:9.05pt;mso-position-horizontal-relative:text;mso-position-vertical-relative:text" stroked="t" strokecolor="#000000" strokeweight="0pt" filled="t" fillcolor="#FFFFFF" o:ole="">
            <v:stroke linestyle="Single" dashstyle="Solid"/>
            <v:imagedata r:id="rId13" o:title=""/>
            <w10:wrap type="topAndBottom"/>
          </v:shape>
          <o:OLEObject Type="Embed" ProgID="Excel.Sheet.12" ShapeID="ole_rId12" DrawAspect="Content" ObjectID="_72718069" r:id="rId12"/>
        </w:object>
      </w:r>
      <w:r>
        <w:rPr>
          <w:b/>
          <w:bCs/>
          <w:color w:val="000080"/>
        </w:rPr>
        <w:t>Starters and Leavers</w:t>
      </w:r>
    </w:p>
    <w:p>
      <w:pPr>
        <w:pStyle w:val="Normal"/>
        <w:ind w:end="-360"/>
        <w:jc w:val="both"/>
        <w:rPr>
          <w:b/>
          <w:bCs/>
          <w:color w:val="000080"/>
          <w:sz w:val="14"/>
        </w:rPr>
      </w:pPr>
      <w:r>
        <w:rPr>
          <w:b/>
          <w:bCs/>
          <w:color w:val="000080"/>
          <w:sz w:val="14"/>
        </w:rPr>
      </w:r>
    </w:p>
    <w:p>
      <w:pPr>
        <w:pStyle w:val="Normal"/>
        <w:tabs>
          <w:tab w:val="left" w:pos="720" w:leader="none"/>
          <w:tab w:val="left" w:pos="900" w:leader="none"/>
        </w:tabs>
        <w:ind w:start="-360" w:end="-360"/>
        <w:jc w:val="both"/>
        <w:rPr>
          <w:b/>
          <w:bCs/>
          <w:color w:val="000080"/>
        </w:rPr>
      </w:pPr>
      <w:r>
        <w:object w:dxaOrig="10496" w:dyaOrig="1261">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position:absolute;margin-left:-18.75pt;margin-top:15.9pt;width:487.45pt;height:52.6pt;mso-wrap-distance-left:9.05pt;mso-wrap-distance-right:9.05pt;mso-position-horizontal-relative:text;mso-position-vertical-relative:text" stroked="t" strokecolor="#000000" strokeweight="0pt" filled="t" fillcolor="#FFFFFF" o:ole="">
            <v:stroke linestyle="Single" dashstyle="Solid"/>
            <v:imagedata r:id="rId15" o:title=""/>
            <w10:wrap type="topAndBottom"/>
          </v:shape>
          <o:OLEObject Type="Embed" ProgID="Excel.Sheet.12" ShapeID="ole_rId14" DrawAspect="Content" ObjectID="_1530197705" r:id="rId14"/>
        </w:object>
      </w:r>
      <w:r>
        <w:rPr>
          <w:b/>
          <w:bCs/>
          <w:color w:val="000080"/>
        </w:rPr>
        <w:t>Bench Strength</w:t>
      </w:r>
    </w:p>
    <w:p>
      <w:pPr>
        <w:pStyle w:val="Normal"/>
        <w:ind w:start="540" w:end="-360"/>
        <w:jc w:val="center"/>
        <w:rPr>
          <w:b/>
          <w:bCs/>
          <w:color w:val="000080"/>
          <w:sz w:val="16"/>
          <w:lang w:val="en-CA" w:eastAsia="en-CA"/>
        </w:rPr>
      </w:pPr>
      <w:r>
        <w:rPr>
          <w:b/>
          <w:bCs/>
          <w:color w:val="000080"/>
          <w:sz w:val="16"/>
          <w:lang w:val="en-CA" w:eastAsia="en-CA"/>
        </w:rPr>
        <w:object w:dxaOrig="10180" w:dyaOrig="31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position:absolute;margin-left:-18.75pt;margin-top:64.35pt;width:487.35pt;height:137.25pt;mso-wrap-distance-left:9.05pt;mso-wrap-distance-right:9.05pt;mso-position-horizontal-relative:text;mso-position-vertical-relative:text" stroked="t" strokecolor="#000000" strokeweight="0pt" filled="t" fillcolor="#FFFFFF" o:ole="">
            <v:stroke linestyle="Single" dashstyle="Solid"/>
            <v:imagedata r:id="rId17" o:title=""/>
            <w10:wrap type="topAndBottom"/>
          </v:shape>
          <o:OLEObject Type="Embed" ProgID="Excel.Sheet.12" ShapeID="ole_rId16" DrawAspect="Content" ObjectID="_709170187" r:id="rId16"/>
        </w:object>
      </w:r>
    </w:p>
    <w:p>
      <w:pPr>
        <w:pStyle w:val="Normal"/>
        <w:ind w:end="-360"/>
        <w:rPr>
          <w:b/>
          <w:bCs/>
          <w:sz w:val="16"/>
        </w:rPr>
      </w:pPr>
      <w:r>
        <w:rPr>
          <w:b/>
          <w:bCs/>
          <w:sz w:val="16"/>
        </w:rPr>
      </w:r>
    </w:p>
    <w:p>
      <w:pPr>
        <w:pStyle w:val="Normal"/>
        <w:numPr>
          <w:ilvl w:val="0"/>
          <w:numId w:val="4"/>
        </w:numPr>
        <w:tabs>
          <w:tab w:val="clear" w:pos="720"/>
          <w:tab w:val="left" w:pos="0" w:leader="none"/>
        </w:tabs>
        <w:ind w:hanging="432" w:start="72" w:end="-360"/>
        <w:jc w:val="both"/>
        <w:rPr>
          <w:b/>
          <w:bCs/>
          <w:shadow/>
          <w:sz w:val="22"/>
        </w:rPr>
      </w:pPr>
      <w:r>
        <w:object w:dxaOrig="11256" w:dyaOrig="5956">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position:absolute;margin-left:-18.75pt;margin-top:22.5pt;width:469.5pt;height:256.6pt;mso-wrap-distance-left:9.05pt;mso-wrap-distance-right:9.05pt;mso-position-horizontal-relative:text;mso-position-vertical-relative:text" stroked="t" strokecolor="#000000" strokeweight="0pt" filled="t" fillcolor="#FFFFFF" o:ole="">
            <v:stroke linestyle="Single" dashstyle="Solid"/>
            <v:imagedata r:id="rId19" o:title=""/>
            <w10:wrap type="topAndBottom"/>
          </v:shape>
          <o:OLEObject Type="Embed" ProgID="Excel.Sheet.12" ShapeID="ole_rId18" DrawAspect="Content" ObjectID="_2041383258" r:id="rId18"/>
        </w:object>
      </w:r>
      <w:r>
        <w:rPr>
          <w:b/>
          <w:bCs/>
          <w:shadow/>
          <w:sz w:val="22"/>
        </w:rPr>
        <w:t>Headcount</w:t>
      </w:r>
    </w:p>
    <w:p>
      <w:pPr>
        <w:pStyle w:val="Normal"/>
        <w:ind w:end="-360"/>
        <w:jc w:val="both"/>
        <w:rPr>
          <w:b/>
          <w:bCs/>
          <w:shadow/>
          <w:sz w:val="22"/>
        </w:rPr>
      </w:pPr>
      <w:r>
        <w:rPr>
          <w:b/>
          <w:bCs/>
          <w:shadow/>
          <w:sz w:val="22"/>
        </w:rPr>
      </w:r>
    </w:p>
    <w:p>
      <w:pPr>
        <w:pStyle w:val="Normal"/>
        <w:ind w:end="-360"/>
        <w:jc w:val="both"/>
        <w:rPr>
          <w:sz w:val="10"/>
        </w:rPr>
      </w:pPr>
      <w:r>
        <w:rPr>
          <w:sz w:val="10"/>
        </w:rPr>
      </w:r>
    </w:p>
    <w:p>
      <w:pPr>
        <w:pStyle w:val="Normal"/>
        <w:numPr>
          <w:ilvl w:val="0"/>
          <w:numId w:val="4"/>
        </w:numPr>
        <w:tabs>
          <w:tab w:val="clear" w:pos="720"/>
          <w:tab w:val="left" w:pos="0" w:leader="none"/>
        </w:tabs>
        <w:ind w:hanging="432" w:start="72" w:end="-360"/>
        <w:jc w:val="both"/>
        <w:rPr>
          <w:b/>
          <w:bCs/>
          <w:shadow/>
          <w:sz w:val="22"/>
        </w:rPr>
      </w:pPr>
      <w:r>
        <w:rPr>
          <w:rFonts w:eastAsia="Tahoma"/>
          <w:b/>
          <w:bCs/>
          <w:shadow/>
          <w:sz w:val="22"/>
        </w:rPr>
        <w:t xml:space="preserve"> </w:t>
      </w:r>
      <w:r>
        <w:rPr>
          <w:b/>
          <w:bCs/>
          <w:shadow/>
          <w:sz w:val="22"/>
        </w:rPr>
        <w:t>Job Growth</w:t>
      </w:r>
    </w:p>
    <w:p>
      <w:pPr>
        <w:pStyle w:val="Normal"/>
        <w:ind w:end="-360"/>
        <w:jc w:val="both"/>
        <w:rPr>
          <w:b/>
          <w:bCs/>
          <w:shadow/>
          <w:sz w:val="14"/>
          <w:lang w:val="en-CA" w:eastAsia="en-CA"/>
        </w:rPr>
      </w:pPr>
      <w:r>
        <w:rPr>
          <w:b/>
          <w:bCs/>
          <w:shadow/>
          <w:sz w:val="14"/>
          <w:lang w:val="en-CA" w:eastAsia="en-CA"/>
        </w:rPr>
        <w:object w:dxaOrig="10463" w:dyaOrig="1545">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18.75pt;margin-top:8pt;width:469.5pt;height:66.95pt;mso-wrap-distance-left:9.05pt;mso-wrap-distance-right:9.05pt;mso-position-horizontal-relative:text;mso-position-vertical-relative:text" stroked="t" strokecolor="#000000" strokeweight="0pt" filled="t" fillcolor="#FFFFFF" o:ole="">
            <v:stroke linestyle="Single" dashstyle="Solid"/>
            <v:imagedata r:id="rId21" o:title=""/>
            <w10:wrap type="topAndBottom"/>
          </v:shape>
          <o:OLEObject Type="Embed" ProgID="Excel.Sheet.12" ShapeID="ole_rId20" DrawAspect="Content" ObjectID="_1746923224" r:id="rId20"/>
        </w:object>
      </w:r>
    </w:p>
    <w:p>
      <w:pPr>
        <w:pStyle w:val="Normal"/>
        <w:ind w:start="-360" w:end="-360"/>
        <w:jc w:val="both"/>
        <w:rPr>
          <w:b/>
          <w:bCs/>
          <w:sz w:val="14"/>
        </w:rPr>
      </w:pPr>
      <w:r>
        <w:rPr>
          <w:b/>
          <w:bCs/>
          <w:sz w:val="14"/>
        </w:rPr>
      </w:r>
    </w:p>
    <w:p>
      <w:pPr>
        <w:pStyle w:val="Normal"/>
        <w:ind w:start="-360" w:end="-360"/>
        <w:jc w:val="both"/>
        <w:rPr>
          <w:sz w:val="4"/>
        </w:rPr>
      </w:pPr>
      <w:r>
        <w:rPr>
          <w:sz w:val="4"/>
        </w:rPr>
      </w:r>
    </w:p>
    <w:p>
      <w:pPr>
        <w:pStyle w:val="Normal"/>
        <w:ind w:start="-360" w:end="-360"/>
        <w:jc w:val="both"/>
        <w:rPr/>
      </w:pPr>
      <w:r>
        <w:rPr/>
        <w:t xml:space="preserve">Although Enron has lost almost 2,000 employees YTD, with about 50% due to discontinued operations or business reorganizations, the company is still growing on a net basis for talent with about 2,500 (inclusive of the NBP acquisition) new hires this year.  This net growth of 502 employees equates to an annual growth rate of 4.6%. </w:t>
      </w:r>
    </w:p>
    <w:p>
      <w:pPr>
        <w:pStyle w:val="Normal"/>
        <w:ind w:start="-360" w:end="-360"/>
        <w:jc w:val="both"/>
        <w:rPr>
          <w:sz w:val="8"/>
        </w:rPr>
      </w:pPr>
      <w:r>
        <w:rPr>
          <w:sz w:val="8"/>
        </w:rPr>
      </w:r>
    </w:p>
    <w:p>
      <w:pPr>
        <w:pStyle w:val="Normal"/>
        <w:numPr>
          <w:ilvl w:val="0"/>
          <w:numId w:val="5"/>
        </w:numPr>
        <w:tabs>
          <w:tab w:val="clear" w:pos="720"/>
          <w:tab w:val="left" w:pos="540" w:leader="none"/>
        </w:tabs>
        <w:ind w:hanging="540" w:start="540" w:end="533"/>
        <w:jc w:val="both"/>
        <w:rPr/>
      </w:pPr>
      <w:r>
        <w:rPr/>
        <w:t xml:space="preserve">About 1,000 jobs have been eliminated and severance or separation payments made due to business reorganizations (including EBS, EECC, HPL and some international regions like South America and India) and poor performance.  </w:t>
      </w:r>
    </w:p>
    <w:p>
      <w:pPr>
        <w:pStyle w:val="Normal"/>
        <w:tabs>
          <w:tab w:val="clear" w:pos="720"/>
          <w:tab w:val="left" w:pos="540" w:leader="none"/>
        </w:tabs>
        <w:ind w:hanging="540" w:start="540" w:end="533"/>
        <w:jc w:val="both"/>
        <w:rPr>
          <w:sz w:val="6"/>
        </w:rPr>
      </w:pPr>
      <w:r>
        <w:rPr>
          <w:sz w:val="6"/>
        </w:rPr>
      </w:r>
    </w:p>
    <w:p>
      <w:pPr>
        <w:pStyle w:val="Normal"/>
        <w:numPr>
          <w:ilvl w:val="0"/>
          <w:numId w:val="5"/>
        </w:numPr>
        <w:tabs>
          <w:tab w:val="clear" w:pos="720"/>
          <w:tab w:val="left" w:pos="540" w:leader="none"/>
        </w:tabs>
        <w:ind w:hanging="540" w:start="540" w:end="533"/>
        <w:jc w:val="both"/>
        <w:rPr/>
      </w:pPr>
      <w:r>
        <w:rPr/>
        <w:t xml:space="preserve">The business unit with the highest net growth is EWS, primarily in Houston (15.3%) and London (22.2%).  </w:t>
      </w:r>
    </w:p>
    <w:p>
      <w:pPr>
        <w:pStyle w:val="Normal"/>
        <w:tabs>
          <w:tab w:val="clear" w:pos="720"/>
          <w:tab w:val="left" w:pos="540" w:leader="none"/>
        </w:tabs>
        <w:ind w:hanging="540" w:start="540" w:end="533"/>
        <w:jc w:val="both"/>
        <w:rPr>
          <w:sz w:val="6"/>
        </w:rPr>
      </w:pPr>
      <w:r>
        <w:rPr>
          <w:sz w:val="6"/>
        </w:rPr>
      </w:r>
    </w:p>
    <w:p>
      <w:pPr>
        <w:pStyle w:val="Normal"/>
        <w:numPr>
          <w:ilvl w:val="0"/>
          <w:numId w:val="5"/>
        </w:numPr>
        <w:tabs>
          <w:tab w:val="clear" w:pos="720"/>
          <w:tab w:val="left" w:pos="540" w:leader="none"/>
        </w:tabs>
        <w:ind w:hanging="540" w:start="540" w:end="533"/>
        <w:jc w:val="both"/>
        <w:rPr/>
      </w:pPr>
      <w:r>
        <w:rPr/>
        <w:t>Both the commercial support and specialized technical peer groups show the largest YTD increase at 16% each; commercial grew 13%.</w:t>
      </w:r>
    </w:p>
    <w:p>
      <w:pPr>
        <w:pStyle w:val="Normal"/>
        <w:ind w:end="360"/>
        <w:jc w:val="both"/>
        <w:rPr>
          <w:sz w:val="16"/>
        </w:rPr>
      </w:pPr>
      <w:r>
        <w:rPr>
          <w:sz w:val="16"/>
        </w:rPr>
      </w:r>
    </w:p>
    <w:p>
      <w:pPr>
        <w:pStyle w:val="Normal"/>
        <w:ind w:start="-360" w:end="360"/>
        <w:jc w:val="both"/>
        <w:rPr>
          <w:b/>
          <w:bCs/>
          <w:shadow/>
        </w:rPr>
      </w:pPr>
      <w:r>
        <w:rPr>
          <w:b/>
          <w:bCs/>
          <w:shadow/>
        </w:rPr>
        <w:t>Job Growth by Job Function:</w:t>
      </w:r>
    </w:p>
    <w:p>
      <w:pPr>
        <w:pStyle w:val="Normal"/>
        <w:ind w:start="-360" w:end="360"/>
        <w:jc w:val="both"/>
        <w:rPr>
          <w:b/>
          <w:bCs/>
          <w:shadow/>
          <w:sz w:val="6"/>
        </w:rPr>
      </w:pPr>
      <w:r>
        <w:rPr>
          <w:b/>
          <w:bCs/>
          <w:shadow/>
          <w:sz w:val="6"/>
        </w:rPr>
      </w:r>
    </w:p>
    <w:p>
      <w:pPr>
        <w:pStyle w:val="Normal"/>
        <w:ind w:start="-360" w:end="360"/>
        <w:jc w:val="both"/>
        <w:rPr/>
      </w:pPr>
      <w:r>
        <w:rPr/>
        <w:t>The job functions exhibiting the highest YTD growth are:</w:t>
      </w:r>
    </w:p>
    <w:p>
      <w:pPr>
        <w:pStyle w:val="Normal"/>
        <w:ind w:start="-360" w:end="360"/>
        <w:jc w:val="both"/>
        <w:rPr>
          <w:sz w:val="6"/>
        </w:rPr>
      </w:pPr>
      <w:r>
        <w:rPr>
          <w:sz w:val="6"/>
        </w:rPr>
      </w:r>
    </w:p>
    <w:p>
      <w:pPr>
        <w:pStyle w:val="Normal"/>
        <w:numPr>
          <w:ilvl w:val="0"/>
          <w:numId w:val="7"/>
        </w:numPr>
        <w:tabs>
          <w:tab w:val="clear" w:pos="720"/>
          <w:tab w:val="left" w:pos="540" w:leader="none"/>
        </w:tabs>
        <w:ind w:hanging="360" w:start="360" w:end="360"/>
        <w:jc w:val="both"/>
        <w:rPr/>
      </w:pPr>
      <w:r>
        <w:rPr/>
        <w:t>IT  (12%)</w:t>
      </w:r>
    </w:p>
    <w:p>
      <w:pPr>
        <w:pStyle w:val="Normal"/>
        <w:numPr>
          <w:ilvl w:val="0"/>
          <w:numId w:val="7"/>
        </w:numPr>
        <w:tabs>
          <w:tab w:val="clear" w:pos="720"/>
          <w:tab w:val="left" w:pos="540" w:leader="none"/>
        </w:tabs>
        <w:ind w:hanging="360" w:start="360" w:end="360"/>
        <w:jc w:val="both"/>
        <w:rPr/>
      </w:pPr>
      <w:r>
        <w:rPr/>
        <w:t xml:space="preserve">Analyst/Associate  (9%) </w:t>
      </w:r>
    </w:p>
    <w:p>
      <w:pPr>
        <w:pStyle w:val="Normal"/>
        <w:numPr>
          <w:ilvl w:val="0"/>
          <w:numId w:val="7"/>
        </w:numPr>
        <w:tabs>
          <w:tab w:val="clear" w:pos="720"/>
          <w:tab w:val="left" w:pos="540" w:leader="none"/>
        </w:tabs>
        <w:ind w:hanging="360" w:start="360" w:end="360"/>
        <w:jc w:val="both"/>
        <w:rPr/>
      </w:pPr>
      <w:r>
        <w:rPr/>
        <w:t xml:space="preserve">Trading  (6%) </w:t>
      </w:r>
    </w:p>
    <w:p>
      <w:pPr>
        <w:pStyle w:val="Normal"/>
        <w:ind w:start="360" w:end="360"/>
        <w:jc w:val="both"/>
        <w:rPr>
          <w:sz w:val="8"/>
        </w:rPr>
      </w:pPr>
      <w:r>
        <w:rPr>
          <w:sz w:val="8"/>
        </w:rPr>
      </w:r>
    </w:p>
    <w:p>
      <w:pPr>
        <w:pStyle w:val="Normal"/>
        <w:tabs>
          <w:tab w:val="clear" w:pos="720"/>
          <w:tab w:val="left" w:pos="360" w:leader="none"/>
        </w:tabs>
        <w:ind w:hanging="360" w:end="360"/>
        <w:jc w:val="both"/>
        <w:rPr/>
      </w:pPr>
      <w:r>
        <w:rPr/>
        <w:t>The job function experiencing the largest net reduction are</w:t>
      </w:r>
    </w:p>
    <w:p>
      <w:pPr>
        <w:pStyle w:val="Normal"/>
        <w:tabs>
          <w:tab w:val="clear" w:pos="720"/>
          <w:tab w:val="left" w:pos="360" w:leader="none"/>
        </w:tabs>
        <w:ind w:hanging="360" w:end="360"/>
        <w:jc w:val="both"/>
        <w:rPr>
          <w:sz w:val="6"/>
        </w:rPr>
      </w:pPr>
      <w:r>
        <w:rPr>
          <w:sz w:val="6"/>
        </w:rPr>
      </w:r>
    </w:p>
    <w:p>
      <w:pPr>
        <w:pStyle w:val="Normal"/>
        <w:numPr>
          <w:ilvl w:val="0"/>
          <w:numId w:val="6"/>
        </w:numPr>
        <w:tabs>
          <w:tab w:val="clear" w:pos="720"/>
        </w:tabs>
        <w:ind w:hanging="540" w:start="540" w:end="360"/>
        <w:jc w:val="both"/>
        <w:rPr/>
      </w:pPr>
      <w:r>
        <w:rPr/>
        <w:t>Corporate Services – Community Relations, Public Relations and Govt. Affairs (-7%)</w:t>
      </w:r>
    </w:p>
    <w:p>
      <w:pPr>
        <w:pStyle w:val="Normal"/>
        <w:numPr>
          <w:ilvl w:val="0"/>
          <w:numId w:val="6"/>
        </w:numPr>
        <w:tabs>
          <w:tab w:val="clear" w:pos="720"/>
        </w:tabs>
        <w:ind w:hanging="540" w:start="540" w:end="360"/>
        <w:jc w:val="both"/>
        <w:rPr/>
      </w:pPr>
      <w:r>
        <w:rPr/>
        <w:t xml:space="preserve">Origination  (-6%) </w:t>
      </w:r>
    </w:p>
    <w:p>
      <w:pPr>
        <w:pStyle w:val="Normal"/>
        <w:ind w:start="-360" w:end="360"/>
        <w:jc w:val="both"/>
        <w:rPr>
          <w:sz w:val="16"/>
        </w:rPr>
      </w:pPr>
      <w:r>
        <w:rPr>
          <w:sz w:val="16"/>
        </w:rPr>
      </w:r>
    </w:p>
    <w:p>
      <w:pPr>
        <w:pStyle w:val="Normal"/>
        <w:ind w:start="-360" w:end="360"/>
        <w:jc w:val="both"/>
        <w:rPr>
          <w:sz w:val="16"/>
        </w:rPr>
      </w:pPr>
      <w:r>
        <w:rPr>
          <w:sz w:val="16"/>
        </w:rPr>
      </w:r>
    </w:p>
    <w:p>
      <w:pPr>
        <w:pStyle w:val="Normal"/>
        <w:ind w:start="-360" w:end="360"/>
        <w:jc w:val="both"/>
        <w:rPr/>
      </w:pPr>
      <w:r>
        <w:object w:dxaOrig="10299" w:dyaOrig="5791">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position:absolute;margin-left:-18.75pt;margin-top:32.2pt;width:469.45pt;height:244.9pt;mso-wrap-distance-left:9.05pt;mso-wrap-distance-right:9.05pt;mso-position-horizontal-relative:text;mso-position-vertical-relative:text" stroked="t" strokecolor="#333333" strokeweight="0pt" filled="t" fillcolor="#FFFFFF" o:ole="">
            <v:stroke linestyle="Single" dashstyle="Solid"/>
            <v:imagedata r:id="rId23" o:title=""/>
            <w10:wrap type="topAndBottom"/>
          </v:shape>
          <o:OLEObject Type="Embed" ProgID="Excel.Sheet.12" ShapeID="ole_rId22" DrawAspect="Content" ObjectID="_2042349985" r:id="rId22"/>
        </w:object>
      </w:r>
      <w:r>
        <w:rPr/>
        <w:t>The following table summarizes Net Job Growth by Job Function for each of Enron’s major job functions:</w:t>
      </w:r>
    </w:p>
    <w:p>
      <w:pPr>
        <w:pStyle w:val="Normal"/>
        <w:ind w:end="360"/>
        <w:jc w:val="both"/>
        <w:rPr>
          <w:sz w:val="36"/>
        </w:rPr>
      </w:pPr>
      <w:r>
        <w:rPr>
          <w:sz w:val="36"/>
        </w:rPr>
      </w:r>
    </w:p>
    <w:p>
      <w:pPr>
        <w:pStyle w:val="Normal"/>
        <w:ind w:start="-360" w:end="-360"/>
        <w:jc w:val="both"/>
        <w:rPr>
          <w:b/>
          <w:bCs/>
          <w:sz w:val="2"/>
        </w:rPr>
      </w:pPr>
      <w:r>
        <w:rPr>
          <w:b/>
          <w:bCs/>
          <w:sz w:val="2"/>
        </w:rPr>
      </w:r>
    </w:p>
    <w:p>
      <w:pPr>
        <w:pStyle w:val="Normal"/>
        <w:numPr>
          <w:ilvl w:val="0"/>
          <w:numId w:val="4"/>
        </w:numPr>
        <w:tabs>
          <w:tab w:val="clear" w:pos="720"/>
          <w:tab w:val="left" w:pos="0" w:leader="none"/>
        </w:tabs>
        <w:ind w:hanging="432" w:start="72" w:end="-360"/>
        <w:jc w:val="both"/>
        <w:rPr>
          <w:b/>
          <w:bCs/>
          <w:shadow/>
          <w:sz w:val="22"/>
        </w:rPr>
      </w:pPr>
      <w:r>
        <w:rPr>
          <w:rFonts w:eastAsia="Tahoma"/>
          <w:b/>
          <w:bCs/>
          <w:shadow/>
          <w:sz w:val="22"/>
        </w:rPr>
        <w:t xml:space="preserve">  </w:t>
      </w:r>
      <w:r>
        <w:rPr>
          <w:b/>
          <w:bCs/>
          <w:shadow/>
          <w:sz w:val="22"/>
        </w:rPr>
        <w:t>Direct Costs Due to Hiring and Separations</w:t>
      </w:r>
    </w:p>
    <w:p>
      <w:pPr>
        <w:pStyle w:val="Normal"/>
        <w:ind w:start="-360" w:end="-360"/>
        <w:jc w:val="both"/>
        <w:rPr>
          <w:b/>
          <w:bCs/>
          <w:shadow/>
          <w:sz w:val="10"/>
        </w:rPr>
      </w:pPr>
      <w:r>
        <w:rPr>
          <w:b/>
          <w:bCs/>
          <w:shadow/>
          <w:sz w:val="10"/>
        </w:rPr>
      </w:r>
    </w:p>
    <w:p>
      <w:pPr>
        <w:pStyle w:val="Normal"/>
        <w:ind w:start="-360" w:end="-367"/>
        <w:jc w:val="both"/>
        <w:rPr/>
      </w:pPr>
      <w:r>
        <w:rPr/>
        <w:t>Enron's total cost of hiring and separating employees for 2001 YTD is approximately $61M.  At this rate, annualized costs in this category could be twice that of last year’s.  The $61M represents 2% of total compensation and benefits costs.  The largest cost component is severance and separation payments, which make up 46% of the total cost for 2001:</w:t>
      </w:r>
    </w:p>
    <w:p>
      <w:pPr>
        <w:pStyle w:val="Normal"/>
        <w:ind w:start="-360" w:end="-360"/>
        <w:jc w:val="both"/>
        <w:rPr>
          <w:sz w:val="6"/>
          <w:lang w:val="en-CA" w:eastAsia="en-CA"/>
        </w:rPr>
      </w:pPr>
      <w:r>
        <w:rPr>
          <w:sz w:val="6"/>
          <w:lang w:val="en-CA" w:eastAsia="en-CA"/>
        </w:rPr>
        <w:object w:dxaOrig="11645" w:dyaOrig="4246">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position:absolute;margin-left:-18.75pt;margin-top:7.65pt;width:469.55pt;height:181.45pt;mso-wrap-distance-left:9.05pt;mso-wrap-distance-right:9.05pt;mso-position-horizontal-relative:text;mso-position-vertical-relative:text" stroked="t" strokecolor="#000000" strokeweight="0pt" filled="t" fillcolor="#FFFFFF" o:ole="">
            <v:stroke linestyle="Single" dashstyle="Solid"/>
            <v:imagedata r:id="rId25" o:title=""/>
            <w10:wrap type="topAndBottom"/>
          </v:shape>
          <o:OLEObject Type="Embed" ProgID="Excel.Sheet.12" ShapeID="ole_rId24" DrawAspect="Content" ObjectID="_1229336554" r:id="rId24"/>
        </w:object>
      </w:r>
    </w:p>
    <w:p>
      <w:pPr>
        <w:pStyle w:val="Normal"/>
        <w:ind w:start="-360" w:end="-360"/>
        <w:jc w:val="both"/>
        <w:rPr>
          <w:b/>
          <w:bCs/>
          <w:shadow/>
          <w:sz w:val="32"/>
        </w:rPr>
      </w:pPr>
      <w:r>
        <w:rPr>
          <w:b/>
          <w:bCs/>
          <w:shadow/>
          <w:sz w:val="32"/>
        </w:rPr>
      </w:r>
    </w:p>
    <w:p>
      <w:pPr>
        <w:pStyle w:val="Normal"/>
        <w:ind w:start="-360" w:end="-360"/>
        <w:jc w:val="both"/>
        <w:rPr>
          <w:b/>
          <w:bCs/>
          <w:shadow/>
          <w:sz w:val="8"/>
        </w:rPr>
      </w:pPr>
      <w:r>
        <w:rPr>
          <w:b/>
          <w:bCs/>
          <w:shadow/>
          <w:sz w:val="8"/>
        </w:rPr>
      </w:r>
    </w:p>
    <w:p>
      <w:pPr>
        <w:pStyle w:val="Normal"/>
        <w:ind w:start="-360" w:end="-360"/>
        <w:jc w:val="both"/>
        <w:rPr>
          <w:b/>
          <w:bCs/>
          <w:shadow/>
          <w:sz w:val="22"/>
        </w:rPr>
      </w:pPr>
      <w:r>
        <w:rPr>
          <w:b/>
          <w:bCs/>
          <w:shadow/>
          <w:sz w:val="22"/>
        </w:rPr>
        <w:t>IV.  Starters and Leavers</w:t>
      </w:r>
    </w:p>
    <w:p>
      <w:pPr>
        <w:pStyle w:val="Normal"/>
        <w:ind w:start="-360" w:end="-360"/>
        <w:jc w:val="both"/>
        <w:rPr>
          <w:b/>
          <w:bCs/>
          <w:shadow/>
          <w:sz w:val="10"/>
        </w:rPr>
      </w:pPr>
      <w:r>
        <w:rPr>
          <w:b/>
          <w:bCs/>
          <w:shadow/>
          <w:sz w:val="10"/>
        </w:rPr>
      </w:r>
    </w:p>
    <w:p>
      <w:pPr>
        <w:pStyle w:val="Normal"/>
        <w:ind w:start="-360" w:end="-360"/>
        <w:jc w:val="both"/>
        <w:rPr/>
      </w:pPr>
      <w:r>
        <w:rPr/>
        <w:t xml:space="preserve">Despite a softening labor market, </w:t>
      </w:r>
      <w:r>
        <w:rPr>
          <w:u w:val="single"/>
        </w:rPr>
        <w:t>voluntary turnover</w:t>
      </w:r>
      <w:r>
        <w:rPr/>
        <w:t xml:space="preserve"> is increasing, especially in recent months.  More good performers than poor performers are leaving voluntarily in exempt and commercial positions.</w:t>
      </w:r>
    </w:p>
    <w:p>
      <w:pPr>
        <w:pStyle w:val="Normal"/>
        <w:ind w:start="-360" w:end="-360"/>
        <w:jc w:val="both"/>
        <w:rPr>
          <w:sz w:val="14"/>
        </w:rPr>
      </w:pPr>
      <w:r>
        <w:rPr>
          <w:sz w:val="14"/>
        </w:rPr>
      </w:r>
    </w:p>
    <w:p>
      <w:pPr>
        <w:pStyle w:val="Normal"/>
        <w:ind w:start="-360" w:end="-360"/>
        <w:jc w:val="both"/>
        <w:rPr/>
      </w:pPr>
      <w:r>
        <w:rPr/>
        <w:t xml:space="preserve">A significant factor impacting </w:t>
      </w:r>
      <w:r>
        <w:rPr>
          <w:u w:val="single"/>
        </w:rPr>
        <w:t>involuntary turnover</w:t>
      </w:r>
      <w:r>
        <w:rPr/>
        <w:t xml:space="preserve"> has been business changes and divestures related to EBS, EECC, HPL, and International regions.  Many good performers, particularly in EBS and HPL, have left due to business reorganization and divestiture.</w:t>
      </w:r>
    </w:p>
    <w:p>
      <w:pPr>
        <w:pStyle w:val="Normal"/>
        <w:ind w:start="-360" w:end="-360"/>
        <w:jc w:val="both"/>
        <w:rPr/>
      </w:pPr>
      <w:r>
        <w:rPr/>
      </w:r>
    </w:p>
    <w:p>
      <w:pPr>
        <w:pStyle w:val="Normal"/>
        <w:ind w:start="-360" w:end="-360"/>
        <w:jc w:val="both"/>
        <w:rPr>
          <w:b/>
          <w:bCs/>
          <w:shadow/>
        </w:rPr>
      </w:pPr>
      <w:r>
        <w:rPr>
          <w:b/>
          <w:bCs/>
          <w:shadow/>
        </w:rPr>
      </w:r>
    </w:p>
    <w:p>
      <w:pPr>
        <w:pStyle w:val="Normal"/>
        <w:ind w:start="-360" w:end="-360"/>
        <w:jc w:val="both"/>
        <w:rPr>
          <w:b/>
          <w:bCs/>
          <w:shadow/>
        </w:rPr>
      </w:pPr>
      <w:r>
        <w:rPr>
          <w:b/>
          <w:bCs/>
          <w:shadow/>
        </w:rPr>
        <w:t>Contribution Loss:</w:t>
      </w:r>
    </w:p>
    <w:p>
      <w:pPr>
        <w:pStyle w:val="Normal"/>
        <w:ind w:start="-360" w:end="-360"/>
        <w:jc w:val="both"/>
        <w:rPr>
          <w:b/>
          <w:bCs/>
          <w:shadow/>
          <w:sz w:val="8"/>
        </w:rPr>
      </w:pPr>
      <w:r>
        <w:rPr>
          <w:b/>
          <w:bCs/>
          <w:shadow/>
          <w:sz w:val="8"/>
        </w:rPr>
      </w:r>
    </w:p>
    <w:p>
      <w:pPr>
        <w:pStyle w:val="Normal"/>
        <w:ind w:start="-360" w:end="-360"/>
        <w:jc w:val="both"/>
        <w:rPr/>
      </w:pPr>
      <w:r>
        <w:rPr/>
        <w:t xml:space="preserve">What is Contribution Loss?  A new HR metric that allows Enron to assess which performers are leaving.  This metric is simply separations weighted by performance level (as indicated in the parentheses) in accordance with the 2000 Year-end distribution: Superior (3.0); Excellent (2.5); Strong (2.0); Satisfactory (1.0); Needs Improvement (–2.0); Issues (–3.0); No Rating (1.0). </w:t>
      </w:r>
    </w:p>
    <w:p>
      <w:pPr>
        <w:pStyle w:val="Normal"/>
        <w:ind w:start="-360" w:end="-360"/>
        <w:jc w:val="both"/>
        <w:rPr>
          <w:sz w:val="18"/>
        </w:rPr>
      </w:pPr>
      <w:r>
        <w:rPr>
          <w:sz w:val="18"/>
        </w:rPr>
      </w:r>
    </w:p>
    <w:p>
      <w:pPr>
        <w:pStyle w:val="Normal"/>
        <w:shd w:fill="FFFFFF" w:val="clear"/>
        <w:ind w:start="-360" w:end="-360"/>
        <w:jc w:val="both"/>
        <w:rPr>
          <w:b/>
          <w:bCs/>
          <w:shadow/>
        </w:rPr>
      </w:pPr>
      <w:r>
        <w:rPr>
          <w:b/>
          <w:bCs/>
          <w:shadow/>
        </w:rPr>
        <w:t>Starters and Leavers Detail Summary:</w:t>
      </w:r>
    </w:p>
    <w:p>
      <w:pPr>
        <w:pStyle w:val="Normal"/>
        <w:ind w:start="-360" w:end="-360"/>
        <w:jc w:val="both"/>
        <w:rPr>
          <w:b/>
          <w:bCs/>
          <w:shadow/>
          <w:sz w:val="10"/>
          <w:lang w:val="en-CA" w:eastAsia="en-CA"/>
        </w:rPr>
      </w:pPr>
      <w:r>
        <w:rPr>
          <w:b/>
          <w:bCs/>
          <w:shadow/>
          <w:sz w:val="10"/>
          <w:lang w:val="en-CA" w:eastAsia="en-CA"/>
        </w:rPr>
        <w:object w:dxaOrig="10858" w:dyaOrig="93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position:absolute;margin-left:-18.75pt;margin-top:8.7pt;width:469.75pt;height:384.5pt;mso-wrap-distance-left:9.05pt;mso-wrap-distance-right:9.05pt;mso-position-horizontal-relative:text;mso-position-vertical-relative:text" stroked="t" strokecolor="#000000" strokeweight="0pt" filled="t" fillcolor="#FFFFFF" o:ole="">
            <v:stroke linestyle="Single" dashstyle="Solid"/>
            <v:imagedata r:id="rId27" o:title=""/>
            <w10:wrap type="topAndBottom"/>
          </v:shape>
          <o:OLEObject Type="Embed" ProgID="Excel.Sheet.12" ShapeID="ole_rId26" DrawAspect="Content" ObjectID="_689053539" r:id="rId26"/>
        </w:object>
      </w:r>
    </w:p>
    <w:p>
      <w:pPr>
        <w:pStyle w:val="Normal"/>
        <w:ind w:start="-360" w:end="-360"/>
        <w:jc w:val="both"/>
        <w:rPr>
          <w:b/>
          <w:bCs/>
          <w:shadow/>
          <w:sz w:val="10"/>
        </w:rPr>
      </w:pPr>
      <w:r>
        <w:rPr>
          <w:b/>
          <w:bCs/>
          <w:shadow/>
          <w:sz w:val="10"/>
        </w:rPr>
      </w:r>
    </w:p>
    <w:p>
      <w:pPr>
        <w:pStyle w:val="Normal"/>
        <w:ind w:start="-360" w:end="-360"/>
        <w:jc w:val="both"/>
        <w:rPr>
          <w:b/>
          <w:bCs/>
          <w:shadow/>
          <w:sz w:val="8"/>
        </w:rPr>
      </w:pPr>
      <w:r>
        <w:rPr>
          <w:b/>
          <w:bCs/>
          <w:shadow/>
          <w:sz w:val="8"/>
        </w:rPr>
      </w:r>
    </w:p>
    <w:p>
      <w:pPr>
        <w:pStyle w:val="Normal"/>
        <w:ind w:start="-360" w:end="-360"/>
        <w:jc w:val="both"/>
        <w:rPr>
          <w:b/>
          <w:bCs/>
          <w:shadow/>
        </w:rPr>
      </w:pPr>
      <w:r>
        <w:rPr>
          <w:b/>
          <w:bCs/>
          <w:shadow/>
        </w:rPr>
        <w:t>Contribution Loss Trend:</w:t>
      </w:r>
    </w:p>
    <w:p>
      <w:pPr>
        <w:pStyle w:val="Normal"/>
        <w:ind w:start="-360" w:end="-360"/>
        <w:jc w:val="both"/>
        <w:rPr>
          <w:b/>
          <w:bCs/>
          <w:shadow/>
          <w:sz w:val="6"/>
        </w:rPr>
      </w:pPr>
      <w:r>
        <w:rPr>
          <w:b/>
          <w:bCs/>
          <w:shadow/>
          <w:sz w:val="6"/>
        </w:rPr>
      </w:r>
    </w:p>
    <w:p>
      <w:pPr>
        <w:pStyle w:val="Normal"/>
        <w:ind w:start="-360" w:end="-360"/>
        <w:jc w:val="both"/>
        <w:rPr/>
      </w:pPr>
      <w:r>
        <w:rPr/>
        <w:t>Since the beginning of 2001, Enron has seen a significant increase in the separation of employees rated in the bottom two categories.  At year-end, 130 employees rated Issues and 616 rated Needs Improvement were employed; these figures now stand at 5 and 118, respectively.  However, in recent months, there has been an increase in separations of performers with ratings of Superior to Strong, with both voluntary and involuntary separations.   On average, 36 employees per month rated above Strong left Enron prior to March.  Since then, this average has risen to 70 employees per month.</w:t>
      </w:r>
    </w:p>
    <w:p>
      <w:pPr>
        <w:pStyle w:val="Normal"/>
        <w:ind w:start="-360" w:end="-360"/>
        <w:jc w:val="both"/>
        <w:rPr>
          <w:sz w:val="18"/>
        </w:rPr>
      </w:pPr>
      <w:r>
        <w:rPr>
          <w:sz w:val="18"/>
        </w:rPr>
      </w:r>
    </w:p>
    <w:p>
      <w:pPr>
        <w:pStyle w:val="Normal"/>
        <w:ind w:start="-360" w:end="-360"/>
        <w:jc w:val="both"/>
        <w:rPr/>
      </w:pPr>
      <w:r>
        <w:rPr>
          <w:rFonts w:eastAsia="Tahoma"/>
          <w:sz w:val="10"/>
        </w:rPr>
        <w:t xml:space="preserve"> </w:t>
      </w:r>
      <w:r>
        <w:rPr/>
        <w:t>For voluntary separators, more good than poor performers are leaving Enron.  The area showing the most significant loss is commercial and commercial support functions in ECT Resources (EWS), with 146 separations.   For those separating due to planned reductions, contribution loss (CL) now exceeds the separation rate.  In EBS, where 194 employees separated due to business reorganization, CL exceeded separation rate in May and June but not year-to-date.   The divestiture of HPL in May (203 separations) showed that CL exceeded separation.</w:t>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t>Analysis of Starters and Leavers:</w:t>
      </w:r>
    </w:p>
    <w:p>
      <w:pPr>
        <w:pStyle w:val="Normal"/>
        <w:ind w:start="-360" w:end="-360"/>
        <w:jc w:val="both"/>
        <w:rPr>
          <w:b/>
          <w:bCs/>
          <w:shadow/>
          <w:sz w:val="10"/>
        </w:rPr>
      </w:pPr>
      <w:r>
        <w:rPr>
          <w:b/>
          <w:bCs/>
          <w:shadow/>
          <w:sz w:val="10"/>
        </w:rPr>
      </w:r>
    </w:p>
    <w:p>
      <w:pPr>
        <w:pStyle w:val="Normal"/>
        <w:ind w:start="-360" w:end="-360"/>
        <w:jc w:val="both"/>
        <w:rPr/>
      </w:pPr>
      <w:r>
        <w:rPr/>
        <w:t xml:space="preserve">It should be noted that </w:t>
      </w:r>
      <w:r>
        <w:rPr>
          <w:u w:val="single"/>
        </w:rPr>
        <w:t>Enron is not materially hiring and terminating employees in the same areas</w:t>
      </w:r>
      <w:r>
        <w:rPr/>
        <w:t>.  It is evident in the following analysis that this high voluntary turnover is spanning across many of the key job functions within Enron:</w:t>
      </w:r>
    </w:p>
    <w:p>
      <w:pPr>
        <w:pStyle w:val="Normal"/>
        <w:ind w:start="-360" w:end="-360"/>
        <w:jc w:val="both"/>
        <w:rPr>
          <w:sz w:val="14"/>
        </w:rPr>
      </w:pPr>
      <w:r>
        <w:rPr>
          <w:sz w:val="14"/>
        </w:rPr>
      </w:r>
    </w:p>
    <w:p>
      <w:pPr>
        <w:pStyle w:val="Normal"/>
        <w:numPr>
          <w:ilvl w:val="0"/>
          <w:numId w:val="3"/>
        </w:numPr>
        <w:ind w:hanging="180" w:start="0" w:end="173"/>
        <w:jc w:val="both"/>
        <w:rPr/>
      </w:pPr>
      <w:r>
        <w:rPr>
          <w:b/>
          <w:bCs/>
          <w:u w:val="single"/>
        </w:rPr>
        <w:t>Risk Management</w:t>
      </w:r>
      <w:r>
        <w:rPr/>
        <w:t>:  Largest group of new hires (25% or 92) came to ENW (mainly pulp, paper and financial commodities) and EEL (24% or 88).  About 40% (110) of separations were due to re-orgs, mainly the HPL divestiture in May.  Voluntary separations spanned across EES, EEL (Enron Power Operation) and ENW (transaction support).</w:t>
      </w:r>
    </w:p>
    <w:p>
      <w:pPr>
        <w:pStyle w:val="Normal"/>
        <w:tabs>
          <w:tab w:val="clear" w:pos="720"/>
          <w:tab w:val="left" w:pos="-360" w:leader="none"/>
        </w:tabs>
        <w:ind w:start="-180" w:end="173"/>
        <w:jc w:val="both"/>
        <w:rPr>
          <w:sz w:val="12"/>
        </w:rPr>
      </w:pPr>
      <w:r>
        <w:rPr>
          <w:sz w:val="12"/>
        </w:rPr>
      </w:r>
    </w:p>
    <w:p>
      <w:pPr>
        <w:pStyle w:val="Normal"/>
        <w:numPr>
          <w:ilvl w:val="0"/>
          <w:numId w:val="3"/>
        </w:numPr>
        <w:ind w:hanging="180" w:start="0" w:end="173"/>
        <w:jc w:val="both"/>
        <w:rPr/>
      </w:pPr>
      <w:r>
        <w:rPr>
          <w:b/>
          <w:bCs/>
          <w:u w:val="single"/>
        </w:rPr>
        <w:t>Origination</w:t>
      </w:r>
      <w:r>
        <w:rPr/>
        <w:t xml:space="preserve">: 33% (42) of new hires came to EEL, with the next largest area being EES (22% or 28) and EGM (16% or 21).  About 50% (98) of separations were due to re-orgs, mainly EBS (32), Global Assets (17 - South America, India) and HPL divestiture (10).  22% (15) of voluntary separations were in EEL (mainly Enron Power Operation), with other voluntary separations spread across the company. </w:t>
      </w:r>
    </w:p>
    <w:p>
      <w:pPr>
        <w:pStyle w:val="Normal"/>
        <w:tabs>
          <w:tab w:val="clear" w:pos="720"/>
          <w:tab w:val="left" w:pos="-360" w:leader="none"/>
        </w:tabs>
        <w:ind w:start="-180" w:end="173"/>
        <w:jc w:val="both"/>
        <w:rPr>
          <w:sz w:val="12"/>
        </w:rPr>
      </w:pPr>
      <w:r>
        <w:rPr>
          <w:sz w:val="12"/>
        </w:rPr>
      </w:r>
    </w:p>
    <w:p>
      <w:pPr>
        <w:pStyle w:val="Normal"/>
        <w:numPr>
          <w:ilvl w:val="0"/>
          <w:numId w:val="3"/>
        </w:numPr>
        <w:ind w:hanging="180" w:start="0" w:end="173"/>
        <w:jc w:val="both"/>
        <w:rPr>
          <w:b/>
          <w:bCs/>
          <w:shadow/>
        </w:rPr>
      </w:pPr>
      <w:r>
        <w:rPr>
          <w:b/>
          <w:bCs/>
          <w:u w:val="single"/>
        </w:rPr>
        <w:t>Trading</w:t>
      </w:r>
      <w:r>
        <w:rPr/>
        <w:t>: About 47% (42) of growth in Trading is due to EEL (Metals Recycling and Enron Power Operation) and EGM.  67% (41) of separations in Trading were voluntary, with most occurring in EEL.</w:t>
      </w:r>
    </w:p>
    <w:p>
      <w:pPr>
        <w:pStyle w:val="Normal"/>
        <w:ind w:start="-360" w:end="-360"/>
        <w:jc w:val="both"/>
        <w:rPr>
          <w:b/>
          <w:bCs/>
          <w:shadow/>
          <w:sz w:val="22"/>
        </w:rPr>
      </w:pPr>
      <w:r>
        <w:rPr>
          <w:b/>
          <w:bCs/>
          <w:shadow/>
          <w:sz w:val="22"/>
        </w:rPr>
      </w:r>
    </w:p>
    <w:p>
      <w:pPr>
        <w:pStyle w:val="Normal"/>
        <w:ind w:start="-360" w:end="-360"/>
        <w:jc w:val="both"/>
        <w:rPr>
          <w:bCs/>
        </w:rPr>
      </w:pPr>
      <w:bookmarkStart w:id="0" w:name="OLE_LINK5"/>
      <w:bookmarkEnd w:id="0"/>
      <w:r>
        <w:rPr>
          <w:b/>
          <w:bCs/>
          <w:shadow/>
        </w:rPr>
        <w:t xml:space="preserve">Why do Employees Leave?     </w:t>
      </w:r>
    </w:p>
    <w:p>
      <w:pPr>
        <w:pStyle w:val="Normal"/>
        <w:ind w:start="-360" w:end="-360"/>
        <w:jc w:val="both"/>
        <w:rPr>
          <w:b/>
          <w:bCs/>
          <w:sz w:val="8"/>
        </w:rPr>
      </w:pPr>
      <w:r>
        <w:rPr>
          <w:b/>
          <w:bCs/>
          <w:sz w:val="8"/>
        </w:rPr>
      </w:r>
    </w:p>
    <w:p>
      <w:pPr>
        <w:pStyle w:val="Normal"/>
        <w:ind w:start="-360" w:end="-360"/>
        <w:jc w:val="both"/>
        <w:rPr/>
      </w:pPr>
      <w:r>
        <w:rPr/>
        <w:t xml:space="preserve">51% of those who left voluntarily stated "Personal Reasons" as the driver.  Personal Reasons is a vague reason used to describe difficulty in balancing work with family, conflicts with supervisors, dissatisfaction with work environment or opportunities for advancement, etc.  It is also used when employees don’t want to address leaving to work for a competitor.  </w:t>
      </w:r>
    </w:p>
    <w:p>
      <w:pPr>
        <w:pStyle w:val="Normal"/>
        <w:ind w:start="-360" w:end="-360"/>
        <w:jc w:val="both"/>
        <w:rPr>
          <w:sz w:val="10"/>
        </w:rPr>
      </w:pPr>
      <w:r>
        <w:rPr>
          <w:sz w:val="10"/>
        </w:rPr>
      </w:r>
    </w:p>
    <w:p>
      <w:pPr>
        <w:pStyle w:val="Normal"/>
        <w:ind w:start="-360" w:end="-360"/>
        <w:jc w:val="both"/>
        <w:rPr/>
      </w:pPr>
      <w:r>
        <w:rPr/>
        <w:t xml:space="preserve">An initiative has been undertaken to refine and enhance the exit interview process in order to better capture the reasons why employees leave and where they go.  </w:t>
      </w:r>
    </w:p>
    <w:p>
      <w:pPr>
        <w:pStyle w:val="Normal"/>
        <w:ind w:start="-360" w:end="-360"/>
        <w:jc w:val="both"/>
        <w:rPr>
          <w:sz w:val="24"/>
        </w:rPr>
      </w:pPr>
      <w:r>
        <w:rPr>
          <w:sz w:val="24"/>
        </w:rPr>
      </w:r>
    </w:p>
    <w:p>
      <w:pPr>
        <w:pStyle w:val="Normal"/>
        <w:ind w:start="-360" w:end="-360"/>
        <w:jc w:val="both"/>
        <w:rPr>
          <w:b/>
          <w:bCs/>
          <w:shadow/>
          <w:sz w:val="22"/>
        </w:rPr>
      </w:pPr>
      <w:bookmarkStart w:id="1" w:name="OLE_LINK5"/>
      <w:bookmarkEnd w:id="1"/>
      <w:r>
        <w:rPr>
          <w:b/>
          <w:bCs/>
          <w:shadow/>
          <w:sz w:val="22"/>
        </w:rPr>
        <w:t>V.  Bench Strength</w:t>
      </w:r>
    </w:p>
    <w:p>
      <w:pPr>
        <w:pStyle w:val="Normal"/>
        <w:ind w:start="-360" w:end="-360"/>
        <w:jc w:val="both"/>
        <w:rPr>
          <w:b/>
          <w:bCs/>
          <w:shadow/>
          <w:sz w:val="8"/>
        </w:rPr>
      </w:pPr>
      <w:r>
        <w:rPr>
          <w:b/>
          <w:bCs/>
          <w:shadow/>
          <w:sz w:val="8"/>
        </w:rPr>
      </w:r>
    </w:p>
    <w:p>
      <w:pPr>
        <w:pStyle w:val="Normal"/>
        <w:ind w:start="-360" w:end="-360"/>
        <w:jc w:val="both"/>
        <w:rPr/>
      </w:pPr>
      <w:r>
        <w:rPr/>
        <w:t xml:space="preserve">Enron experienced a large influx of new talent last year of 6,223 employees globally.  While impressive with the tight labor market, the company also lost over 2,000 employees.  With this activity, a significant change in bench strength and company tenure was seen.  </w:t>
      </w:r>
    </w:p>
    <w:p>
      <w:pPr>
        <w:pStyle w:val="Normal"/>
        <w:ind w:start="-360" w:end="-360"/>
        <w:jc w:val="both"/>
        <w:rPr/>
      </w:pPr>
      <w:r>
        <w:rPr/>
      </w:r>
    </w:p>
    <w:p>
      <w:pPr>
        <w:pStyle w:val="Normal"/>
        <w:ind w:start="-360" w:end="-360"/>
        <w:jc w:val="both"/>
        <w:rPr/>
      </w:pPr>
      <w:r>
        <w:rPr>
          <w:b/>
          <w:bCs/>
          <w:shadow/>
        </w:rPr>
        <w:t>Tenure</w:t>
      </w:r>
      <w:r>
        <w:rPr>
          <w:shadow/>
        </w:rPr>
        <w:t xml:space="preserve">:   </w:t>
      </w:r>
      <w:r>
        <w:rPr/>
        <w:t xml:space="preserve"> </w:t>
      </w:r>
    </w:p>
    <w:p>
      <w:pPr>
        <w:pStyle w:val="Normal"/>
        <w:ind w:start="-360" w:end="-360"/>
        <w:jc w:val="both"/>
        <w:rPr>
          <w:shadow/>
          <w:sz w:val="6"/>
        </w:rPr>
      </w:pPr>
      <w:r>
        <w:rPr>
          <w:shadow/>
          <w:sz w:val="6"/>
        </w:rPr>
      </w:r>
    </w:p>
    <w:p>
      <w:pPr>
        <w:pStyle w:val="Normal"/>
        <w:ind w:start="-360" w:end="-360"/>
        <w:jc w:val="both"/>
        <w:rPr/>
      </w:pPr>
      <w:r>
        <w:rPr/>
        <w:t>Prior to 2000, the average tenure of an employee was close to 8 years; without ETS, it was 4 years.  Currently, the average tenure of an employee is 5 years with the mode at 1 year and median at 2 years.</w:t>
      </w:r>
    </w:p>
    <w:p>
      <w:pPr>
        <w:pStyle w:val="Normal"/>
        <w:ind w:start="-360" w:end="-360"/>
        <w:jc w:val="both"/>
        <w:rPr>
          <w:sz w:val="10"/>
        </w:rPr>
      </w:pPr>
      <w:r>
        <w:rPr>
          <w:sz w:val="10"/>
        </w:rPr>
      </w:r>
    </w:p>
    <w:p>
      <w:pPr>
        <w:pStyle w:val="Normal"/>
        <w:ind w:start="-360" w:end="-360"/>
        <w:jc w:val="both"/>
        <w:rPr/>
      </w:pPr>
      <w:r>
        <w:rPr/>
        <w:t xml:space="preserve">Average tenure of </w:t>
      </w:r>
      <w:r>
        <w:rPr>
          <w:u w:val="single"/>
        </w:rPr>
        <w:t>voluntary separators</w:t>
      </w:r>
      <w:r>
        <w:rPr/>
        <w:t xml:space="preserve"> is currently 4.02 years.  EWS makes up 63% of the voluntary separations, mainly due to EEL (40% of EWS separations) with Personal Reasons being the most frequent term reason.</w:t>
      </w:r>
    </w:p>
    <w:p>
      <w:pPr>
        <w:pStyle w:val="Normal"/>
        <w:ind w:start="-360" w:end="-360"/>
        <w:jc w:val="both"/>
        <w:rPr>
          <w:sz w:val="10"/>
        </w:rPr>
      </w:pPr>
      <w:r>
        <w:rPr>
          <w:sz w:val="10"/>
        </w:rPr>
      </w:r>
    </w:p>
    <w:p>
      <w:pPr>
        <w:pStyle w:val="Normal"/>
        <w:ind w:start="-360" w:end="-360"/>
        <w:jc w:val="both"/>
        <w:rPr/>
      </w:pPr>
      <w:r>
        <w:rPr/>
        <w:t xml:space="preserve">Average tenure of </w:t>
      </w:r>
      <w:r>
        <w:rPr>
          <w:u w:val="single"/>
        </w:rPr>
        <w:t>involuntary separators</w:t>
      </w:r>
      <w:r>
        <w:rPr/>
        <w:t xml:space="preserve"> is 4.69 years.  Reorganization, divestitures, discontinued positions, and reduction in force were the major contributors to involuntary separations, accounting for 83%.  EWS had the most separators by reason of reorganization (83%) with HPL contributing 27% to this figure. </w:t>
      </w:r>
    </w:p>
    <w:p>
      <w:pPr>
        <w:pStyle w:val="Normal"/>
        <w:ind w:start="-360" w:end="-360"/>
        <w:jc w:val="both"/>
        <w:rPr/>
      </w:pPr>
      <w:r>
        <w:rPr/>
      </w:r>
    </w:p>
    <w:p>
      <w:pPr>
        <w:pStyle w:val="Normal"/>
        <w:ind w:start="-360" w:end="-360"/>
        <w:jc w:val="both"/>
        <w:rPr>
          <w:b/>
          <w:bCs/>
          <w:shadow/>
        </w:rPr>
      </w:pPr>
      <w:r>
        <w:rPr>
          <w:b/>
          <w:bCs/>
          <w:shadow/>
        </w:rPr>
        <w:t>Internal Migration:</w:t>
      </w:r>
    </w:p>
    <w:p>
      <w:pPr>
        <w:pStyle w:val="Normal"/>
        <w:ind w:start="-360" w:end="-360"/>
        <w:jc w:val="both"/>
        <w:rPr>
          <w:b/>
          <w:bCs/>
          <w:shadow/>
          <w:sz w:val="6"/>
        </w:rPr>
      </w:pPr>
      <w:r>
        <w:rPr>
          <w:b/>
          <w:bCs/>
          <w:shadow/>
          <w:sz w:val="6"/>
        </w:rPr>
      </w:r>
    </w:p>
    <w:p>
      <w:pPr>
        <w:pStyle w:val="Normal"/>
        <w:ind w:start="-360" w:end="-360"/>
        <w:jc w:val="both"/>
        <w:rPr/>
      </w:pPr>
      <w:r>
        <w:rPr/>
        <w:t>There have been 2,208 employees who have moved from one company to another this year, representing a 10% churn rate.  Enron Wholesale Services - Domestic had the largest internal churn volume.</w:t>
      </w:r>
    </w:p>
    <w:p>
      <w:pPr>
        <w:pStyle w:val="Normal"/>
        <w:ind w:start="-360" w:end="-360"/>
        <w:jc w:val="both"/>
        <w:rPr>
          <w:sz w:val="12"/>
        </w:rPr>
      </w:pPr>
      <w:r>
        <w:rPr>
          <w:sz w:val="12"/>
        </w:rPr>
        <w:tab/>
        <w:tab/>
        <w:tab/>
      </w:r>
    </w:p>
    <w:p>
      <w:pPr>
        <w:pStyle w:val="Normal"/>
        <w:ind w:start="-360" w:end="-360"/>
        <w:jc w:val="both"/>
        <w:rPr/>
      </w:pPr>
      <w:r>
        <w:rPr/>
        <w:t xml:space="preserve">181 employees have been redeployed through the redeployment team.  This represents a 32% successful placement rate versus 41% for last year; aging for those placed is about 15 days.  The top business unit sending employees through redeployment is EBS (52% of redeployment candidates).  The top business unit utilizing employees from redeployment is EWS (36% of placed redeployment candidates). </w:t>
        <w:tab/>
      </w:r>
    </w:p>
    <w:p>
      <w:pPr>
        <w:pStyle w:val="Normal"/>
        <w:ind w:start="-360" w:end="-360"/>
        <w:jc w:val="both"/>
        <w:rPr>
          <w:b/>
          <w:bCs/>
          <w:shadow/>
          <w:lang w:val="en-CA" w:eastAsia="en-CA"/>
        </w:rPr>
      </w:pPr>
      <w:r>
        <w:rPr>
          <w:b/>
          <w:bCs/>
          <w:shadow/>
          <w:lang w:val="en-CA" w:eastAsia="en-CA"/>
        </w:rPr>
      </w:r>
    </w:p>
    <w:p>
      <w:pPr>
        <w:pStyle w:val="Normal"/>
        <w:ind w:start="-360" w:end="-360"/>
        <w:jc w:val="both"/>
        <w:rPr>
          <w:b/>
          <w:bCs/>
          <w:shadow/>
          <w:lang w:val="en-CA" w:eastAsia="en-CA"/>
        </w:rPr>
      </w:pPr>
      <w:r>
        <w:rPr>
          <w:b/>
          <w:bCs/>
          <w:shadow/>
          <w:lang w:val="en-CA" w:eastAsia="en-CA"/>
        </w:rPr>
      </w:r>
    </w:p>
    <w:p>
      <w:pPr>
        <w:pStyle w:val="Normal"/>
        <w:ind w:start="-360" w:end="-360"/>
        <w:jc w:val="both"/>
        <w:rPr>
          <w:b/>
          <w:bCs/>
          <w:shadow/>
        </w:rPr>
      </w:pPr>
      <w:r>
        <w:rPr>
          <w:b/>
          <w:bCs/>
          <w:shadow/>
        </w:rPr>
      </w:r>
    </w:p>
    <w:p>
      <w:pPr>
        <w:pStyle w:val="Normal"/>
        <w:ind w:start="-360" w:end="-360"/>
        <w:jc w:val="both"/>
        <w:rPr>
          <w:b/>
          <w:bCs/>
          <w:shadow/>
        </w:rPr>
      </w:pPr>
      <w:r>
        <w:rPr>
          <w:b/>
          <w:bCs/>
          <w:shadow/>
        </w:rPr>
        <w:t>Internal Migration Metrics:</w:t>
      </w:r>
    </w:p>
    <w:p>
      <w:pPr>
        <w:pStyle w:val="Normal"/>
        <w:ind w:start="-360" w:end="-360"/>
        <w:jc w:val="both"/>
        <w:rPr>
          <w:b/>
          <w:bCs/>
          <w:shadow/>
        </w:rPr>
      </w:pPr>
      <w:r>
        <w:rPr>
          <w:b/>
          <w:bCs/>
          <w:shadow/>
        </w:rPr>
        <w:tab/>
      </w:r>
    </w:p>
    <w:p>
      <w:pPr>
        <w:pStyle w:val="Normal"/>
        <w:ind w:start="-360" w:end="-360"/>
        <w:jc w:val="both"/>
        <w:rPr>
          <w:b/>
          <w:bCs/>
          <w:shadow/>
          <w:sz w:val="10"/>
          <w:lang w:val="en-CA" w:eastAsia="en-CA"/>
        </w:rPr>
      </w:pPr>
      <w:r>
        <w:rPr>
          <w:b/>
          <w:bCs/>
          <w:shadow/>
          <w:sz w:val="10"/>
          <w:lang w:val="en-CA" w:eastAsia="en-CA"/>
        </w:rPr>
        <w:object w:dxaOrig="10496" w:dyaOrig="3751">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position:absolute;margin-left:-18.75pt;margin-top:-0.95pt;width:469.4pt;height:163.55pt;mso-wrap-distance-left:9.05pt;mso-wrap-distance-right:9.05pt;mso-position-horizontal-relative:text;mso-position-vertical-relative:text" stroked="t" strokecolor="#000000" strokeweight="0pt" filled="t" fillcolor="#FFFFFF" o:ole="">
            <v:stroke linestyle="Single" dashstyle="Solid"/>
            <v:imagedata r:id="rId29" o:title=""/>
            <w10:wrap type="topAndBottom"/>
          </v:shape>
          <o:OLEObject Type="Embed" ProgID="Excel.Sheet.12" ShapeID="ole_rId28" DrawAspect="Content" ObjectID="_1661019773" r:id="rId28"/>
        </w:object>
      </w:r>
    </w:p>
    <w:p>
      <w:pPr>
        <w:pStyle w:val="Normal"/>
        <w:ind w:start="-360" w:end="-360"/>
        <w:jc w:val="both"/>
        <w:rPr>
          <w:b/>
          <w:bCs/>
          <w:shadow/>
        </w:rPr>
      </w:pPr>
      <w:r>
        <w:object w:dxaOrig="9706" w:dyaOrig="10606">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position:absolute;margin-left:-18.75pt;margin-top:26.1pt;width:469.35pt;height:388.5pt;mso-wrap-distance-left:9.05pt;mso-wrap-distance-right:9.05pt;mso-position-horizontal-relative:text;mso-position-vertical-relative:text" stroked="t" strokecolor="#000000" strokeweight="0pt" filled="t" fillcolor="#FFFFFF" o:ole="">
            <v:stroke linestyle="Single" dashstyle="Solid"/>
            <v:imagedata r:id="rId31" o:title=""/>
            <w10:wrap type="topAndBottom"/>
          </v:shape>
          <o:OLEObject Type="Embed" ProgID="Excel.Sheet.12" ShapeID="ole_rId30" DrawAspect="Content" ObjectID="_95531621" r:id="rId30"/>
        </w:object>
      </w:r>
      <w:r>
        <w:rPr>
          <w:b/>
          <w:bCs/>
          <w:shadow/>
        </w:rPr>
        <w:t>Tenure Metrics:</w:t>
      </w:r>
    </w:p>
    <w:p>
      <w:pPr>
        <w:pStyle w:val="Normal"/>
        <w:ind w:start="-360" w:end="-360"/>
        <w:jc w:val="both"/>
        <w:rPr>
          <w:b/>
          <w:bCs/>
          <w:shadow/>
          <w:sz w:val="12"/>
        </w:rPr>
      </w:pPr>
      <w:r>
        <w:rPr>
          <w:b/>
          <w:bCs/>
          <w:shadow/>
          <w:sz w:val="12"/>
        </w:rPr>
      </w:r>
    </w:p>
    <w:p>
      <w:pPr>
        <w:pStyle w:val="Normal"/>
        <w:ind w:start="-360" w:end="-360"/>
        <w:jc w:val="both"/>
        <w:rPr>
          <w:b/>
          <w:bCs/>
          <w:shadow/>
          <w:sz w:val="12"/>
          <w:lang w:val="en-CA" w:eastAsia="en-CA"/>
        </w:rPr>
      </w:pPr>
      <w:r>
        <w:rPr>
          <w:b/>
          <w:bCs/>
          <w:shadow/>
          <w:sz w:val="12"/>
          <w:lang w:val="en-CA" w:eastAsia="en-CA"/>
        </w:rPr>
      </w:r>
      <w:r>
        <mc:AlternateContent>
          <mc:Choice Requires="wps">
            <w:drawing>
              <wp:anchor behindDoc="0" distT="0" distB="0" distL="114935" distR="114935" simplePos="0" locked="0" layoutInCell="1" allowOverlap="1" relativeHeight="41">
                <wp:simplePos x="0" y="0"/>
                <wp:positionH relativeFrom="column">
                  <wp:posOffset>-228600</wp:posOffset>
                </wp:positionH>
                <wp:positionV relativeFrom="paragraph">
                  <wp:posOffset>5125085</wp:posOffset>
                </wp:positionV>
                <wp:extent cx="5829300" cy="685800"/>
                <wp:effectExtent l="0" t="0" r="0" b="0"/>
                <wp:wrapNone/>
                <wp:docPr id="14" name="Frame2"/>
                <a:graphic xmlns:a="http://schemas.openxmlformats.org/drawingml/2006/main">
                  <a:graphicData uri="http://schemas.microsoft.com/office/word/2010/wordprocessingShape">
                    <wps:wsp>
                      <wps:cNvSpPr txBox="1"/>
                      <wps:spPr>
                        <a:xfrm>
                          <a:off x="0" y="0"/>
                          <a:ext cx="5829300" cy="685800"/>
                        </a:xfrm>
                        <a:prstGeom prst="rect"/>
                        <a:solidFill>
                          <a:srgbClr val="FFFFFF"/>
                        </a:solidFill>
                      </wps:spPr>
                      <wps:txbx>
                        <w:txbxContent>
                          <w:p>
                            <w:pPr>
                              <w:pStyle w:val="Header"/>
                              <w:tabs>
                                <w:tab w:val="clear" w:pos="4320"/>
                                <w:tab w:val="clear" w:pos="8640"/>
                              </w:tabs>
                              <w:rPr/>
                            </w:pPr>
                            <w:r>
                              <w:rPr>
                                <w:b/>
                                <w:bCs/>
                                <w:vertAlign w:val="superscript"/>
                              </w:rPr>
                              <w:t xml:space="preserve">1  </w:t>
                            </w:r>
                            <w:r>
                              <w:rPr>
                                <w:sz w:val="16"/>
                              </w:rPr>
                              <w:t xml:space="preserve">Median years of tenure w/ current employer for wage and salary workers in the Financial Services Industry is 3.5 years </w:t>
                            </w:r>
                          </w:p>
                          <w:p>
                            <w:pPr>
                              <w:pStyle w:val="Header"/>
                              <w:tabs>
                                <w:tab w:val="clear" w:pos="4320"/>
                                <w:tab w:val="clear" w:pos="8640"/>
                              </w:tabs>
                              <w:rPr>
                                <w:sz w:val="2"/>
                              </w:rPr>
                            </w:pPr>
                            <w:r>
                              <w:rPr>
                                <w:sz w:val="2"/>
                              </w:rPr>
                            </w:r>
                          </w:p>
                          <w:p>
                            <w:pPr>
                              <w:pStyle w:val="Normal"/>
                              <w:rPr/>
                            </w:pPr>
                            <w:r>
                              <w:rPr>
                                <w:b/>
                                <w:vertAlign w:val="superscript"/>
                              </w:rPr>
                              <w:t xml:space="preserve">2  </w:t>
                            </w:r>
                            <w:r>
                              <w:rPr>
                                <w:sz w:val="16"/>
                              </w:rPr>
                              <w:t>Non-Caucasion Ratios: US Pool (19%); Houston Pool (35%)</w:t>
                            </w:r>
                          </w:p>
                          <w:p>
                            <w:pPr>
                              <w:pStyle w:val="Normal"/>
                              <w:rPr>
                                <w:bCs/>
                                <w:sz w:val="2"/>
                              </w:rPr>
                            </w:pPr>
                            <w:r>
                              <w:rPr>
                                <w:bCs/>
                                <w:sz w:val="2"/>
                              </w:rPr>
                            </w:r>
                          </w:p>
                          <w:p>
                            <w:pPr>
                              <w:pStyle w:val="Normal"/>
                              <w:rPr/>
                            </w:pPr>
                            <w:r>
                              <w:rPr>
                                <w:b/>
                                <w:vertAlign w:val="superscript"/>
                              </w:rPr>
                              <w:t>3</w:t>
                            </w:r>
                            <w:r>
                              <w:rPr>
                                <w:b/>
                                <w:sz w:val="18"/>
                                <w:vertAlign w:val="superscript"/>
                              </w:rPr>
                              <w:t xml:space="preserve">  </w:t>
                            </w:r>
                            <w:r>
                              <w:rPr>
                                <w:sz w:val="16"/>
                              </w:rPr>
                              <w:t xml:space="preserve">Female Ratios: US Pool (47%); Houston Pool (50%)    </w:t>
                            </w:r>
                          </w:p>
                          <w:p>
                            <w:pPr>
                              <w:pStyle w:val="Normal"/>
                              <w:rPr>
                                <w:sz w:val="2"/>
                              </w:rPr>
                            </w:pPr>
                            <w:r>
                              <w:rPr>
                                <w:sz w:val="2"/>
                              </w:rPr>
                            </w:r>
                          </w:p>
                          <w:p>
                            <w:pPr>
                              <w:pStyle w:val="Header"/>
                              <w:tabs>
                                <w:tab w:val="clear" w:pos="4320"/>
                                <w:tab w:val="clear" w:pos="8640"/>
                              </w:tabs>
                              <w:rPr/>
                            </w:pPr>
                            <w:r>
                              <w:rPr>
                                <w:rFonts w:eastAsia="Tahoma"/>
                              </w:rPr>
                              <w:t xml:space="preserve">  </w:t>
                            </w:r>
                            <w:r>
                              <w:rPr>
                                <w:i/>
                                <w:iCs/>
                                <w:sz w:val="16"/>
                              </w:rPr>
                              <w:t>…</w:t>
                            </w:r>
                            <w:r>
                              <w:rPr>
                                <w:rFonts w:eastAsia="Tahoma"/>
                                <w:i/>
                                <w:iCs/>
                                <w:sz w:val="16"/>
                              </w:rPr>
                              <w:t xml:space="preserve"> </w:t>
                            </w:r>
                            <w:r>
                              <w:rPr>
                                <w:i/>
                                <w:iCs/>
                                <w:sz w:val="16"/>
                              </w:rPr>
                              <w:t>Bureau of Labor Statistics, 1998</w:t>
                            </w:r>
                          </w:p>
                        </w:txbxContent>
                      </wps:txbx>
                      <wps:bodyPr anchor="t" lIns="92075" tIns="46355" rIns="92075" bIns="46355">
                        <a:noAutofit/>
                      </wps:bodyPr>
                    </wps:wsp>
                  </a:graphicData>
                </a:graphic>
              </wp:anchor>
            </w:drawing>
          </mc:Choice>
          <mc:Fallback>
            <w:pict>
              <v:rect fillcolor="#FFFFFF" style="position:absolute;rotation:-0;width:459pt;height:54pt;mso-wrap-distance-left:9.05pt;mso-wrap-distance-right:9.05pt;mso-wrap-distance-top:0pt;mso-wrap-distance-bottom:0pt;margin-top:403.55pt;mso-position-vertical-relative:text;margin-left:-18pt;mso-position-horizontal-relative:text">
                <v:textbox inset="0.100694444444444in,0.0506944444444444in,0.100694444444444in,0.0506944444444444in">
                  <w:txbxContent>
                    <w:p>
                      <w:pPr>
                        <w:pStyle w:val="Header"/>
                        <w:tabs>
                          <w:tab w:val="clear" w:pos="4320"/>
                          <w:tab w:val="clear" w:pos="8640"/>
                        </w:tabs>
                        <w:rPr/>
                      </w:pPr>
                      <w:r>
                        <w:rPr>
                          <w:b/>
                          <w:bCs/>
                          <w:vertAlign w:val="superscript"/>
                        </w:rPr>
                        <w:t xml:space="preserve">1  </w:t>
                      </w:r>
                      <w:r>
                        <w:rPr>
                          <w:sz w:val="16"/>
                        </w:rPr>
                        <w:t xml:space="preserve">Median years of tenure w/ current employer for wage and salary workers in the Financial Services Industry is 3.5 years </w:t>
                      </w:r>
                    </w:p>
                    <w:p>
                      <w:pPr>
                        <w:pStyle w:val="Header"/>
                        <w:tabs>
                          <w:tab w:val="clear" w:pos="4320"/>
                          <w:tab w:val="clear" w:pos="8640"/>
                        </w:tabs>
                        <w:rPr>
                          <w:sz w:val="2"/>
                        </w:rPr>
                      </w:pPr>
                      <w:r>
                        <w:rPr>
                          <w:sz w:val="2"/>
                        </w:rPr>
                      </w:r>
                    </w:p>
                    <w:p>
                      <w:pPr>
                        <w:pStyle w:val="Normal"/>
                        <w:rPr/>
                      </w:pPr>
                      <w:r>
                        <w:rPr>
                          <w:b/>
                          <w:vertAlign w:val="superscript"/>
                        </w:rPr>
                        <w:t xml:space="preserve">2  </w:t>
                      </w:r>
                      <w:r>
                        <w:rPr>
                          <w:sz w:val="16"/>
                        </w:rPr>
                        <w:t>Non-Caucasion Ratios: US Pool (19%); Houston Pool (35%)</w:t>
                      </w:r>
                    </w:p>
                    <w:p>
                      <w:pPr>
                        <w:pStyle w:val="Normal"/>
                        <w:rPr>
                          <w:bCs/>
                          <w:sz w:val="2"/>
                        </w:rPr>
                      </w:pPr>
                      <w:r>
                        <w:rPr>
                          <w:bCs/>
                          <w:sz w:val="2"/>
                        </w:rPr>
                      </w:r>
                    </w:p>
                    <w:p>
                      <w:pPr>
                        <w:pStyle w:val="Normal"/>
                        <w:rPr/>
                      </w:pPr>
                      <w:r>
                        <w:rPr>
                          <w:b/>
                          <w:vertAlign w:val="superscript"/>
                        </w:rPr>
                        <w:t>3</w:t>
                      </w:r>
                      <w:r>
                        <w:rPr>
                          <w:b/>
                          <w:sz w:val="18"/>
                          <w:vertAlign w:val="superscript"/>
                        </w:rPr>
                        <w:t xml:space="preserve">  </w:t>
                      </w:r>
                      <w:r>
                        <w:rPr>
                          <w:sz w:val="16"/>
                        </w:rPr>
                        <w:t xml:space="preserve">Female Ratios: US Pool (47%); Houston Pool (50%)    </w:t>
                      </w:r>
                    </w:p>
                    <w:p>
                      <w:pPr>
                        <w:pStyle w:val="Normal"/>
                        <w:rPr>
                          <w:sz w:val="2"/>
                        </w:rPr>
                      </w:pPr>
                      <w:r>
                        <w:rPr>
                          <w:sz w:val="2"/>
                        </w:rPr>
                      </w:r>
                    </w:p>
                    <w:p>
                      <w:pPr>
                        <w:pStyle w:val="Header"/>
                        <w:tabs>
                          <w:tab w:val="clear" w:pos="4320"/>
                          <w:tab w:val="clear" w:pos="8640"/>
                        </w:tabs>
                        <w:rPr/>
                      </w:pPr>
                      <w:r>
                        <w:rPr>
                          <w:rFonts w:eastAsia="Tahoma"/>
                        </w:rPr>
                        <w:t xml:space="preserve">  </w:t>
                      </w:r>
                      <w:r>
                        <w:rPr>
                          <w:i/>
                          <w:iCs/>
                          <w:sz w:val="16"/>
                        </w:rPr>
                        <w:t>…</w:t>
                      </w:r>
                      <w:r>
                        <w:rPr>
                          <w:rFonts w:eastAsia="Tahoma"/>
                          <w:i/>
                          <w:iCs/>
                          <w:sz w:val="16"/>
                        </w:rPr>
                        <w:t xml:space="preserve"> </w:t>
                      </w:r>
                      <w:r>
                        <w:rPr>
                          <w:i/>
                          <w:iCs/>
                          <w:sz w:val="16"/>
                        </w:rPr>
                        <w:t>Bureau of Labor Statistics, 1998</w:t>
                      </w:r>
                    </w:p>
                  </w:txbxContent>
                </v:textbox>
                <w10:wrap type="none"/>
              </v:rect>
            </w:pict>
          </mc:Fallback>
        </mc:AlternateContent>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b/>
          <w:bCs/>
          <w:shadow/>
        </w:rPr>
      </w:pPr>
      <w:r>
        <w:rPr>
          <w:b/>
          <w:bCs/>
          <w:shadow/>
        </w:rPr>
      </w:r>
    </w:p>
    <w:p>
      <w:pPr>
        <w:pStyle w:val="Normal"/>
        <w:ind w:start="-360" w:end="-360"/>
        <w:jc w:val="both"/>
        <w:rPr>
          <w:shadow/>
          <w:sz w:val="14"/>
        </w:rPr>
      </w:pPr>
      <w:r>
        <w:rPr>
          <w:b/>
          <w:bCs/>
          <w:shadow/>
        </w:rPr>
        <w:t>Success of New Hires:</w:t>
      </w:r>
    </w:p>
    <w:p>
      <w:pPr>
        <w:pStyle w:val="Normal"/>
        <w:ind w:start="-360" w:end="-360"/>
        <w:jc w:val="both"/>
        <w:rPr>
          <w:shadow/>
          <w:sz w:val="6"/>
        </w:rPr>
      </w:pPr>
      <w:r>
        <w:rPr>
          <w:shadow/>
          <w:sz w:val="6"/>
        </w:rPr>
      </w:r>
    </w:p>
    <w:p>
      <w:pPr>
        <w:pStyle w:val="Normal"/>
        <w:ind w:start="-360" w:end="-360"/>
        <w:jc w:val="both"/>
        <w:rPr/>
      </w:pPr>
      <w:r>
        <w:rPr/>
        <w:t xml:space="preserve">Based on a review of new hires from Q1 2000 (20% of 6,223 new hires), it is evident that they have quickly added value to Enron.  This is indicated by the significant increase in percentage of Q1 new hires ranking Superior (67% increase) and Excellent (61% increase) from mid-year to year-end.  </w:t>
      </w:r>
    </w:p>
    <w:p>
      <w:pPr>
        <w:pStyle w:val="Normal"/>
        <w:ind w:start="-360" w:end="-360"/>
        <w:jc w:val="both"/>
        <w:rPr>
          <w:sz w:val="6"/>
        </w:rPr>
      </w:pPr>
      <w:r>
        <w:rPr>
          <w:sz w:val="6"/>
        </w:rPr>
      </w:r>
    </w:p>
    <w:p>
      <w:pPr>
        <w:pStyle w:val="Normal"/>
        <w:ind w:start="-360" w:end="-360"/>
        <w:jc w:val="both"/>
        <w:rPr>
          <w:b/>
          <w:bCs/>
          <w:sz w:val="24"/>
        </w:rPr>
      </w:pPr>
      <w:r>
        <w:rPr>
          <w:rFonts w:eastAsia="Tahoma"/>
          <w:b/>
          <w:bCs/>
          <w:sz w:val="22"/>
        </w:rPr>
        <w:t xml:space="preserve">                                                             </w:t>
      </w:r>
    </w:p>
    <w:p>
      <w:pPr>
        <w:pStyle w:val="Normal"/>
        <w:ind w:start="-360" w:end="-360"/>
        <w:jc w:val="center"/>
        <w:rPr>
          <w:b/>
          <w:bCs/>
          <w:sz w:val="22"/>
        </w:rPr>
      </w:pPr>
      <w:r>
        <w:rPr>
          <w:b/>
          <w:bCs/>
          <w:sz w:val="22"/>
        </w:rPr>
        <w:t>PRC Trends</w:t>
      </w:r>
    </w:p>
    <w:p>
      <w:pPr>
        <w:pStyle w:val="Normal"/>
        <w:ind w:start="-360" w:end="-360"/>
        <w:jc w:val="center"/>
        <w:rPr>
          <w:b/>
          <w:bCs/>
          <w:sz w:val="8"/>
        </w:rPr>
      </w:pPr>
      <w:r>
        <w:rPr>
          <w:b/>
          <w:bCs/>
          <w:sz w:val="8"/>
        </w:rPr>
      </w:r>
    </w:p>
    <w:p>
      <w:pPr>
        <w:pStyle w:val="Normal"/>
        <w:ind w:start="-360" w:end="-360"/>
        <w:jc w:val="center"/>
        <w:rPr>
          <w:b/>
          <w:bCs/>
        </w:rPr>
      </w:pPr>
      <w:r>
        <w:object w:dxaOrig="5121" w:dyaOrig="3328">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position:absolute;margin-left:-27pt;margin-top:19.9pt;width:241.5pt;height:162pt;mso-wrap-distance-left:9.05pt;mso-wrap-distance-right:9.05pt;mso-position-horizontal-relative:text;mso-position-vertical-relative:text" filled="f" o:ole="">
            <v:imagedata r:id="rId33" o:title=""/>
            <w10:wrap type="topAndBottom"/>
          </v:shape>
          <o:OLEObject Type="Embed" ProgID="Excel.Sheet.12" ShapeID="ole_rId32" DrawAspect="Content" ObjectID="_1728495623" r:id="rId32"/>
        </w:object>
        <w:object w:dxaOrig="5121" w:dyaOrig="3073">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position:absolute;margin-left:215.25pt;margin-top:23.45pt;width:242.75pt;height:156.1pt;mso-wrap-distance-left:9.05pt;mso-wrap-distance-right:9.05pt;mso-position-horizontal-relative:text;mso-position-vertical-relative:text" stroked="t" strokecolor="#000000" strokeweight="0pt" filled="f" o:ole="">
            <v:stroke linestyle="Single" dashstyle="Solid"/>
            <v:imagedata r:id="rId35" o:title=""/>
            <w10:wrap type="topAndBottom"/>
          </v:shape>
          <o:OLEObject Type="Embed" ProgID="Excel.Sheet.12" ShapeID="ole_rId34" DrawAspect="Content" ObjectID="_582221319" r:id="rId34"/>
        </w:object>
      </w:r>
      <w:r>
        <w:rPr>
          <w:b/>
          <w:bCs/>
        </w:rPr>
        <w:t>(Q1 2000 New Hires)</w:t>
      </w:r>
    </w:p>
    <w:p>
      <w:pPr>
        <w:pStyle w:val="Normal"/>
        <w:ind w:start="-360" w:end="-360"/>
        <w:jc w:val="both"/>
        <w:rPr>
          <w:sz w:val="14"/>
        </w:rPr>
      </w:pPr>
      <w:r>
        <w:rPr>
          <w:rFonts w:eastAsia="Tahoma"/>
        </w:rPr>
        <w:t xml:space="preserve">                  </w:t>
      </w:r>
    </w:p>
    <w:p>
      <w:pPr>
        <w:pStyle w:val="Normal"/>
        <w:ind w:start="-360" w:end="-360"/>
        <w:jc w:val="both"/>
        <w:rPr>
          <w:b/>
          <w:bCs/>
          <w:shadow/>
        </w:rPr>
      </w:pPr>
      <w:r>
        <w:rPr/>
        <w:t>Of the 6,223 new hires hired in the year 2000, approximately 4,800 are still active today, a retention rate of 77%.  Of those who received PRC ratings, 3% were rated Superior, 22% rated Excellent and 35% rated Strong at Year-end.</w:t>
      </w:r>
    </w:p>
    <w:p>
      <w:pPr>
        <w:pStyle w:val="Normal"/>
        <w:ind w:start="-360" w:end="-360"/>
        <w:jc w:val="both"/>
        <w:rPr>
          <w:b/>
          <w:bCs/>
          <w:shadow/>
          <w:sz w:val="30"/>
        </w:rPr>
      </w:pPr>
      <w:r>
        <w:rPr>
          <w:b/>
          <w:bCs/>
          <w:shadow/>
          <w:sz w:val="30"/>
        </w:rPr>
      </w:r>
    </w:p>
    <w:p>
      <w:pPr>
        <w:pStyle w:val="Normal"/>
        <w:ind w:start="-360" w:end="-360"/>
        <w:jc w:val="both"/>
        <w:rPr>
          <w:b/>
          <w:bCs/>
          <w:shadow/>
        </w:rPr>
      </w:pPr>
      <w:r>
        <w:rPr>
          <w:b/>
          <w:bCs/>
          <w:shadow/>
        </w:rPr>
        <w:t>Retention of HIPO:</w:t>
      </w:r>
    </w:p>
    <w:p>
      <w:pPr>
        <w:pStyle w:val="Normal"/>
        <w:ind w:start="-360" w:end="-360"/>
        <w:jc w:val="both"/>
        <w:rPr>
          <w:b/>
          <w:bCs/>
          <w:shadow/>
          <w:sz w:val="10"/>
        </w:rPr>
      </w:pPr>
      <w:r>
        <w:rPr>
          <w:b/>
          <w:bCs/>
          <w:shadow/>
          <w:sz w:val="10"/>
        </w:rPr>
      </w:r>
    </w:p>
    <w:p>
      <w:pPr>
        <w:pStyle w:val="Normal"/>
        <w:ind w:start="-360" w:end="-360"/>
        <w:jc w:val="both"/>
        <w:rPr/>
      </w:pPr>
      <w:r>
        <w:rPr/>
        <w:t>Another indication of bench strength is the retention rates for our high performers.  The following chart indicates the percentage of employees rated in the top-two categories (Superior and Excellent) at year-end who are still active employees:</w:t>
      </w:r>
    </w:p>
    <w:p>
      <w:pPr>
        <w:pStyle w:val="Normal"/>
        <w:ind w:start="-360" w:end="-360"/>
        <w:jc w:val="both"/>
        <w:rPr>
          <w:sz w:val="10"/>
        </w:rPr>
      </w:pPr>
      <w:r>
        <w:rPr>
          <w:sz w:val="10"/>
        </w:rPr>
      </w:r>
    </w:p>
    <w:p>
      <w:pPr>
        <w:pStyle w:val="Normal"/>
        <w:ind w:start="-360" w:end="-360"/>
        <w:jc w:val="both"/>
        <w:rPr>
          <w:b/>
          <w:bCs/>
          <w:shadow/>
          <w:sz w:val="14"/>
        </w:rPr>
      </w:pPr>
      <w:r>
        <w:rPr>
          <w:b/>
          <w:bCs/>
          <w:shadow/>
          <w:sz w:val="14"/>
        </w:rPr>
      </w:r>
    </w:p>
    <w:p>
      <w:pPr>
        <w:pStyle w:val="Normal"/>
        <w:ind w:start="-360" w:end="-360"/>
        <w:jc w:val="both"/>
        <w:rPr>
          <w:b/>
          <w:bCs/>
          <w:shadow/>
          <w:sz w:val="14"/>
        </w:rPr>
      </w:pPr>
      <w:r>
        <w:rPr>
          <w:b/>
          <w:bCs/>
          <w:shadow/>
          <w:sz w:val="14"/>
        </w:rPr>
      </w:r>
    </w:p>
    <w:p>
      <w:pPr>
        <w:pStyle w:val="Normal"/>
        <w:ind w:hanging="4275" w:start="4140" w:end="-360"/>
        <w:jc w:val="both"/>
        <w:rPr/>
      </w:pPr>
      <w:bookmarkStart w:id="2" w:name="_1057668876"/>
      <w:bookmarkStart w:id="3" w:name="_1057668847"/>
      <w:bookmarkStart w:id="4" w:name="_1057668832"/>
      <w:bookmarkStart w:id="5" w:name="_1057668673"/>
      <w:bookmarkStart w:id="6" w:name="_1057668650"/>
      <w:bookmarkStart w:id="7" w:name="_1057668607"/>
      <w:bookmarkStart w:id="8" w:name="_1057668463"/>
      <w:bookmarkStart w:id="9" w:name="_1057668443"/>
      <w:bookmarkStart w:id="10" w:name="_1057668419"/>
      <w:bookmarkStart w:id="11" w:name="_1057668218"/>
      <w:bookmarkStart w:id="12" w:name="_1057668203"/>
      <w:bookmarkStart w:id="13" w:name="_1057668178"/>
      <w:bookmarkStart w:id="14" w:name="_1057668145"/>
      <w:bookmarkStart w:id="15" w:name="_1057668071"/>
      <w:bookmarkStart w:id="16" w:name="_1057668008"/>
      <w:bookmarkStart w:id="17" w:name="_1057667987"/>
      <w:bookmarkStart w:id="18" w:name="_1057667970"/>
      <w:bookmarkStart w:id="19" w:name="_1057667685"/>
      <w:bookmarkStart w:id="20" w:name="_105766762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b/>
          <w:bCs/>
          <w:shadow/>
        </w:rPr>
        <w:object w:dxaOrig="8960" w:dyaOrig="4352">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438pt;height:219pt" filled="f" o:ole="">
            <v:imagedata r:id="rId37" o:title=""/>
          </v:shape>
          <o:OLEObject Type="Embed" ProgID="Excel.Sheet.12" ShapeID="ole_rId36" DrawAspect="Content" ObjectID="_822064241" r:id="rId36"/>
        </w:object>
      </w:r>
      <w:r>
        <w:rPr>
          <w:rFonts w:eastAsia="Tahoma"/>
          <w:b/>
          <w:bCs/>
          <w:shadow/>
        </w:rPr>
        <w:t xml:space="preserve">                     </w:t>
      </w:r>
    </w:p>
    <w:p>
      <w:pPr>
        <w:pStyle w:val="Normal"/>
        <w:ind w:hanging="4275" w:start="4140" w:end="-360"/>
        <w:jc w:val="both"/>
        <w:rPr>
          <w:b/>
          <w:bCs/>
          <w:shadow/>
          <w:sz w:val="16"/>
        </w:rPr>
      </w:pPr>
      <w:r>
        <w:rPr>
          <w:b/>
          <w:bCs/>
          <w:shadow/>
          <w:sz w:val="16"/>
        </w:rPr>
      </w:r>
    </w:p>
    <w:p>
      <w:pPr>
        <w:pStyle w:val="Normal"/>
        <w:ind w:hanging="4275" w:start="4140" w:end="-360"/>
        <w:jc w:val="both"/>
        <w:rPr>
          <w:bCs/>
          <w:sz w:val="16"/>
        </w:rPr>
      </w:pPr>
      <w:r>
        <w:rPr>
          <w:bCs/>
          <w:sz w:val="16"/>
        </w:rPr>
        <w:t>* Includes Analyst/Associate, Finance, General Management</w:t>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numPr>
          <w:ilvl w:val="0"/>
          <w:numId w:val="2"/>
        </w:numPr>
        <w:ind w:hanging="720" w:start="360" w:end="-360"/>
        <w:jc w:val="both"/>
        <w:rPr>
          <w:b/>
          <w:bCs/>
          <w:shadow/>
          <w:sz w:val="22"/>
        </w:rPr>
      </w:pPr>
      <w:r>
        <w:rPr>
          <w:b/>
          <w:bCs/>
          <w:shadow/>
          <w:sz w:val="22"/>
        </w:rPr>
        <w:t xml:space="preserve">Recruiting Metrics </w:t>
      </w:r>
    </w:p>
    <w:p>
      <w:pPr>
        <w:pStyle w:val="Normal"/>
        <w:ind w:start="-360" w:end="-360"/>
        <w:jc w:val="both"/>
        <w:rPr>
          <w:b/>
          <w:bCs/>
          <w:shadow/>
          <w:color w:val="003366"/>
          <w:sz w:val="12"/>
        </w:rPr>
      </w:pPr>
      <w:r>
        <w:rPr>
          <w:b/>
          <w:bCs/>
          <w:shadow/>
          <w:color w:val="003366"/>
          <w:sz w:val="12"/>
        </w:rPr>
      </w:r>
    </w:p>
    <w:p>
      <w:pPr>
        <w:pStyle w:val="Normal"/>
        <w:ind w:start="-360" w:end="-360"/>
        <w:jc w:val="both"/>
        <w:rPr/>
      </w:pPr>
      <w:r>
        <w:rPr/>
        <w:t>The following recruiting metrics were reported by the Enron Recruiting Council and cover domestic activity only.</w:t>
      </w:r>
    </w:p>
    <w:p>
      <w:pPr>
        <w:pStyle w:val="Normal"/>
        <w:ind w:start="-360" w:end="-360"/>
        <w:jc w:val="both"/>
        <w:rPr>
          <w:b/>
          <w:bCs/>
          <w:shadow/>
        </w:rPr>
      </w:pPr>
      <w:r>
        <w:rPr>
          <w:b/>
          <w:bCs/>
          <w:shadow/>
        </w:rPr>
      </w:r>
    </w:p>
    <w:p>
      <w:pPr>
        <w:pStyle w:val="Normal"/>
        <w:ind w:start="-360" w:end="-360"/>
        <w:jc w:val="both"/>
        <w:rPr>
          <w:b/>
          <w:bCs/>
          <w:shadow/>
        </w:rPr>
      </w:pPr>
      <w:r>
        <w:rPr>
          <w:b/>
          <w:bCs/>
          <w:shadow/>
        </w:rPr>
        <w:t>Staffing Activity Summary:</w:t>
      </w:r>
    </w:p>
    <w:p>
      <w:pPr>
        <w:pStyle w:val="Normal"/>
        <w:ind w:start="-360" w:end="-360"/>
        <w:jc w:val="both"/>
        <w:rPr>
          <w:b/>
          <w:bCs/>
          <w:shadow/>
          <w:lang w:val="en-CA" w:eastAsia="en-CA"/>
        </w:rPr>
      </w:pPr>
      <w:r>
        <w:rPr>
          <w:b/>
          <w:bCs/>
          <w:shadow/>
          <w:lang w:val="en-CA" w:eastAsia="en-CA"/>
        </w:rPr>
        <w:object w:dxaOrig="9706" w:dyaOrig="3766">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position:absolute;margin-left:-18.75pt;margin-top:10.8pt;width:469.5pt;height:168pt;mso-wrap-distance-left:9.05pt;mso-wrap-distance-right:9.05pt;mso-position-horizontal-relative:text;mso-position-vertical-relative:text" stroked="t" strokecolor="#000000" strokeweight="0pt" filled="t" fillcolor="#FFFFFF" o:ole="">
            <v:stroke linestyle="Single" dashstyle="Solid"/>
            <v:imagedata r:id="rId39" o:title=""/>
            <w10:wrap type="topAndBottom"/>
          </v:shape>
          <o:OLEObject Type="Embed" ProgID="Excel.Sheet.12" ShapeID="ole_rId38" DrawAspect="Content" ObjectID="_1958629511" r:id="rId38"/>
        </w:object>
      </w:r>
    </w:p>
    <w:p>
      <w:pPr>
        <w:pStyle w:val="Normal"/>
        <w:ind w:start="-360" w:end="-360"/>
        <w:jc w:val="both"/>
        <w:rPr/>
      </w:pPr>
      <w:r>
        <w:rPr>
          <w:rFonts w:eastAsia="Tahoma"/>
        </w:rPr>
        <w:t xml:space="preserve">    </w:t>
      </w:r>
      <w:r>
        <w:rPr>
          <w:sz w:val="16"/>
        </w:rPr>
        <w:t>*The major reason given for declined offers is compensation.</w:t>
      </w:r>
    </w:p>
    <w:p>
      <w:pPr>
        <w:pStyle w:val="Normal"/>
        <w:ind w:start="-360" w:end="-360"/>
        <w:jc w:val="both"/>
        <w:rPr>
          <w:b/>
          <w:bCs/>
          <w:shadow/>
          <w:sz w:val="16"/>
        </w:rPr>
      </w:pPr>
      <w:r>
        <w:rPr>
          <w:b/>
          <w:bCs/>
          <w:shadow/>
          <w:sz w:val="16"/>
        </w:rPr>
      </w:r>
    </w:p>
    <w:p>
      <w:pPr>
        <w:pStyle w:val="Normal"/>
        <w:ind w:start="-360" w:end="-360"/>
        <w:jc w:val="both"/>
        <w:rPr>
          <w:b/>
          <w:bCs/>
          <w:shadow/>
        </w:rPr>
      </w:pPr>
      <w:r>
        <w:rPr>
          <w:b/>
          <w:bCs/>
          <w:shadow/>
        </w:rPr>
      </w:r>
    </w:p>
    <w:p>
      <w:pPr>
        <w:pStyle w:val="Normal"/>
        <w:ind w:start="-360" w:end="-360"/>
        <w:jc w:val="both"/>
        <w:rPr>
          <w:b/>
          <w:bCs/>
          <w:shadow/>
        </w:rPr>
      </w:pPr>
      <w:r>
        <w:rPr>
          <w:b/>
          <w:bCs/>
          <w:shadow/>
        </w:rPr>
        <w:t>Analysis of Hiring Sources:</w:t>
      </w:r>
    </w:p>
    <w:p>
      <w:pPr>
        <w:pStyle w:val="Normal"/>
        <w:ind w:start="-360" w:end="-360"/>
        <w:jc w:val="both"/>
        <w:rPr>
          <w:b/>
          <w:bCs/>
          <w:shadow/>
          <w:color w:val="003366"/>
          <w:lang w:val="en-CA" w:eastAsia="en-CA"/>
        </w:rPr>
      </w:pPr>
      <w:r>
        <w:rPr>
          <w:b/>
          <w:bCs/>
          <w:shadow/>
          <w:color w:val="003366"/>
          <w:lang w:val="en-CA" w:eastAsia="en-CA"/>
        </w:rPr>
        <w:drawing>
          <wp:anchor behindDoc="0" distT="0" distB="0" distL="114935" distR="114935" simplePos="0" locked="0" layoutInCell="0" allowOverlap="1" relativeHeight="34">
            <wp:simplePos x="0" y="0"/>
            <wp:positionH relativeFrom="column">
              <wp:posOffset>-238125</wp:posOffset>
            </wp:positionH>
            <wp:positionV relativeFrom="paragraph">
              <wp:posOffset>168275</wp:posOffset>
            </wp:positionV>
            <wp:extent cx="6000750" cy="2084070"/>
            <wp:effectExtent l="0" t="0" r="76200" b="76200"/>
            <wp:wrapTopAndBottom/>
            <wp:docPr id="1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title=""/>
                    <pic:cNvPicPr>
                      <a:picLocks noChangeAspect="1" noChangeArrowheads="1"/>
                    </pic:cNvPicPr>
                  </pic:nvPicPr>
                  <pic:blipFill>
                    <a:blip r:embed="rId40"/>
                    <a:srcRect l="0" t="0" r="8820" b="0"/>
                    <a:stretch>
                      <a:fillRect/>
                    </a:stretch>
                  </pic:blipFill>
                  <pic:spPr bwMode="auto">
                    <a:xfrm>
                      <a:off x="0" y="0"/>
                      <a:ext cx="6076950" cy="2160270"/>
                    </a:xfrm>
                    <a:prstGeom prst="rect">
                      <a:avLst/>
                    </a:prstGeom>
                    <a:noFill/>
                    <a:ln w="9525">
                      <a:solidFill>
                        <a:srgbClr val="000000"/>
                      </a:solidFill>
                    </a:ln>
                    <a:effectLst>
                      <a:outerShdw dist="107315" dir="2700000">
                        <a:srgbClr val="808080"/>
                      </a:outerShdw>
                    </a:effectLst>
                  </pic:spPr>
                </pic:pic>
              </a:graphicData>
            </a:graphic>
          </wp:anchor>
        </w:drawing>
      </w:r>
    </w:p>
    <w:p>
      <w:pPr>
        <w:pStyle w:val="Normal"/>
        <w:ind w:start="-360" w:end="-360"/>
        <w:jc w:val="both"/>
        <w:rPr>
          <w:b/>
          <w:bCs/>
          <w:shadow/>
          <w:color w:val="003366"/>
          <w:lang w:val="en-CA" w:eastAsia="en-CA"/>
        </w:rPr>
      </w:pPr>
      <w:r>
        <w:rPr>
          <w:b/>
          <w:bCs/>
          <w:shadow/>
          <w:color w:val="003366"/>
          <w:lang w:val="en-CA" w:eastAsia="en-CA"/>
        </w:rPr>
      </w:r>
      <w:r>
        <mc:AlternateContent>
          <mc:Choice Requires="wps">
            <w:drawing>
              <wp:anchor behindDoc="0" distT="0" distB="0" distL="114935" distR="114935" simplePos="0" locked="0" layoutInCell="1" allowOverlap="1" relativeHeight="36">
                <wp:simplePos x="0" y="0"/>
                <wp:positionH relativeFrom="column">
                  <wp:posOffset>1714500</wp:posOffset>
                </wp:positionH>
                <wp:positionV relativeFrom="paragraph">
                  <wp:posOffset>1870710</wp:posOffset>
                </wp:positionV>
                <wp:extent cx="1943100" cy="228600"/>
                <wp:effectExtent l="0" t="0" r="0" b="0"/>
                <wp:wrapNone/>
                <wp:docPr id="16" name="Frame3"/>
                <a:graphic xmlns:a="http://schemas.openxmlformats.org/drawingml/2006/main">
                  <a:graphicData uri="http://schemas.microsoft.com/office/word/2010/wordprocessingShape">
                    <wps:wsp>
                      <wps:cNvSpPr txBox="1"/>
                      <wps:spPr>
                        <a:xfrm>
                          <a:off x="0" y="0"/>
                          <a:ext cx="1943100" cy="228600"/>
                        </a:xfrm>
                        <a:prstGeom prst="rect"/>
                        <a:solidFill>
                          <a:srgbClr val="FFFFFF"/>
                        </a:solidFill>
                      </wps:spPr>
                      <wps:txbx>
                        <w:txbxContent>
                          <w:p>
                            <w:pPr>
                              <w:pStyle w:val="Header"/>
                              <w:tabs>
                                <w:tab w:val="clear" w:pos="4320"/>
                                <w:tab w:val="clear" w:pos="8640"/>
                              </w:tabs>
                              <w:rPr>
                                <w:sz w:val="16"/>
                              </w:rPr>
                            </w:pPr>
                            <w:r>
                              <w:rPr>
                                <w:rFonts w:eastAsia="Tahoma"/>
                                <w:sz w:val="16"/>
                              </w:rPr>
                              <w:t xml:space="preserve">         </w:t>
                            </w:r>
                            <w:r>
                              <w:rPr>
                                <w:sz w:val="16"/>
                              </w:rPr>
                              <w:t>(Per Enron Recruiting Council)</w:t>
                            </w:r>
                          </w:p>
                        </w:txbxContent>
                      </wps:txbx>
                      <wps:bodyPr anchor="t" lIns="92075" tIns="46355" rIns="92075" bIns="46355">
                        <a:noAutofit/>
                      </wps:bodyPr>
                    </wps:wsp>
                  </a:graphicData>
                </a:graphic>
              </wp:anchor>
            </w:drawing>
          </mc:Choice>
          <mc:Fallback>
            <w:pict>
              <v:rect fillcolor="#FFFFFF" style="position:absolute;rotation:-0;width:153pt;height:18pt;mso-wrap-distance-left:9.05pt;mso-wrap-distance-right:9.05pt;mso-wrap-distance-top:0pt;mso-wrap-distance-bottom:0pt;margin-top:147.3pt;mso-position-vertical-relative:text;margin-left:135pt;mso-position-horizontal-relative:text">
                <v:textbox inset="0.100694444444444in,0.0506944444444444in,0.100694444444444in,0.0506944444444444in">
                  <w:txbxContent>
                    <w:p>
                      <w:pPr>
                        <w:pStyle w:val="Header"/>
                        <w:tabs>
                          <w:tab w:val="clear" w:pos="4320"/>
                          <w:tab w:val="clear" w:pos="8640"/>
                        </w:tabs>
                        <w:rPr>
                          <w:sz w:val="16"/>
                        </w:rPr>
                      </w:pPr>
                      <w:r>
                        <w:rPr>
                          <w:rFonts w:eastAsia="Tahoma"/>
                          <w:sz w:val="16"/>
                        </w:rPr>
                        <w:t xml:space="preserve">         </w:t>
                      </w:r>
                      <w:r>
                        <w:rPr>
                          <w:sz w:val="16"/>
                        </w:rPr>
                        <w:t>(Per Enron Recruiting Council)</w:t>
                      </w:r>
                    </w:p>
                  </w:txbxContent>
                </v:textbox>
                <w10:wrap type="none"/>
              </v:rect>
            </w:pict>
          </mc:Fallback>
        </mc:AlternateContent>
      </w:r>
    </w:p>
    <w:p>
      <w:pPr>
        <w:pStyle w:val="Normal"/>
        <w:ind w:start="-360" w:end="-360"/>
        <w:jc w:val="both"/>
        <w:rPr>
          <w:b/>
          <w:bCs/>
          <w:shadow/>
        </w:rPr>
      </w:pPr>
      <w:r>
        <w:rPr>
          <w:b/>
          <w:bCs/>
          <w:shadow/>
        </w:rPr>
      </w:r>
    </w:p>
    <w:p>
      <w:pPr>
        <w:pStyle w:val="Normal"/>
        <w:ind w:start="-360" w:end="-360"/>
        <w:jc w:val="both"/>
        <w:rPr>
          <w:b/>
          <w:bCs/>
          <w:shadow/>
        </w:rPr>
      </w:pPr>
      <w:r>
        <w:rPr>
          <w:b/>
          <w:bCs/>
          <w:shadow/>
        </w:rPr>
        <w:t>Recruiting Trends:</w:t>
      </w:r>
    </w:p>
    <w:p>
      <w:pPr>
        <w:pStyle w:val="Normal"/>
        <w:ind w:start="-360" w:end="-360"/>
        <w:jc w:val="both"/>
        <w:rPr>
          <w:b/>
          <w:bCs/>
          <w:shadow/>
          <w:sz w:val="8"/>
        </w:rPr>
      </w:pPr>
      <w:r>
        <w:rPr>
          <w:b/>
          <w:bCs/>
          <w:shadow/>
          <w:sz w:val="8"/>
        </w:rPr>
      </w:r>
    </w:p>
    <w:p>
      <w:pPr>
        <w:pStyle w:val="Normal"/>
        <w:ind w:start="-360" w:end="-360"/>
        <w:jc w:val="both"/>
        <w:rPr/>
      </w:pPr>
      <w:r>
        <w:rPr/>
        <w:t>A Return to the Tried and True -- Only 12% of new college graduates are interested in joining a start-up company, down from 26% in 2000, according to Kiplinger's Personal Finance magazine.</w:t>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r>
    </w:p>
    <w:p>
      <w:pPr>
        <w:pStyle w:val="Normal"/>
        <w:ind w:start="-360" w:end="-360"/>
        <w:jc w:val="both"/>
        <w:rPr>
          <w:b/>
          <w:bCs/>
          <w:shadow/>
          <w:sz w:val="22"/>
        </w:rPr>
      </w:pPr>
      <w:r>
        <w:rPr>
          <w:b/>
          <w:bCs/>
          <w:shadow/>
          <w:sz w:val="22"/>
        </w:rPr>
        <w:t>VII.  Industry Trends</w:t>
      </w:r>
    </w:p>
    <w:p>
      <w:pPr>
        <w:pStyle w:val="Normal"/>
        <w:ind w:start="-360" w:end="-360"/>
        <w:jc w:val="both"/>
        <w:rPr>
          <w:b/>
          <w:bCs/>
          <w:shadow/>
          <w:sz w:val="22"/>
        </w:rPr>
      </w:pPr>
      <w:r>
        <w:rPr>
          <w:b/>
          <w:bCs/>
          <w:shadow/>
          <w:sz w:val="22"/>
        </w:rPr>
      </w:r>
    </w:p>
    <w:p>
      <w:pPr>
        <w:pStyle w:val="Normal"/>
        <w:ind w:start="-360" w:end="-360"/>
        <w:jc w:val="center"/>
        <w:rPr>
          <w:b/>
          <w:bCs/>
          <w:shadow/>
          <w:u w:val="single"/>
        </w:rPr>
      </w:pPr>
      <w:r>
        <w:rPr>
          <w:b/>
          <w:bCs/>
          <w:shadow/>
          <w:u w:val="single"/>
        </w:rPr>
        <w:t>U.S. Labor Statistics</w:t>
      </w:r>
    </w:p>
    <w:p>
      <w:pPr>
        <w:pStyle w:val="Normal"/>
        <w:ind w:start="-360" w:end="-360"/>
        <w:jc w:val="both"/>
        <w:rPr>
          <w:b/>
          <w:bCs/>
          <w:shadow/>
          <w:sz w:val="26"/>
          <w:u w:val="single"/>
          <w:lang w:val="en-CA" w:eastAsia="en-CA"/>
        </w:rPr>
      </w:pPr>
      <w:r>
        <w:rPr>
          <w:b/>
          <w:bCs/>
          <w:shadow/>
          <w:sz w:val="26"/>
          <w:u w:val="single"/>
          <w:lang w:val="en-CA" w:eastAsia="en-CA"/>
        </w:rPr>
        <w:object w:dxaOrig="5130" w:dyaOrig="3747">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position:absolute;margin-left:207pt;margin-top:21.85pt;width:256.5pt;height:187.35pt;mso-wrap-distance-left:9.05pt;mso-wrap-distance-right:9.05pt;mso-position-horizontal-relative:text;mso-position-vertical-relative:text" filled="t" fillcolor="#FFFFFF" o:ole="">
            <v:imagedata r:id="rId42" o:title=""/>
            <w10:wrap type="topAndBottom"/>
          </v:shape>
          <o:OLEObject Type="Embed" ProgID="Word.Document.12" ShapeID="ole_rId41" DrawAspect="Content" ObjectID="_559430578" r:id="rId41"/>
        </w:object>
        <w:object w:dxaOrig="5100" w:dyaOrig="3747">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position:absolute;margin-left:-36pt;margin-top:21.3pt;width:255pt;height:187.35pt;mso-wrap-distance-left:9.05pt;mso-wrap-distance-right:9.05pt;mso-position-horizontal-relative:text;mso-position-vertical-relative:text" filled="t" fillcolor="#FFFFFF" o:ole="">
            <v:imagedata r:id="rId44" o:title=""/>
            <w10:wrap type="topAndBottom"/>
          </v:shape>
          <o:OLEObject Type="Embed" ProgID="Word.Document.12" ShapeID="ole_rId43" DrawAspect="Content" ObjectID="_1612669644" r:id="rId43"/>
        </w:object>
      </w:r>
    </w:p>
    <w:p>
      <w:pPr>
        <w:pStyle w:val="Normal"/>
        <w:ind w:start="-360" w:end="-360"/>
        <w:jc w:val="both"/>
        <w:rPr>
          <w:b/>
          <w:bCs/>
          <w:shadow/>
          <w:sz w:val="10"/>
          <w:u w:val="single"/>
        </w:rPr>
      </w:pPr>
      <w:r>
        <w:rPr>
          <w:b/>
          <w:bCs/>
          <w:shadow/>
          <w:sz w:val="10"/>
          <w:u w:val="single"/>
        </w:rPr>
      </w:r>
    </w:p>
    <w:p>
      <w:pPr>
        <w:pStyle w:val="Normal"/>
        <w:ind w:start="-360" w:end="-360"/>
        <w:jc w:val="center"/>
        <w:rPr>
          <w:b/>
          <w:bCs/>
          <w:shadow/>
          <w:sz w:val="10"/>
          <w:u w:val="single"/>
        </w:rPr>
      </w:pPr>
      <w:r>
        <w:rPr>
          <w:b/>
          <w:bCs/>
          <w:shadow/>
          <w:sz w:val="10"/>
          <w:u w:val="single"/>
        </w:rPr>
      </w:r>
    </w:p>
    <w:p>
      <w:pPr>
        <w:pStyle w:val="Normal"/>
        <w:ind w:start="-360" w:end="-360"/>
        <w:jc w:val="center"/>
        <w:rPr>
          <w:b/>
          <w:bCs/>
          <w:shadow/>
          <w:sz w:val="10"/>
          <w:u w:val="single"/>
        </w:rPr>
      </w:pPr>
      <w:r>
        <w:rPr>
          <w:b/>
          <w:bCs/>
          <w:shadow/>
          <w:sz w:val="10"/>
          <w:u w:val="single"/>
        </w:rPr>
      </w:r>
    </w:p>
    <w:p>
      <w:pPr>
        <w:pStyle w:val="Normal"/>
        <w:ind w:start="-360" w:end="-360"/>
        <w:jc w:val="center"/>
        <w:rPr>
          <w:b/>
          <w:bCs/>
          <w:shadow/>
          <w:u w:val="single"/>
        </w:rPr>
      </w:pPr>
      <w:r>
        <w:rPr>
          <w:b/>
          <w:bCs/>
          <w:shadow/>
          <w:u w:val="single"/>
        </w:rPr>
        <w:t>Houston Workforce Statistics</w:t>
      </w:r>
    </w:p>
    <w:p>
      <w:pPr>
        <w:pStyle w:val="Normal"/>
        <w:ind w:start="-360" w:end="-360"/>
        <w:jc w:val="center"/>
        <w:rPr>
          <w:b/>
          <w:bCs/>
          <w:shadow/>
          <w:sz w:val="14"/>
          <w:u w:val="single"/>
        </w:rPr>
      </w:pPr>
      <w:r>
        <w:rPr>
          <w:b/>
          <w:bCs/>
          <w:shadow/>
          <w:sz w:val="14"/>
          <w:u w:val="single"/>
        </w:rPr>
      </w:r>
    </w:p>
    <w:p>
      <w:pPr>
        <w:pStyle w:val="Normal"/>
        <w:ind w:start="-360" w:end="-360"/>
        <w:jc w:val="both"/>
        <w:rPr/>
      </w:pPr>
      <w:r>
        <w:rPr/>
        <w:t xml:space="preserve">Houston's economy continues to show signs of slowing down.  For June, Houston's unemployment rate jumped to 4.9 percent from May's 3.9 percent.  The most recent job growth report from the Texas Workforce Commission indicates that Houston added 51,200 jobs in the past 12 months for a 2.4 percent rate of growth.  That's the same year-over-year rate of growth as a month earlier.  However, the job growth may be inflated because last year's data included 6,000 temporary Census Bureau workers. </w:t>
      </w:r>
    </w:p>
    <w:p>
      <w:pPr>
        <w:pStyle w:val="Normal"/>
        <w:ind w:start="-360" w:end="-360"/>
        <w:jc w:val="both"/>
        <w:rPr>
          <w:sz w:val="10"/>
        </w:rPr>
      </w:pPr>
      <w:r>
        <w:rPr>
          <w:sz w:val="10"/>
        </w:rPr>
      </w:r>
    </w:p>
    <w:p>
      <w:pPr>
        <w:pStyle w:val="Normal"/>
        <w:ind w:start="-360" w:end="-360"/>
        <w:jc w:val="both"/>
        <w:rPr/>
      </w:pPr>
      <w:r>
        <w:rPr/>
        <w:t xml:space="preserve">Though the overall economy appears to be slowing down, some sectors are gaining ground, according to the June report.  The local energy sector continued to add workers, gaining 1,400 in the last month. </w:t>
      </w:r>
    </w:p>
    <w:p>
      <w:pPr>
        <w:pStyle w:val="Normal"/>
        <w:ind w:start="-360" w:end="-360"/>
        <w:jc w:val="both"/>
        <w:rPr/>
      </w:pPr>
      <w:r>
        <w:rPr/>
      </w:r>
    </w:p>
    <w:p>
      <w:pPr>
        <w:pStyle w:val="Normal"/>
        <w:ind w:start="-360" w:end="0"/>
        <w:jc w:val="both"/>
        <w:rPr>
          <w:sz w:val="8"/>
          <w:lang w:val="en-CA" w:eastAsia="en-CA"/>
        </w:rPr>
      </w:pPr>
      <w:r>
        <w:rPr>
          <w:sz w:val="8"/>
          <w:lang w:val="en-CA" w:eastAsia="en-CA"/>
        </w:rPr>
      </w:r>
    </w:p>
    <w:p>
      <w:pPr>
        <w:pStyle w:val="Normal"/>
        <w:ind w:start="-360" w:end="0"/>
        <w:jc w:val="center"/>
        <w:rPr>
          <w:b/>
          <w:bCs/>
          <w:shadow/>
          <w:u w:val="single"/>
        </w:rPr>
      </w:pPr>
      <w:r>
        <w:rPr>
          <w:b/>
          <w:bCs/>
          <w:shadow/>
          <w:u w:val="single"/>
        </w:rPr>
        <w:t>Performance Management</w:t>
      </w:r>
    </w:p>
    <w:p>
      <w:pPr>
        <w:pStyle w:val="Normal"/>
        <w:ind w:start="-360" w:end="0"/>
        <w:jc w:val="center"/>
        <w:rPr>
          <w:b/>
          <w:bCs/>
          <w:shadow/>
          <w:sz w:val="14"/>
          <w:u w:val="single"/>
        </w:rPr>
      </w:pPr>
      <w:r>
        <w:rPr>
          <w:b/>
          <w:bCs/>
          <w:shadow/>
          <w:sz w:val="14"/>
          <w:u w:val="single"/>
        </w:rPr>
      </w:r>
    </w:p>
    <w:p>
      <w:pPr>
        <w:pStyle w:val="Normal"/>
        <w:ind w:start="-360" w:end="-360"/>
        <w:jc w:val="both"/>
        <w:rPr/>
      </w:pPr>
      <w:r>
        <w:rPr/>
        <w:t>Ford said it will abandon major elements of its "Performance Management Process," including the practice of assigning a fixed percentage of managers every year to a "C" category that meant no bonus, no merit raise and potentially no job.</w:t>
      </w:r>
    </w:p>
    <w:p>
      <w:pPr>
        <w:pStyle w:val="Normal"/>
        <w:ind w:start="-360" w:end="-360"/>
        <w:jc w:val="both"/>
        <w:rPr>
          <w:sz w:val="6"/>
        </w:rPr>
      </w:pPr>
      <w:r>
        <w:rPr>
          <w:sz w:val="6"/>
        </w:rPr>
      </w:r>
    </w:p>
    <w:p>
      <w:pPr>
        <w:pStyle w:val="Normal"/>
        <w:ind w:start="-360" w:end="-360"/>
        <w:jc w:val="both"/>
        <w:rPr/>
      </w:pPr>
      <w:r>
        <w:rPr/>
        <w:t>People close to the company's chairman, William Clay Ford Jr., say he has expressed concern about the system's impact on morale.</w:t>
      </w:r>
    </w:p>
    <w:p>
      <w:pPr>
        <w:pStyle w:val="Normal"/>
        <w:ind w:start="-360" w:end="-360"/>
        <w:jc w:val="both"/>
        <w:rPr>
          <w:sz w:val="6"/>
        </w:rPr>
      </w:pPr>
      <w:r>
        <w:rPr>
          <w:sz w:val="6"/>
        </w:rPr>
      </w:r>
    </w:p>
    <w:p>
      <w:pPr>
        <w:pStyle w:val="Normal"/>
        <w:ind w:start="-360" w:end="-360"/>
        <w:jc w:val="both"/>
        <w:rPr/>
      </w:pPr>
      <w:r>
        <w:rPr/>
        <w:t>Attorneys for Ford workers who are suing the company maintain that a disproportionate number of older workers have received C's. A second suit charges that the system has also been used to promote women and minorities at the expense of older white male workers.</w:t>
      </w:r>
    </w:p>
    <w:p>
      <w:pPr>
        <w:pStyle w:val="Normal"/>
        <w:ind w:start="-360" w:end="-360"/>
        <w:jc w:val="both"/>
        <w:rPr>
          <w:sz w:val="6"/>
        </w:rPr>
      </w:pPr>
      <w:r>
        <w:rPr>
          <w:sz w:val="6"/>
        </w:rPr>
      </w:r>
    </w:p>
    <w:p>
      <w:pPr>
        <w:pStyle w:val="Normal"/>
        <w:ind w:start="-360" w:end="-360"/>
        <w:jc w:val="both"/>
        <w:rPr/>
      </w:pPr>
      <w:r>
        <w:rPr/>
        <w:t xml:space="preserve">Experts said Ford’s decision to retreat from the quotas and letter grades is likely to lead other companies to reexamine their own employee-appraisal systems. </w:t>
      </w:r>
    </w:p>
    <w:p>
      <w:pPr>
        <w:pStyle w:val="Normal"/>
        <w:ind w:start="-360" w:end="-360"/>
        <w:jc w:val="both"/>
        <w:rPr>
          <w:sz w:val="6"/>
        </w:rPr>
      </w:pPr>
      <w:r>
        <w:rPr>
          <w:sz w:val="6"/>
        </w:rPr>
      </w:r>
    </w:p>
    <w:p>
      <w:pPr>
        <w:pStyle w:val="Normal"/>
        <w:ind w:start="-360" w:end="-360"/>
        <w:jc w:val="both"/>
        <w:rPr/>
      </w:pPr>
      <w:r>
        <w:rPr/>
        <w:t>Ford will stop designating a certain fixed percentage of employees as "C" or unsatisfactory performers who can be demoted or terminated if they receive the rating two years straight.  Further, the A-B-C letter grades will be replaced by the designations "Top Achiever," "Achiever" and "Improvement Required." Workers ranked "Improvement Required" will "receive coaching and counseling to enhance their performance."  They may also get raises.</w:t>
      </w:r>
    </w:p>
    <w:p>
      <w:pPr>
        <w:pStyle w:val="Normal"/>
        <w:ind w:start="-360" w:end="-360"/>
        <w:jc w:val="both"/>
        <w:rPr>
          <w:sz w:val="6"/>
        </w:rPr>
      </w:pPr>
      <w:r>
        <w:rPr>
          <w:sz w:val="6"/>
        </w:rPr>
      </w:r>
    </w:p>
    <w:p>
      <w:pPr>
        <w:pStyle w:val="Normal"/>
        <w:ind w:start="-360" w:end="-360"/>
        <w:jc w:val="both"/>
        <w:rPr/>
      </w:pPr>
      <w:r>
        <w:rPr/>
        <w:t>Even GE revised its rating system after it realized its impact on morale. Originally GE ranked employees on a one to five scale, but then it found that nearly everyone except the top 10% felt demoralized. It streamlined its ratings to three grades, assigning 70%, or the vast majority, the middle grade and rewarding some of them with stock options.</w:t>
      </w:r>
    </w:p>
    <w:p>
      <w:pPr>
        <w:pStyle w:val="Normal"/>
        <w:ind w:start="-360" w:end="-360"/>
        <w:jc w:val="both"/>
        <w:rPr/>
      </w:pPr>
      <w:r>
        <w:rPr/>
      </w:r>
    </w:p>
    <w:p>
      <w:pPr>
        <w:pStyle w:val="Normal"/>
        <w:ind w:start="-360" w:end="-180"/>
        <w:jc w:val="center"/>
        <w:rPr>
          <w:b/>
          <w:bCs/>
          <w:shadow/>
          <w:u w:val="single"/>
        </w:rPr>
      </w:pPr>
      <w:r>
        <w:rPr>
          <w:b/>
          <w:bCs/>
          <w:shadow/>
          <w:u w:val="single"/>
        </w:rPr>
      </w:r>
    </w:p>
    <w:p>
      <w:pPr>
        <w:pStyle w:val="Normal"/>
        <w:ind w:start="-360" w:end="-180"/>
        <w:jc w:val="center"/>
        <w:rPr>
          <w:b/>
          <w:bCs/>
          <w:shadow/>
          <w:u w:val="single"/>
        </w:rPr>
      </w:pPr>
      <w:r>
        <w:rPr>
          <w:b/>
          <w:bCs/>
          <w:shadow/>
          <w:u w:val="single"/>
        </w:rPr>
      </w:r>
    </w:p>
    <w:p>
      <w:pPr>
        <w:pStyle w:val="Normal"/>
        <w:ind w:start="-360" w:end="-180"/>
        <w:jc w:val="center"/>
        <w:rPr>
          <w:b/>
          <w:bCs/>
          <w:shadow/>
          <w:u w:val="single"/>
        </w:rPr>
      </w:pPr>
      <w:r>
        <w:rPr>
          <w:b/>
          <w:bCs/>
          <w:shadow/>
          <w:u w:val="single"/>
        </w:rPr>
        <w:t>Health Care Costs</w:t>
      </w:r>
    </w:p>
    <w:p>
      <w:pPr>
        <w:pStyle w:val="Normal"/>
        <w:ind w:start="-360" w:end="-180"/>
        <w:jc w:val="center"/>
        <w:rPr>
          <w:b/>
          <w:bCs/>
          <w:shadow/>
          <w:sz w:val="14"/>
          <w:u w:val="single"/>
        </w:rPr>
      </w:pPr>
      <w:r>
        <w:rPr>
          <w:b/>
          <w:bCs/>
          <w:shadow/>
          <w:sz w:val="14"/>
          <w:u w:val="single"/>
        </w:rPr>
      </w:r>
    </w:p>
    <w:p>
      <w:pPr>
        <w:pStyle w:val="BlockText"/>
        <w:rPr/>
      </w:pPr>
      <w:r>
        <w:rPr/>
        <w:t xml:space="preserve">Houston-area employers have been hit with double-digit increases in health-care costs for the second consecutive year, and many companies appear inclined to raise their employees' contributions to the premiums to cover rising costs. </w:t>
      </w:r>
    </w:p>
    <w:p>
      <w:pPr>
        <w:pStyle w:val="Normal"/>
        <w:ind w:start="-360" w:end="-180"/>
        <w:jc w:val="both"/>
        <w:rPr>
          <w:sz w:val="6"/>
        </w:rPr>
      </w:pPr>
      <w:r>
        <w:rPr>
          <w:sz w:val="6"/>
        </w:rPr>
      </w:r>
    </w:p>
    <w:p>
      <w:pPr>
        <w:pStyle w:val="Normal"/>
        <w:ind w:start="-360" w:end="-180"/>
        <w:jc w:val="both"/>
        <w:rPr/>
      </w:pPr>
      <w:r>
        <w:rPr/>
        <w:t xml:space="preserve">A smaller number of employers, however, are evaluating decreased benefits to mitigate the higher costs. That's generally not a good option because it hurts efforts to attract and retain workers. </w:t>
      </w:r>
    </w:p>
    <w:p>
      <w:pPr>
        <w:pStyle w:val="Normal"/>
        <w:ind w:start="-360" w:end="-180"/>
        <w:jc w:val="both"/>
        <w:rPr>
          <w:sz w:val="6"/>
        </w:rPr>
      </w:pPr>
      <w:r>
        <w:rPr>
          <w:sz w:val="6"/>
        </w:rPr>
      </w:r>
    </w:p>
    <w:p>
      <w:pPr>
        <w:pStyle w:val="Normal"/>
        <w:ind w:start="-360" w:end="-180"/>
        <w:jc w:val="both"/>
        <w:rPr/>
      </w:pPr>
      <w:r>
        <w:rPr/>
        <w:t xml:space="preserve">Average overall health-care costs shot up 12.8 percent this year over last year for all types of health plans. That's more than the 11.8 percent increase last year and the highest in the survey's six-year history. </w:t>
      </w:r>
    </w:p>
    <w:p>
      <w:pPr>
        <w:pStyle w:val="Normal"/>
        <w:ind w:start="-360" w:end="-180"/>
        <w:jc w:val="both"/>
        <w:rPr>
          <w:sz w:val="6"/>
        </w:rPr>
      </w:pPr>
      <w:r>
        <w:rPr>
          <w:sz w:val="6"/>
        </w:rPr>
      </w:r>
    </w:p>
    <w:p>
      <w:pPr>
        <w:pStyle w:val="BlockText"/>
        <w:rPr/>
      </w:pPr>
      <w:r>
        <w:drawing>
          <wp:anchor behindDoc="0" distT="0" distB="0" distL="114935" distR="114935" simplePos="0" locked="0" layoutInCell="0" allowOverlap="1" relativeHeight="38">
            <wp:simplePos x="0" y="0"/>
            <wp:positionH relativeFrom="column">
              <wp:posOffset>-228600</wp:posOffset>
            </wp:positionH>
            <wp:positionV relativeFrom="paragraph">
              <wp:posOffset>403860</wp:posOffset>
            </wp:positionV>
            <wp:extent cx="5943600" cy="3147695"/>
            <wp:effectExtent l="0" t="0" r="0" b="0"/>
            <wp:wrapTopAndBottom/>
            <wp:docPr id="17"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descr="" title=""/>
                    <pic:cNvPicPr>
                      <a:picLocks noChangeAspect="1" noChangeArrowheads="1"/>
                    </pic:cNvPicPr>
                  </pic:nvPicPr>
                  <pic:blipFill>
                    <a:blip r:embed="rId45"/>
                    <a:srcRect l="-5" t="-8" r="-5" b="-8"/>
                    <a:stretch>
                      <a:fillRect/>
                    </a:stretch>
                  </pic:blipFill>
                  <pic:spPr bwMode="auto">
                    <a:xfrm>
                      <a:off x="0" y="0"/>
                      <a:ext cx="5943600" cy="3147695"/>
                    </a:xfrm>
                    <a:prstGeom prst="rect">
                      <a:avLst/>
                    </a:prstGeom>
                    <a:noFill/>
                  </pic:spPr>
                </pic:pic>
              </a:graphicData>
            </a:graphic>
          </wp:anchor>
        </w:drawing>
        <mc:AlternateContent>
          <mc:Choice Requires="wps">
            <w:drawing>
              <wp:anchor behindDoc="0" distT="0" distB="0" distL="114935" distR="114935" simplePos="0" locked="0" layoutInCell="1" allowOverlap="1" relativeHeight="39">
                <wp:simplePos x="0" y="0"/>
                <wp:positionH relativeFrom="column">
                  <wp:posOffset>3200400</wp:posOffset>
                </wp:positionH>
                <wp:positionV relativeFrom="paragraph">
                  <wp:posOffset>209550</wp:posOffset>
                </wp:positionV>
                <wp:extent cx="228600" cy="457200"/>
                <wp:effectExtent l="6350" t="5080" r="5715" b="3810"/>
                <wp:wrapNone/>
                <wp:docPr id="18" name=""/>
                <a:graphic xmlns:a="http://schemas.openxmlformats.org/drawingml/2006/main">
                  <a:graphicData uri="http://schemas.microsoft.com/office/word/2010/wordprocessingShape">
                    <wps:wsp>
                      <wps:cNvSpPr/>
                      <wps:spPr>
                        <a:xfrm>
                          <a:off x="0" y="0"/>
                          <a:ext cx="228600" cy="457200"/>
                        </a:xfrm>
                        <a:custGeom>
                          <a:avLst/>
                          <a:gdLst>
                            <a:gd name="textAreaLeft" fmla="*/ 17280 w 129600"/>
                            <a:gd name="textAreaRight" fmla="*/ 112320 w 129600"/>
                            <a:gd name="textAreaTop" fmla="*/ 45360 h 259200"/>
                            <a:gd name="textAreaBottom" fmla="*/ 187920 h 259200"/>
                            <a:gd name="GluePoint1X" fmla="*/ 0 w 21600"/>
                            <a:gd name="GluePoint1Y" fmla="*/ 15 h 21600"/>
                            <a:gd name="GluePoint2X" fmla="*/ 2 w 21600"/>
                            <a:gd name="GluePoint2Y" fmla="*/ 11 h 21600"/>
                            <a:gd name="GluePoint3X" fmla="*/ 0 w 21600"/>
                            <a:gd name="GluePoint3Y" fmla="*/ 8 h 21600"/>
                            <a:gd name="GluePoint4X" fmla="*/ 2 w 21600"/>
                            <a:gd name="GluePoint4Y" fmla="*/ 13 h 21600"/>
                            <a:gd name="GluePoint5X" fmla="*/ 21 w 21600"/>
                            <a:gd name="GluePoint5Y" fmla="*/ 16 h 21600"/>
                          </a:gdLst>
                          <a:ahLst/>
                          <a:cxnLst>
                            <a:cxn ang="0">
                              <a:pos x="GluePoint1X" y="GluePoint1Y"/>
                            </a:cxn>
                            <a:cxn ang="0">
                              <a:pos x="GluePoint2X" y="GluePoint2Y"/>
                            </a:cxn>
                            <a:cxn ang="0">
                              <a:pos x="GluePoint3X" y="GluePoint3Y"/>
                            </a:cxn>
                            <a:cxn ang="0">
                              <a:pos x="GluePoint4X" y="GluePoint4Y"/>
                            </a:cxn>
                            <a:cxn ang="0">
                              <a:pos x="GluePoint5X" y="GluePoint5Y"/>
                            </a:cxn>
                          </a:cxnLst>
                          <a:rect l="textAreaLeft" t="textAreaTop" r="textAreaRight" b="textAreaBottom"/>
                          <a:pathLst>
                            <a:path w="21600" h="21600">
                              <a:moveTo>
                                <a:pt x="0" y="0"/>
                              </a:moveTo>
                              <a:arcTo wR="21600" hR="7560" stAng="-5400000" swAng="5400000"/>
                              <a:lnTo>
                                <a:pt x="21600" y="11880"/>
                              </a:lnTo>
                              <a:arcTo wR="21600" hR="7560" stAng="0" swAng="2682637"/>
                              <a:lnTo>
                                <a:pt x="7200" y="21168"/>
                              </a:lnTo>
                              <a:lnTo>
                                <a:pt x="0" y="17280"/>
                              </a:lnTo>
                              <a:lnTo>
                                <a:pt x="7200" y="12528"/>
                              </a:lnTo>
                              <a:lnTo>
                                <a:pt x="7200" y="14688"/>
                              </a:lnTo>
                              <a:arcTo wR="21600" hR="7560" stAng="2682637" swAng="-2325203"/>
                              <a:lnTo>
                                <a:pt x="20700" y="9720"/>
                              </a:lnTo>
                              <a:arcTo wR="21600" hR="7560" stAng="-357435" swAng="-5042565"/>
                              <a:close/>
                            </a:path>
                            <a:path fill="darkenLess" w="21600" h="21600">
                              <a:moveTo>
                                <a:pt x="0" y="0"/>
                              </a:moveTo>
                              <a:arcTo wR="21600" hR="7560" stAng="-5400000" swAng="5400000"/>
                              <a:lnTo>
                                <a:pt x="21600" y="11880"/>
                              </a:lnTo>
                              <a:arcTo wR="21600" hR="7560" stAng="0" swAng="-357435"/>
                              <a:lnTo>
                                <a:pt x="20700" y="9720"/>
                              </a:lnTo>
                              <a:arcTo wR="21600" hR="7560" stAng="-357435" swAng="-5042565"/>
                              <a:close/>
                            </a:path>
                          </a:pathLst>
                        </a:custGeom>
                        <a:solidFill>
                          <a:srgbClr val="0000ff"/>
                        </a:solidFill>
                        <a:ln w="9360">
                          <a:solidFill>
                            <a:srgbClr val="3366ff"/>
                          </a:solidFill>
                          <a:miter/>
                        </a:ln>
                      </wps:spPr>
                      <wps:style>
                        <a:lnRef idx="0"/>
                        <a:fillRef idx="0"/>
                        <a:effectRef idx="0"/>
                        <a:fontRef idx="minor"/>
                      </wps:style>
                      <wps:bodyPr/>
                    </wps:wsp>
                  </a:graphicData>
                </a:graphic>
              </wp:anchor>
            </w:drawing>
          </mc:Choice>
          <mc:Fallback>
            <w:pict>
              <v:rect id="shape_0" fillcolor="blue" stroked="t" o:allowincell="f" style="position:absolute;margin-left:252pt;margin-top:16.5pt;width:17.95pt;height:35.95pt;mso-wrap-style:none;v-text-anchor:middle">
                <v:fill o:detectmouseclick="t" type="solid" color2="yellow"/>
                <v:stroke color="#3366ff" weight="9360" joinstyle="miter" endcap="flat"/>
                <w10:wrap type="none"/>
              </v:rect>
            </w:pict>
          </mc:Fallback>
        </mc:AlternateContent>
      </w:r>
      <w:r>
        <w:rPr/>
        <w:t>The 2001 Healthcare Trend &amp; Cost Survey was conducted by Employee Benefit Solutions, a local consulting firm, and the Houston Business Group on Health.</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u w:val="single"/>
        </w:rPr>
      </w:pPr>
      <w:r>
        <w:rPr>
          <w:b/>
          <w:bCs/>
          <w:shadow/>
          <w:u w:val="single"/>
        </w:rPr>
        <w:t>Benefits Rising Cost Outpaces Compensation Increase</w:t>
      </w:r>
    </w:p>
    <w:p>
      <w:pPr>
        <w:pStyle w:val="Normal"/>
        <w:ind w:start="-360" w:end="-360"/>
        <w:jc w:val="center"/>
        <w:rPr>
          <w:b/>
          <w:bCs/>
          <w:shadow/>
          <w:sz w:val="14"/>
          <w:u w:val="single"/>
        </w:rPr>
      </w:pPr>
      <w:r>
        <w:rPr>
          <w:b/>
          <w:bCs/>
          <w:shadow/>
          <w:sz w:val="14"/>
          <w:u w:val="single"/>
        </w:rPr>
      </w:r>
    </w:p>
    <w:p>
      <w:pPr>
        <w:pStyle w:val="Normal"/>
        <w:ind w:start="-360" w:end="-360"/>
        <w:jc w:val="both"/>
        <w:rPr/>
      </w:pPr>
      <w:r>
        <w:rPr/>
        <w:t>Benefit costs now represent 27% of the total compensation costs paid by private industry employers, according to figures released by the Bureau of Labor Statistics (BLS).</w:t>
      </w:r>
    </w:p>
    <w:p>
      <w:pPr>
        <w:pStyle w:val="Normal"/>
        <w:ind w:start="-360" w:end="-360"/>
        <w:jc w:val="both"/>
        <w:rPr>
          <w:sz w:val="10"/>
        </w:rPr>
      </w:pPr>
      <w:r>
        <w:rPr>
          <w:sz w:val="10"/>
        </w:rPr>
      </w:r>
    </w:p>
    <w:p>
      <w:pPr>
        <w:pStyle w:val="Normal"/>
        <w:ind w:start="-360" w:end="-360"/>
        <w:jc w:val="both"/>
        <w:rPr/>
      </w:pPr>
      <w:r>
        <w:rPr/>
        <w:t>Average total compensation increased 4.8% to $20.81 per hour from March 2000 to March 2001, while benefit costs outpaced wage increases and now average $5.63 per hour, the BLS found.</w:t>
      </w:r>
    </w:p>
    <w:p>
      <w:pPr>
        <w:pStyle w:val="Normal"/>
        <w:ind w:start="-360" w:end="-360"/>
        <w:jc w:val="both"/>
        <w:rPr>
          <w:sz w:val="10"/>
        </w:rPr>
      </w:pPr>
      <w:r>
        <w:rPr>
          <w:sz w:val="10"/>
        </w:rPr>
      </w:r>
    </w:p>
    <w:p>
      <w:pPr>
        <w:pStyle w:val="Normal"/>
        <w:ind w:start="-360" w:end="-360"/>
        <w:jc w:val="both"/>
        <w:rPr/>
      </w:pPr>
      <w:r>
        <w:rPr/>
        <w:t>When compensation figures for state and local government workers are added, the figure increases to $22.15 per hour, with wages and salaries accounting for 73% of total costs.</w:t>
      </w:r>
    </w:p>
    <w:p>
      <w:pPr>
        <w:pStyle w:val="Normal"/>
        <w:ind w:start="-360" w:end="-360"/>
        <w:jc w:val="both"/>
        <w:rPr>
          <w:sz w:val="10"/>
        </w:rPr>
      </w:pPr>
      <w:r>
        <w:rPr>
          <w:sz w:val="10"/>
        </w:rPr>
      </w:r>
    </w:p>
    <w:p>
      <w:pPr>
        <w:pStyle w:val="Normal"/>
        <w:ind w:start="-360" w:end="-360"/>
        <w:jc w:val="both"/>
        <w:rPr/>
      </w:pPr>
      <w:r>
        <w:rPr/>
        <w:t>Average health benefits costs in private industry were found to be $1.16 per hour, or 5.6% of total compensation. The costs varied across region – from $1.05 per hour in the South to $1.37 in the Northeast – and occupation, where health benefits accounted for 6.9% of total compensation for blue collar workers versus 5.1% for white collar workers.</w:t>
      </w:r>
    </w:p>
    <w:p>
      <w:pPr>
        <w:pStyle w:val="Normal"/>
        <w:ind w:start="-360" w:end="-360"/>
        <w:jc w:val="both"/>
        <w:rPr>
          <w:sz w:val="10"/>
        </w:rPr>
      </w:pPr>
      <w:r>
        <w:rPr>
          <w:sz w:val="10"/>
        </w:rPr>
      </w:r>
    </w:p>
    <w:p>
      <w:pPr>
        <w:pStyle w:val="Normal"/>
        <w:ind w:start="-360" w:end="-360"/>
        <w:jc w:val="both"/>
        <w:rPr/>
      </w:pPr>
      <w:r>
        <w:rPr/>
        <w:t>The average cost for retirement and savings benefits in private industry was 62 cents per hour, or 3% of total compensation, according to BLS employment cost index data.</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rPr/>
      </w:pPr>
      <w:r>
        <w:rPr>
          <w:rFonts w:eastAsia="Tahoma"/>
          <w:b/>
          <w:bCs/>
          <w:shadow/>
          <w:sz w:val="24"/>
        </w:rPr>
        <w:t xml:space="preserve">                                                        </w:t>
      </w:r>
      <w:r>
        <w:rPr>
          <w:b/>
          <w:bCs/>
          <w:shadow/>
        </w:rPr>
        <w:t>Attachment 1</w:t>
      </w:r>
    </w:p>
    <w:p>
      <w:pPr>
        <w:pStyle w:val="Normal"/>
        <w:ind w:start="-360" w:end="-360"/>
        <w:jc w:val="center"/>
        <w:rPr>
          <w:b/>
          <w:bCs/>
          <w:shadow/>
        </w:rPr>
      </w:pPr>
      <w:r>
        <w:rPr>
          <w:b/>
          <w:bCs/>
          <w:shadow/>
        </w:rPr>
      </w:r>
    </w:p>
    <w:p>
      <w:pPr>
        <w:pStyle w:val="Normal"/>
        <w:ind w:start="-360" w:end="-360"/>
        <w:jc w:val="center"/>
        <w:rPr>
          <w:b/>
          <w:bCs/>
          <w:shadow/>
        </w:rPr>
      </w:pPr>
      <w:r>
        <w:rPr>
          <w:b/>
          <w:bCs/>
          <w:shadow/>
        </w:rPr>
      </w:r>
    </w:p>
    <w:p>
      <w:pPr>
        <w:pStyle w:val="Normal"/>
        <w:ind w:start="-360" w:end="-360"/>
        <w:jc w:val="center"/>
        <w:rPr>
          <w:b/>
          <w:bCs/>
          <w:shadow/>
        </w:rPr>
      </w:pPr>
      <w:r>
        <w:rPr>
          <w:b/>
          <w:bCs/>
          <w:shadow/>
        </w:rPr>
        <w:t>Commercial Separations</w:t>
      </w:r>
    </w:p>
    <w:p>
      <w:pPr>
        <w:pStyle w:val="Normal"/>
        <w:ind w:start="-360" w:end="-360"/>
        <w:jc w:val="center"/>
        <w:rPr>
          <w:b/>
          <w:bCs/>
          <w:shadow/>
          <w:sz w:val="6"/>
        </w:rPr>
      </w:pPr>
      <w:r>
        <w:rPr>
          <w:b/>
          <w:bCs/>
          <w:shadow/>
          <w:sz w:val="6"/>
        </w:rPr>
      </w:r>
    </w:p>
    <w:p>
      <w:pPr>
        <w:pStyle w:val="Normal"/>
        <w:ind w:start="-360" w:end="-360"/>
        <w:jc w:val="center"/>
        <w:rPr>
          <w:b/>
          <w:bCs/>
          <w:shadow/>
        </w:rPr>
      </w:pPr>
      <w:r>
        <w:rPr>
          <w:b/>
          <w:bCs/>
          <w:shadow/>
        </w:rPr>
        <w:t xml:space="preserve">by </w:t>
      </w:r>
    </w:p>
    <w:p>
      <w:pPr>
        <w:pStyle w:val="Normal"/>
        <w:ind w:start="-360" w:end="-360"/>
        <w:jc w:val="center"/>
        <w:rPr>
          <w:b/>
          <w:bCs/>
          <w:shadow/>
          <w:sz w:val="6"/>
        </w:rPr>
      </w:pPr>
      <w:r>
        <w:rPr>
          <w:b/>
          <w:bCs/>
          <w:shadow/>
          <w:sz w:val="6"/>
        </w:rPr>
      </w:r>
    </w:p>
    <w:p>
      <w:pPr>
        <w:pStyle w:val="Normal"/>
        <w:ind w:start="-360" w:end="-360"/>
        <w:jc w:val="center"/>
        <w:rPr>
          <w:b/>
          <w:bCs/>
          <w:shadow/>
        </w:rPr>
      </w:pPr>
      <w:r>
        <w:rPr>
          <w:b/>
          <w:bCs/>
          <w:shadow/>
        </w:rPr>
        <w:t xml:space="preserve">Job Function </w:t>
      </w:r>
    </w:p>
    <w:p>
      <w:pPr>
        <w:pStyle w:val="Normal"/>
        <w:ind w:start="-360" w:end="-360"/>
        <w:jc w:val="center"/>
        <w:rPr>
          <w:b/>
          <w:bCs/>
          <w:shadow/>
        </w:rPr>
      </w:pPr>
      <w:r>
        <w:rPr>
          <w:b/>
          <w:bCs/>
          <w:shadow/>
        </w:rPr>
        <w:t>&amp;</w:t>
      </w:r>
    </w:p>
    <w:p>
      <w:pPr>
        <w:pStyle w:val="Normal"/>
        <w:ind w:start="-360" w:end="-360"/>
        <w:jc w:val="center"/>
        <w:rPr>
          <w:b/>
          <w:bCs/>
          <w:shadow/>
        </w:rPr>
      </w:pPr>
      <w:r>
        <w:rPr>
          <w:b/>
          <w:bCs/>
          <w:shadow/>
        </w:rPr>
        <w:t>Business Unit</w:t>
      </w:r>
    </w:p>
    <w:p>
      <w:pPr>
        <w:pStyle w:val="Normal"/>
        <w:ind w:start="-360" w:end="-360"/>
        <w:jc w:val="both"/>
        <w:rPr>
          <w:rFonts w:eastAsia="Arial Unicode MS"/>
          <w:b/>
          <w:bCs/>
          <w:shadow/>
          <w:szCs w:val="20"/>
          <w:lang w:val="en-CA" w:eastAsia="en-CA"/>
        </w:rPr>
      </w:pPr>
      <w:r>
        <w:rPr>
          <w:rFonts w:eastAsia="Arial Unicode MS"/>
          <w:b/>
          <w:bCs/>
          <w:shadow/>
          <w:szCs w:val="20"/>
          <w:lang w:val="en-CA" w:eastAsia="en-CA"/>
        </w:rPr>
        <w:object w:dxaOrig="9003" w:dyaOrig="63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position:absolute;margin-left:-36pt;margin-top:13.2pt;width:504pt;height:383.9pt;mso-wrap-distance-left:9.05pt;mso-wrap-distance-right:9.05pt;mso-position-horizontal-relative:text;mso-position-vertical-relative:text" filled="f" o:ole="">
            <v:imagedata r:id="rId47" o:title=""/>
            <w10:wrap type="topAndBottom"/>
          </v:shape>
          <o:OLEObject Type="Embed" ProgID="Excel.Sheet.12" ShapeID="ole_rId46" DrawAspect="Content" ObjectID="_963611640" r:id="rId46"/>
        </w:object>
      </w:r>
    </w:p>
    <w:p>
      <w:pPr>
        <w:pStyle w:val="Header"/>
        <w:tabs>
          <w:tab w:val="clear" w:pos="4320"/>
          <w:tab w:val="clear" w:pos="8640"/>
          <w:tab w:val="left" w:pos="1754" w:leader="none"/>
          <w:tab w:val="left" w:pos="2424" w:leader="none"/>
          <w:tab w:val="left" w:pos="4636" w:leader="none"/>
          <w:tab w:val="left" w:pos="4736" w:leader="none"/>
          <w:tab w:val="left" w:pos="5406" w:leader="none"/>
          <w:tab w:val="left" w:pos="7618" w:leader="none"/>
          <w:tab w:val="left" w:pos="8654" w:leader="none"/>
          <w:tab w:val="left" w:pos="9690" w:leader="none"/>
          <w:tab w:val="left" w:pos="10726" w:leader="none"/>
        </w:tabs>
        <w:rPr>
          <w:b/>
          <w:bCs/>
          <w:shadow/>
          <w:szCs w:val="20"/>
          <w:lang w:val="en-CA" w:eastAsia="en-CA"/>
        </w:rPr>
      </w:pPr>
      <w:r>
        <w:rPr>
          <w:b/>
          <w:bCs/>
          <w:shadow/>
          <w:szCs w:val="20"/>
          <w:lang w:val="en-CA" w:eastAsia="en-CA"/>
        </w:rPr>
      </w:r>
    </w:p>
    <w:p>
      <w:pPr>
        <w:pStyle w:val="Normal"/>
        <w:tabs>
          <w:tab w:val="clear" w:pos="720"/>
          <w:tab w:val="left" w:pos="7618" w:leader="none"/>
          <w:tab w:val="left" w:pos="8654" w:leader="none"/>
          <w:tab w:val="left" w:pos="9690" w:leader="none"/>
          <w:tab w:val="left" w:pos="10726" w:leader="none"/>
        </w:tabs>
        <w:rPr>
          <w:rFonts w:ascii="Arial" w:hAnsi="Arial" w:eastAsia="Arial Unicode MS" w:cs="Arial"/>
          <w:b/>
          <w:bCs/>
          <w:szCs w:val="20"/>
        </w:rPr>
      </w:pPr>
      <w:r>
        <w:rPr>
          <w:rFonts w:eastAsia="Arial Unicode MS"/>
          <w:b/>
          <w:bCs/>
          <w:szCs w:val="20"/>
        </w:rPr>
        <w:t>1&amp;2 = PRC Rating at Year-end 2000</w:t>
        <w:tab/>
      </w:r>
      <w:r>
        <w:rPr>
          <w:rFonts w:cs="Arial" w:ascii="Arial" w:hAnsi="Arial"/>
          <w:b/>
          <w:bCs/>
          <w:szCs w:val="20"/>
        </w:rPr>
        <w:t> </w:t>
      </w:r>
      <w:r>
        <w:rPr>
          <w:rFonts w:eastAsia="Arial Unicode MS" w:cs="Arial" w:ascii="Arial" w:hAnsi="Arial"/>
          <w:b/>
          <w:bCs/>
          <w:szCs w:val="20"/>
        </w:rPr>
        <w:tab/>
      </w:r>
      <w:r>
        <w:rPr>
          <w:rFonts w:cs="Arial" w:ascii="Arial" w:hAnsi="Arial"/>
          <w:b/>
          <w:bCs/>
          <w:szCs w:val="20"/>
        </w:rPr>
        <w:t> </w:t>
      </w:r>
      <w:r>
        <w:rPr>
          <w:rFonts w:eastAsia="Arial Unicode MS" w:cs="Arial" w:ascii="Arial" w:hAnsi="Arial"/>
          <w:b/>
          <w:bCs/>
          <w:szCs w:val="20"/>
        </w:rPr>
        <w:tab/>
      </w:r>
      <w:r>
        <w:rPr>
          <w:rFonts w:cs="Arial" w:ascii="Arial" w:hAnsi="Arial"/>
          <w:b/>
          <w:bCs/>
          <w:szCs w:val="20"/>
        </w:rPr>
        <w:t> </w:t>
      </w:r>
    </w:p>
    <w:p>
      <w:pPr>
        <w:pStyle w:val="Normal"/>
        <w:tabs>
          <w:tab w:val="clear" w:pos="720"/>
          <w:tab w:val="left" w:pos="7618" w:leader="none"/>
          <w:tab w:val="left" w:pos="8654" w:leader="none"/>
          <w:tab w:val="left" w:pos="9690" w:leader="none"/>
          <w:tab w:val="left" w:pos="10726" w:leader="none"/>
        </w:tabs>
        <w:rPr>
          <w:rFonts w:ascii="Arial" w:hAnsi="Arial" w:eastAsia="Arial Unicode MS" w:cs="Arial"/>
          <w:b/>
          <w:bCs/>
          <w:szCs w:val="20"/>
        </w:rPr>
      </w:pPr>
      <w:r>
        <w:rPr>
          <w:rFonts w:eastAsia="Arial Unicode MS" w:cs="Arial" w:ascii="Arial" w:hAnsi="Arial"/>
          <w:b/>
          <w:bC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tabs>
          <w:tab w:val="clear" w:pos="720"/>
          <w:tab w:val="left" w:pos="7618" w:leader="none"/>
          <w:tab w:val="left" w:pos="8654" w:leader="none"/>
          <w:tab w:val="left" w:pos="9690" w:leader="none"/>
          <w:tab w:val="left" w:pos="10726" w:leader="none"/>
        </w:tabs>
        <w:rPr>
          <w:rFonts w:eastAsia="Arial Unicode MS"/>
          <w:szCs w:val="20"/>
        </w:rPr>
      </w:pPr>
      <w:r>
        <w:rPr>
          <w:rFonts w:eastAsia="Arial Unicode MS"/>
          <w:szCs w:val="20"/>
        </w:rPr>
      </w:r>
    </w:p>
    <w:p>
      <w:pPr>
        <w:pStyle w:val="Normal"/>
        <w:ind w:firstLine="1080" w:start="1080" w:end="-360"/>
        <w:rPr>
          <w:rFonts w:eastAsia="Tahoma"/>
          <w:b/>
          <w:bCs/>
          <w:shadow/>
        </w:rPr>
      </w:pPr>
      <w:r>
        <w:rPr>
          <w:rFonts w:eastAsia="Tahoma"/>
          <w:b/>
          <w:bCs/>
          <w:shadow/>
        </w:rPr>
        <w:t xml:space="preserve">                          </w:t>
      </w:r>
    </w:p>
    <w:p>
      <w:pPr>
        <w:pStyle w:val="Normal"/>
        <w:ind w:firstLine="1080" w:start="1080" w:end="-360"/>
        <w:rPr>
          <w:b/>
          <w:bCs/>
          <w:shadow/>
        </w:rPr>
      </w:pPr>
      <w:r>
        <w:rPr>
          <w:rFonts w:eastAsia="Tahoma"/>
          <w:b/>
          <w:bCs/>
          <w:shadow/>
        </w:rPr>
        <w:t xml:space="preserve">                         </w:t>
      </w:r>
      <w:r>
        <w:rPr>
          <w:b/>
          <w:bCs/>
          <w:shadow/>
        </w:rPr>
        <w:t>Attachment 2</w:t>
      </w:r>
    </w:p>
    <w:p>
      <w:pPr>
        <w:pStyle w:val="Normal"/>
        <w:ind w:start="-360" w:end="-360"/>
        <w:jc w:val="center"/>
        <w:rPr>
          <w:b/>
          <w:bCs/>
          <w:shadow/>
        </w:rPr>
      </w:pPr>
      <w:r>
        <w:rPr>
          <w:b/>
          <w:bCs/>
          <w:shadow/>
        </w:rPr>
      </w:r>
    </w:p>
    <w:p>
      <w:pPr>
        <w:pStyle w:val="Normal"/>
        <w:ind w:start="-360" w:end="-360"/>
        <w:jc w:val="center"/>
        <w:rPr>
          <w:b/>
          <w:bCs/>
          <w:shadow/>
        </w:rPr>
      </w:pPr>
      <w:r>
        <w:rPr>
          <w:b/>
          <w:bCs/>
          <w:shadow/>
        </w:rPr>
        <w:t>Commercial Separators</w:t>
      </w:r>
    </w:p>
    <w:p>
      <w:pPr>
        <w:pStyle w:val="Normal"/>
        <w:ind w:start="-360" w:end="-360"/>
        <w:jc w:val="center"/>
        <w:rPr>
          <w:b/>
          <w:bCs/>
          <w:shadow/>
        </w:rPr>
      </w:pPr>
      <w:r>
        <w:rPr>
          <w:b/>
          <w:bCs/>
          <w:shadow/>
        </w:rPr>
        <w:t>PRC Rating 1&amp;2</w:t>
      </w:r>
    </w:p>
    <w:p>
      <w:pPr>
        <w:pStyle w:val="Normal"/>
        <w:ind w:start="-360" w:end="-360"/>
        <w:jc w:val="center"/>
        <w:rPr>
          <w:rFonts w:eastAsia="Arial Unicode MS"/>
          <w:b/>
          <w:bCs/>
          <w:shadow/>
          <w:sz w:val="12"/>
          <w:szCs w:val="20"/>
          <w:lang w:val="en-CA" w:eastAsia="en-CA"/>
        </w:rPr>
      </w:pPr>
      <w:r>
        <w:rPr>
          <w:rFonts w:eastAsia="Arial Unicode MS"/>
          <w:b/>
          <w:bCs/>
          <w:shadow/>
          <w:sz w:val="12"/>
          <w:szCs w:val="20"/>
          <w:lang w:val="en-CA" w:eastAsia="en-CA"/>
        </w:rPr>
        <w:object w:dxaOrig="13692" w:dyaOrig="15571">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position:absolute;margin-left:-45pt;margin-top:11.65pt;width:530.85pt;height:594pt;mso-wrap-distance-left:9.05pt;mso-wrap-distance-right:9.05pt;mso-position-horizontal-relative:text;mso-position-vertical-relative:text" filled="f" o:ole="">
            <v:imagedata r:id="rId49" o:title=""/>
            <w10:wrap type="topAndBottom"/>
          </v:shape>
          <o:OLEObject Type="Embed" ProgID="Excel.Sheet.12" ShapeID="ole_rId48" DrawAspect="Content" ObjectID="_144026666" r:id="rId48"/>
        </w:object>
      </w:r>
    </w:p>
    <w:p>
      <w:pPr>
        <w:pStyle w:val="Normal"/>
        <w:tabs>
          <w:tab w:val="clear" w:pos="720"/>
          <w:tab w:val="left" w:pos="7618" w:leader="none"/>
          <w:tab w:val="left" w:pos="8654" w:leader="none"/>
          <w:tab w:val="left" w:pos="9690" w:leader="none"/>
          <w:tab w:val="left" w:pos="10726" w:leader="none"/>
        </w:tabs>
        <w:ind w:start="-720" w:end="0"/>
        <w:rPr>
          <w:rFonts w:eastAsia="Arial Unicode MS"/>
          <w:b/>
          <w:bCs/>
          <w:shadow/>
          <w:sz w:val="4"/>
          <w:szCs w:val="20"/>
        </w:rPr>
      </w:pPr>
      <w:r>
        <w:rPr>
          <w:rFonts w:eastAsia="Arial Unicode MS"/>
          <w:b/>
          <w:bCs/>
          <w:shadow/>
          <w:sz w:val="4"/>
          <w:szCs w:val="20"/>
        </w:rPr>
      </w:r>
    </w:p>
    <w:p>
      <w:pPr>
        <w:pStyle w:val="Normal"/>
        <w:tabs>
          <w:tab w:val="clear" w:pos="720"/>
          <w:tab w:val="left" w:pos="7618" w:leader="none"/>
          <w:tab w:val="left" w:pos="8654" w:leader="none"/>
          <w:tab w:val="left" w:pos="9690" w:leader="none"/>
          <w:tab w:val="left" w:pos="10726" w:leader="none"/>
        </w:tabs>
        <w:ind w:start="-720" w:end="0"/>
        <w:rPr>
          <w:rFonts w:eastAsia="Arial Unicode MS"/>
          <w:b/>
          <w:bCs/>
          <w:sz w:val="8"/>
          <w:szCs w:val="20"/>
        </w:rPr>
      </w:pPr>
      <w:r>
        <w:rPr>
          <w:rFonts w:eastAsia="Arial Unicode MS"/>
          <w:b/>
          <w:bCs/>
          <w:sz w:val="8"/>
          <w:szCs w:val="20"/>
        </w:rPr>
      </w:r>
    </w:p>
    <w:p>
      <w:pPr>
        <w:pStyle w:val="Normal"/>
        <w:tabs>
          <w:tab w:val="clear" w:pos="720"/>
          <w:tab w:val="left" w:pos="7618" w:leader="none"/>
          <w:tab w:val="left" w:pos="8654" w:leader="none"/>
          <w:tab w:val="left" w:pos="9690" w:leader="none"/>
          <w:tab w:val="left" w:pos="10726" w:leader="none"/>
        </w:tabs>
        <w:ind w:hanging="540" w:start="-180" w:end="0"/>
        <w:rPr>
          <w:rFonts w:eastAsia="Arial Unicode MS"/>
          <w:b/>
          <w:bCs/>
          <w:sz w:val="16"/>
          <w:szCs w:val="20"/>
        </w:rPr>
      </w:pPr>
      <w:r>
        <w:rPr>
          <w:rFonts w:eastAsia="Arial Unicode MS"/>
          <w:b/>
          <w:bCs/>
          <w:sz w:val="16"/>
          <w:szCs w:val="20"/>
        </w:rPr>
        <w:t xml:space="preserve">Note:  A comprehensive initiative has been undertaken to refine and enhance the exit interview process in order to  better capture and record the reasons why employees leave and where they go.  </w:t>
      </w:r>
    </w:p>
    <w:sectPr>
      <w:headerReference w:type="default" r:id="rId50"/>
      <w:headerReference w:type="first" r:id="rId51"/>
      <w:footerReference w:type="default" r:id="rId52"/>
      <w:footerReference w:type="first" r:id="rId53"/>
      <w:type w:val="nextPage"/>
      <w:pgSz w:w="12240" w:h="15840"/>
      <w:pgMar w:left="1800" w:right="1620" w:gutter="0" w:header="691" w:top="1440" w:footer="288" w:bottom="360"/>
      <w:pgBorders w:display="allPages" w:offsetFrom="page">
        <w:top w:val="single" w:sz="8" w:space="24" w:color="003366"/>
        <w:left w:val="single" w:sz="8" w:space="24" w:color="003366"/>
        <w:bottom w:val="single" w:sz="8" w:space="24" w:color="003366"/>
        <w:right w:val="single" w:sz="8" w:space="24" w:color="003366"/>
      </w:pgBorders>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ahoma">
    <w:charset w:val="00" w:characterSet="windows-1252"/>
    <w:family w:val="swiss"/>
    <w:pitch w:val="variable"/>
  </w:font>
  <w:font w:name="Wingdings">
    <w:charset w:val="02"/>
    <w:family w:val="auto"/>
    <w:pitch w:val="variable"/>
  </w:font>
  <w:font w:name="Courier New">
    <w:charset w:val="00" w:characterSet="windows-1252"/>
    <w:family w:val="modern"/>
    <w:pitch w:val="default"/>
  </w:font>
  <w:font w:name="Liberation Sans">
    <w:altName w:val="Arial"/>
    <w:charset w:val="01" w:characterSet="utf-8"/>
    <w:family w:val="swiss"/>
    <w:pitch w:val="variable"/>
  </w:font>
  <w:font w:name="Arial Unicode MS">
    <w:charset w:val="8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720" w:start="720" w:end="0"/>
      <w:rPr/>
    </w:pPr>
    <w:r>
      <w:rPr>
        <w:rStyle w:val="PageNumber"/>
        <w:color w:val="999999"/>
        <w:sz w:val="14"/>
      </w:rPr>
      <w:t>Confidential &amp; Proprietary</w:t>
    </w:r>
    <w:r>
      <w:rPr>
        <w:rStyle w:val="PageNumber"/>
        <w:color w:val="FF0000"/>
        <w:sz w:val="14"/>
      </w:rPr>
      <w:tab/>
    </w:r>
    <w:r>
      <w:rPr>
        <w:rStyle w:val="PageNumber"/>
        <w:sz w:val="14"/>
      </w:rPr>
      <w:fldChar w:fldCharType="begin"/>
    </w:r>
    <w:r>
      <w:rPr>
        <w:rStyle w:val="PageNumber"/>
        <w:sz w:val="14"/>
      </w:rPr>
      <w:instrText xml:space="preserve"> PAGE </w:instrText>
    </w:r>
    <w:r>
      <w:rPr>
        <w:rStyle w:val="PageNumber"/>
        <w:sz w:val="14"/>
      </w:rPr>
      <w:fldChar w:fldCharType="separate"/>
    </w:r>
    <w:r>
      <w:rPr>
        <w:rStyle w:val="PageNumber"/>
        <w:sz w:val="14"/>
      </w:rPr>
      <w:t>13</w:t>
    </w:r>
    <w:r>
      <w:rPr>
        <w:rStyle w:val="PageNumber"/>
        <w:sz w:val="14"/>
      </w:rPr>
      <w:fldChar w:fldCharType="end"/>
    </w:r>
    <w:r>
      <w:rPr>
        <w:rStyle w:val="PageNumber"/>
        <w:sz w:val="14"/>
      </w:rPr>
      <w:t xml:space="preserve"> </w:t>
    </w:r>
    <w:r>
      <w:rPr>
        <w:rStyle w:val="PageNumber"/>
        <w:color w:val="FF0000"/>
        <w:sz w:val="14"/>
      </w:rPr>
      <w:tab/>
      <w:t>Attorney-Client Privilege</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color w:val="999999"/>
        <w:sz w:val="16"/>
      </w:rPr>
    </w:pPr>
    <w:r>
      <w:rPr>
        <w:color w:val="999999"/>
        <w:sz w:val="16"/>
      </w:rPr>
    </w:r>
  </w:p>
  <w:p>
    <w:pPr>
      <w:pStyle w:val="Footer"/>
      <w:rPr/>
    </w:pPr>
    <w:r>
      <w:rPr>
        <w:color w:val="999999"/>
        <w:sz w:val="14"/>
      </w:rPr>
      <w:t xml:space="preserve">Confidential and Proprietary     </w:t>
      <w:tab/>
      <w:tab/>
    </w:r>
    <w:r>
      <w:rPr>
        <w:color w:val="FF0000"/>
        <w:sz w:val="14"/>
      </w:rPr>
      <w:t>Attorney-Client Privilege</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jc w:val="center"/>
      <w:rPr>
        <w:b/>
        <w:bCs/>
        <w:imprint/>
        <w:color w:val="999999"/>
        <w:sz w:val="28"/>
      </w:rPr>
    </w:pPr>
    <w:r>
      <w:object w:dxaOrig="3024" w:dyaOrig="1462">
        <v:shapetype id="_x0000_t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_x0000_tole_rId1" style="position:absolute;margin-left:432pt;margin-top:-7.55pt;width:62.65pt;height:30.25pt;mso-wrap-distance-left:9.05pt;mso-wrap-distance-right:9.05pt;mso-position-horizontal-relative:text;mso-position-vertical-relative:text" filled="f" o:ole="">
          <v:imagedata r:id="rId2" o:title=""/>
          <w10:wrap type="topAndBottom"/>
        </v:shape>
        <o:OLEObject Type="Embed" ProgID="" ShapeID="ole_rId1" DrawAspect="Content" ObjectID="_1428790868" r:id="rId1"/>
      </w:object>
    </w:r>
    <w:r>
      <w:rPr>
        <w:b/>
        <w:bCs/>
        <w:smallCaps/>
        <w:imprint/>
        <w:color w:val="999999"/>
        <w:sz w:val="28"/>
      </w:rPr>
      <w:t>Organizational Statistics</w:t>
    </w:r>
  </w:p>
  <w:p>
    <w:pPr>
      <w:pStyle w:val="Header"/>
      <w:ind w:end="360"/>
      <w:jc w:val="center"/>
      <w:rPr/>
    </w:pPr>
    <w:r>
      <w:rPr>
        <w:b/>
        <w:bCs/>
        <w:imprint/>
        <w:color w:val="999999"/>
      </w:rPr>
      <w:t>June 30, 2001</w:t>
    </w:r>
    <w:r>
      <w:rPr>
        <w:b/>
        <w:bCs/>
        <w:smallCaps/>
        <w:imprint/>
        <w:color w:val="999999"/>
      </w:rPr>
      <w:t xml:space="preserve">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6"/>
      <w:numFmt w:val="upperRoman"/>
      <w:lvlText w:val="%1."/>
      <w:lvlJc w:val="start"/>
      <w:pPr>
        <w:tabs>
          <w:tab w:val="num" w:pos="360"/>
        </w:tabs>
        <w:ind w:start="360" w:hanging="720"/>
      </w:pPr>
      <w:rPr/>
    </w:lvl>
  </w:abstractNum>
  <w:abstractNum w:abstractNumId="3">
    <w:lvl w:ilvl="0">
      <w:start w:val="1"/>
      <w:numFmt w:val="bullet"/>
      <w:lvlText w:val=""/>
      <w:lvlJc w:val="start"/>
      <w:pPr>
        <w:ind w:start="360" w:hanging="360"/>
      </w:pPr>
      <w:rPr>
        <w:rFonts w:ascii="Symbol" w:hAnsi="Symbol" w:cs="Symbol" w:hint="default"/>
        <w:sz w:val="20"/>
      </w:rPr>
    </w:lvl>
  </w:abstractNum>
  <w:abstractNum w:abstractNumId="4">
    <w:lvl w:ilvl="0">
      <w:start w:val="1"/>
      <w:numFmt w:val="upperRoman"/>
      <w:lvlText w:val="%1."/>
      <w:lvlJc w:val="start"/>
      <w:pPr>
        <w:tabs>
          <w:tab w:val="num" w:pos="360"/>
        </w:tabs>
        <w:ind w:start="72" w:hanging="432"/>
      </w:pPr>
      <w:rPr/>
    </w:lvl>
    <w:lvl w:ilvl="1">
      <w:start w:val="1"/>
      <w:numFmt w:val="lowerLetter"/>
      <w:lvlText w:val="%2."/>
      <w:lvlJc w:val="start"/>
      <w:pPr>
        <w:tabs>
          <w:tab w:val="num" w:pos="720"/>
        </w:tabs>
        <w:ind w:start="720" w:hanging="360"/>
      </w:pPr>
      <w:rPr/>
    </w:lvl>
    <w:lvl w:ilvl="2">
      <w:start w:val="1"/>
      <w:numFmt w:val="lowerRoman"/>
      <w:lvlText w:val="%3."/>
      <w:lvlJc w:val="end"/>
      <w:pPr>
        <w:tabs>
          <w:tab w:val="num" w:pos="1440"/>
        </w:tabs>
        <w:ind w:start="1440" w:hanging="180"/>
      </w:pPr>
      <w:rPr/>
    </w:lvl>
    <w:lvl w:ilvl="3">
      <w:start w:val="1"/>
      <w:numFmt w:val="decimal"/>
      <w:lvlText w:val="%4."/>
      <w:lvlJc w:val="start"/>
      <w:pPr>
        <w:tabs>
          <w:tab w:val="num" w:pos="2160"/>
        </w:tabs>
        <w:ind w:start="2160" w:hanging="360"/>
      </w:pPr>
      <w:rPr/>
    </w:lvl>
    <w:lvl w:ilvl="4">
      <w:start w:val="1"/>
      <w:numFmt w:val="lowerLetter"/>
      <w:lvlText w:val="%5."/>
      <w:lvlJc w:val="start"/>
      <w:pPr>
        <w:tabs>
          <w:tab w:val="num" w:pos="2880"/>
        </w:tabs>
        <w:ind w:start="2880" w:hanging="360"/>
      </w:pPr>
      <w:rPr/>
    </w:lvl>
    <w:lvl w:ilvl="5">
      <w:start w:val="1"/>
      <w:numFmt w:val="lowerRoman"/>
      <w:lvlText w:val="%6."/>
      <w:lvlJc w:val="end"/>
      <w:pPr>
        <w:tabs>
          <w:tab w:val="num" w:pos="3600"/>
        </w:tabs>
        <w:ind w:start="3600" w:hanging="180"/>
      </w:pPr>
      <w:rPr/>
    </w:lvl>
    <w:lvl w:ilvl="6">
      <w:start w:val="1"/>
      <w:numFmt w:val="decimal"/>
      <w:lvlText w:val="%7."/>
      <w:lvlJc w:val="start"/>
      <w:pPr>
        <w:tabs>
          <w:tab w:val="num" w:pos="4320"/>
        </w:tabs>
        <w:ind w:start="4320" w:hanging="360"/>
      </w:pPr>
      <w:rPr/>
    </w:lvl>
    <w:lvl w:ilvl="7">
      <w:start w:val="1"/>
      <w:numFmt w:val="lowerLetter"/>
      <w:lvlText w:val="%8."/>
      <w:lvlJc w:val="start"/>
      <w:pPr>
        <w:tabs>
          <w:tab w:val="num" w:pos="5040"/>
        </w:tabs>
        <w:ind w:start="5040" w:hanging="360"/>
      </w:pPr>
      <w:rPr/>
    </w:lvl>
    <w:lvl w:ilvl="8">
      <w:start w:val="1"/>
      <w:numFmt w:val="lowerRoman"/>
      <w:lvlText w:val="%9."/>
      <w:lvlJc w:val="end"/>
      <w:pPr>
        <w:tabs>
          <w:tab w:val="num" w:pos="5760"/>
        </w:tabs>
        <w:ind w:start="5760" w:hanging="180"/>
      </w:pPr>
      <w:rPr/>
    </w:lvl>
  </w:abstractNum>
  <w:abstractNum w:abstractNumId="5">
    <w:lvl w:ilvl="0">
      <w:start w:val="1"/>
      <w:numFmt w:val="bullet"/>
      <w:lvlText w:val=""/>
      <w:lvlJc w:val="start"/>
      <w:pPr>
        <w:tabs>
          <w:tab w:val="num" w:pos="0"/>
        </w:tabs>
        <w:ind w:start="0" w:hanging="360"/>
      </w:pPr>
      <w:rPr>
        <w:rFonts w:ascii="Symbol" w:hAnsi="Symbol" w:cs="Symbol" w:hint="default"/>
      </w:rPr>
    </w:lvl>
  </w:abstractNum>
  <w:abstractNum w:abstractNumId="6">
    <w:lvl w:ilvl="0">
      <w:start w:val="1"/>
      <w:numFmt w:val="bullet"/>
      <w:lvlText w:val=""/>
      <w:lvlJc w:val="start"/>
      <w:pPr>
        <w:tabs>
          <w:tab w:val="num" w:pos="360"/>
        </w:tabs>
        <w:ind w:start="360" w:hanging="360"/>
      </w:pPr>
      <w:rPr>
        <w:rFonts w:ascii="Symbol" w:hAnsi="Symbol" w:cs="Symbol" w:hint="default"/>
        <w:sz w:val="20"/>
      </w:rPr>
    </w:lvl>
  </w:abstractNum>
  <w:abstractNum w:abstractNumId="7">
    <w:lvl w:ilvl="0">
      <w:start w:val="1"/>
      <w:numFmt w:val="bullet"/>
      <w:lvlText w:val=""/>
      <w:lvlJc w:val="start"/>
      <w:pPr>
        <w:tabs>
          <w:tab w:val="num" w:pos="360"/>
        </w:tabs>
        <w:ind w:start="360" w:hanging="360"/>
      </w:pPr>
      <w:rPr>
        <w:rFonts w:ascii="Symbol" w:hAnsi="Symbol" w:cs="Symbol"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ahoma" w:hAnsi="Tahoma" w:eastAsia="Times New Roman" w:cs="Tahoma"/>
      <w:color w:val="auto"/>
      <w:sz w:val="20"/>
      <w:szCs w:val="24"/>
      <w:lang w:val="en-US" w:bidi="ar-SA" w:eastAsia="zh-CN"/>
    </w:rPr>
  </w:style>
  <w:style w:type="paragraph" w:styleId="Heading1">
    <w:name w:val="heading 1"/>
    <w:basedOn w:val="Normal"/>
    <w:next w:val="Normal"/>
    <w:qFormat/>
    <w:pPr>
      <w:keepNext w:val="true"/>
      <w:numPr>
        <w:ilvl w:val="0"/>
        <w:numId w:val="1"/>
      </w:numPr>
      <w:jc w:val="center"/>
      <w:outlineLvl w:val="0"/>
    </w:pPr>
    <w:rPr>
      <w:rFonts w:ascii="Tahoma" w:hAnsi="Tahoma" w:cs="Tahoma"/>
      <w:sz w:val="36"/>
    </w:rPr>
  </w:style>
  <w:style w:type="paragraph" w:styleId="Heading2">
    <w:name w:val="heading 2"/>
    <w:basedOn w:val="Normal"/>
    <w:next w:val="Normal"/>
    <w:qFormat/>
    <w:pPr>
      <w:keepNext w:val="true"/>
      <w:numPr>
        <w:ilvl w:val="1"/>
        <w:numId w:val="1"/>
      </w:numPr>
      <w:jc w:val="center"/>
      <w:outlineLvl w:val="1"/>
    </w:pPr>
    <w:rPr>
      <w:rFonts w:ascii="Tahoma" w:hAnsi="Tahoma" w:cs="Tahoma"/>
      <w:b/>
      <w:bCs/>
      <w:sz w:val="36"/>
    </w:rPr>
  </w:style>
  <w:style w:type="paragraph" w:styleId="Heading3">
    <w:name w:val="heading 3"/>
    <w:basedOn w:val="Normal"/>
    <w:next w:val="Normal"/>
    <w:qFormat/>
    <w:pPr>
      <w:keepNext w:val="true"/>
      <w:numPr>
        <w:ilvl w:val="2"/>
        <w:numId w:val="1"/>
      </w:numPr>
      <w:jc w:val="center"/>
      <w:outlineLvl w:val="2"/>
    </w:pPr>
    <w:rPr>
      <w:b/>
      <w:bCs/>
      <w:sz w:val="24"/>
      <w:u w:val="single"/>
    </w:rPr>
  </w:style>
  <w:style w:type="paragraph" w:styleId="Heading4">
    <w:name w:val="heading 4"/>
    <w:basedOn w:val="Normal"/>
    <w:next w:val="Normal"/>
    <w:qFormat/>
    <w:pPr>
      <w:keepNext w:val="true"/>
      <w:numPr>
        <w:ilvl w:val="3"/>
        <w:numId w:val="1"/>
      </w:numPr>
      <w:jc w:val="both"/>
      <w:outlineLvl w:val="3"/>
    </w:pPr>
    <w:rPr>
      <w:b/>
      <w:bCs/>
      <w:u w:val="single"/>
    </w:rPr>
  </w:style>
  <w:style w:type="paragraph" w:styleId="Heading5">
    <w:name w:val="heading 5"/>
    <w:basedOn w:val="Normal"/>
    <w:next w:val="Normal"/>
    <w:qFormat/>
    <w:pPr>
      <w:keepNext w:val="true"/>
      <w:numPr>
        <w:ilvl w:val="4"/>
        <w:numId w:val="1"/>
      </w:numPr>
      <w:autoSpaceDE w:val="false"/>
      <w:jc w:val="center"/>
      <w:outlineLvl w:val="4"/>
    </w:pPr>
    <w:rPr>
      <w:b/>
      <w:bCs/>
      <w:sz w:val="22"/>
      <w:u w:val="single"/>
    </w:rPr>
  </w:style>
  <w:style w:type="paragraph" w:styleId="Heading6">
    <w:name w:val="heading 6"/>
    <w:basedOn w:val="Normal"/>
    <w:next w:val="Normal"/>
    <w:qFormat/>
    <w:pPr>
      <w:keepNext w:val="true"/>
      <w:numPr>
        <w:ilvl w:val="5"/>
        <w:numId w:val="1"/>
      </w:numPr>
      <w:jc w:val="both"/>
      <w:outlineLvl w:val="5"/>
    </w:pPr>
    <w:rPr>
      <w:b/>
      <w:bCs/>
    </w:rPr>
  </w:style>
  <w:style w:type="paragraph" w:styleId="Heading7">
    <w:name w:val="heading 7"/>
    <w:basedOn w:val="Normal"/>
    <w:next w:val="Normal"/>
    <w:qFormat/>
    <w:pPr>
      <w:keepNext w:val="true"/>
      <w:numPr>
        <w:ilvl w:val="6"/>
        <w:numId w:val="1"/>
      </w:numPr>
      <w:outlineLvl w:val="6"/>
    </w:pPr>
    <w:rPr>
      <w:b/>
      <w:bCs/>
    </w:rPr>
  </w:style>
  <w:style w:type="paragraph" w:styleId="Heading8">
    <w:name w:val="heading 8"/>
    <w:basedOn w:val="Normal"/>
    <w:next w:val="Normal"/>
    <w:qFormat/>
    <w:pPr>
      <w:keepNext w:val="true"/>
      <w:numPr>
        <w:ilvl w:val="7"/>
        <w:numId w:val="1"/>
      </w:numPr>
      <w:outlineLvl w:val="7"/>
    </w:pPr>
    <w:rPr>
      <w:b/>
      <w:bCs/>
      <w:sz w:val="18"/>
    </w:rPr>
  </w:style>
  <w:style w:type="paragraph" w:styleId="Heading9">
    <w:name w:val="heading 9"/>
    <w:basedOn w:val="Normal"/>
    <w:next w:val="Normal"/>
    <w:qFormat/>
    <w:pPr>
      <w:keepNext w:val="true"/>
      <w:numPr>
        <w:ilvl w:val="8"/>
        <w:numId w:val="1"/>
      </w:numPr>
      <w:outlineLvl w:val="8"/>
    </w:pPr>
    <w:rPr>
      <w:b/>
      <w:bCs/>
      <w:color w:val="FFFFFF"/>
      <w:sz w:val="24"/>
      <w:szCs w:val="20"/>
    </w:rPr>
  </w:style>
  <w:style w:type="character" w:styleId="WW8Num1z0">
    <w:name w:val="WW8Num1z0"/>
    <w:qFormat/>
    <w:rPr>
      <w:rFonts w:ascii="Symbol" w:hAnsi="Symbol" w:cs="Symbol"/>
      <w:sz w:val="20"/>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style>
  <w:style w:type="character" w:styleId="WW8Num4z0">
    <w:name w:val="WW8Num4z0"/>
    <w:qFormat/>
    <w:rPr>
      <w:rFonts w:ascii="Symbol" w:hAnsi="Symbol" w:cs="Symbol"/>
      <w:sz w:val="20"/>
    </w:rPr>
  </w:style>
  <w:style w:type="character" w:styleId="WW8Num4z1">
    <w:name w:val="WW8Num4z1"/>
    <w:qFormat/>
    <w:rPr>
      <w:rFonts w:ascii="Courier New" w:hAnsi="Courier New" w:cs="Courier New"/>
      <w:sz w:val="20"/>
    </w:rPr>
  </w:style>
  <w:style w:type="character" w:styleId="WW8Num4z2">
    <w:name w:val="WW8Num4z2"/>
    <w:qFormat/>
    <w:rPr>
      <w:rFonts w:ascii="Wingdings" w:hAnsi="Wingdings" w:cs="Wingdings"/>
      <w:sz w:val="20"/>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sz w:val="20"/>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Symbol" w:hAnsi="Symbol" w:cs="Symbol"/>
      <w:sz w:val="20"/>
    </w:rPr>
  </w:style>
  <w:style w:type="character" w:styleId="WW8Num11z0">
    <w:name w:val="WW8Num11z0"/>
    <w:qFormat/>
    <w:rPr>
      <w:rFonts w:ascii="Wingdings" w:hAnsi="Wingdings" w:cs="Wingdings"/>
      <w:sz w:val="16"/>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Symbol" w:hAnsi="Symbol" w:cs="Symbol"/>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3z0">
    <w:name w:val="WW8Num13z0"/>
    <w:qFormat/>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rFonts w:ascii="Symbol" w:hAnsi="Symbol" w:cs="Symbol"/>
      <w:sz w:val="20"/>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Symbol" w:hAnsi="Symbol" w:cs="Symbol"/>
      <w:sz w:val="20"/>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0">
    <w:name w:val="WW8Num24z0"/>
    <w:qFormat/>
    <w:rPr>
      <w:rFonts w:ascii="Wingdings" w:hAnsi="Wingdings" w:cs="Wingdings"/>
      <w:sz w:val="16"/>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Wingdings" w:hAnsi="Wingdings" w:cs="Wingdings"/>
    </w:rPr>
  </w:style>
  <w:style w:type="character" w:styleId="WW8Num26z2">
    <w:name w:val="WW8Num26z2"/>
    <w:qFormat/>
    <w:rPr/>
  </w:style>
  <w:style w:type="character" w:styleId="WW8Num26z3">
    <w:name w:val="WW8Num26z3"/>
    <w:qFormat/>
    <w:rPr>
      <w:rFonts w:ascii="Symbol" w:hAnsi="Symbol" w:cs="Symbol"/>
    </w:rPr>
  </w:style>
  <w:style w:type="character" w:styleId="WW8Num26z4">
    <w:name w:val="WW8Num26z4"/>
    <w:qFormat/>
    <w:rPr>
      <w:rFonts w:ascii="Courier New" w:hAnsi="Courier New" w:cs="Courier New"/>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Symbol" w:hAnsi="Symbol" w:cs="Symbol"/>
      <w:sz w:val="20"/>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8z3">
    <w:name w:val="WW8Num28z3"/>
    <w:qFormat/>
    <w:rPr>
      <w:rFonts w:ascii="Symbol" w:hAnsi="Symbol" w:cs="Symbol"/>
    </w:rPr>
  </w:style>
  <w:style w:type="character" w:styleId="WW8Num29z0">
    <w:name w:val="WW8Num29z0"/>
    <w:qFormat/>
    <w:rPr>
      <w:rFonts w:ascii="Symbol" w:hAnsi="Symbol" w:cs="Symbol"/>
      <w:sz w:val="20"/>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rFonts w:ascii="Symbol" w:hAnsi="Symbol" w:cs="Symbol"/>
      <w:sz w:val="20"/>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Wingdings" w:hAnsi="Wingdings" w:cs="Wingdings"/>
    </w:rPr>
  </w:style>
  <w:style w:type="character" w:styleId="WW8Num36z1">
    <w:name w:val="WW8Num36z1"/>
    <w:qFormat/>
    <w:rPr>
      <w:rFonts w:ascii="Courier New" w:hAnsi="Courier New" w:cs="Courier New"/>
    </w:rPr>
  </w:style>
  <w:style w:type="character" w:styleId="WW8Num36z3">
    <w:name w:val="WW8Num36z3"/>
    <w:qFormat/>
    <w:rPr>
      <w:rFonts w:ascii="Symbol" w:hAnsi="Symbol" w:cs="Symbol"/>
    </w:rPr>
  </w:style>
  <w:style w:type="character" w:styleId="WW8Num37z0">
    <w:name w:val="WW8Num37z0"/>
    <w:qFormat/>
    <w:rPr>
      <w:rFonts w:ascii="Symbol" w:hAnsi="Symbol" w:cs="Symbol"/>
      <w:sz w:val="20"/>
    </w:rPr>
  </w:style>
  <w:style w:type="character" w:styleId="WW8Num37z1">
    <w:name w:val="WW8Num37z1"/>
    <w:qFormat/>
    <w:rPr>
      <w:rFonts w:ascii="Courier New" w:hAnsi="Courier New" w:cs="Courier New"/>
      <w:sz w:val="20"/>
    </w:rPr>
  </w:style>
  <w:style w:type="character" w:styleId="WW8Num37z2">
    <w:name w:val="WW8Num37z2"/>
    <w:qFormat/>
    <w:rPr>
      <w:rFonts w:ascii="Wingdings" w:hAnsi="Wingdings" w:cs="Wingdings"/>
      <w:sz w:val="20"/>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style>
  <w:style w:type="character" w:styleId="WW8Num42z0">
    <w:name w:val="WW8Num42z0"/>
    <w:qFormat/>
    <w:rPr>
      <w:rFonts w:ascii="Wingdings" w:hAnsi="Wingdings" w:cs="Wingdings"/>
    </w:rPr>
  </w:style>
  <w:style w:type="character" w:styleId="WW8Num42z1">
    <w:name w:val="WW8Num42z1"/>
    <w:qFormat/>
    <w:rPr>
      <w:rFonts w:ascii="Courier New" w:hAnsi="Courier New" w:cs="Courier New"/>
    </w:rPr>
  </w:style>
  <w:style w:type="character" w:styleId="WW8Num42z3">
    <w:name w:val="WW8Num42z3"/>
    <w:qFormat/>
    <w:rPr>
      <w:rFonts w:ascii="Symbol" w:hAnsi="Symbol" w:cs="Symbol"/>
    </w:rPr>
  </w:style>
  <w:style w:type="character" w:styleId="WW8Num43z0">
    <w:name w:val="WW8Num43z0"/>
    <w:qFormat/>
    <w:rPr>
      <w:rFonts w:ascii="Wingdings" w:hAnsi="Wingdings" w:cs="Wingdings"/>
    </w:rPr>
  </w:style>
  <w:style w:type="character" w:styleId="WW8Num43z1">
    <w:name w:val="WW8Num43z1"/>
    <w:qFormat/>
    <w:rPr>
      <w:rFonts w:ascii="Courier New" w:hAnsi="Courier New" w:cs="Courier New"/>
    </w:rPr>
  </w:style>
  <w:style w:type="character" w:styleId="WW8Num43z3">
    <w:name w:val="WW8Num43z3"/>
    <w:qFormat/>
    <w:rPr>
      <w:rFonts w:ascii="Symbol" w:hAnsi="Symbol" w:cs="Symbol"/>
    </w:rPr>
  </w:style>
  <w:style w:type="character" w:styleId="WW8Num44z0">
    <w:name w:val="WW8Num44z0"/>
    <w:qFormat/>
    <w:rPr>
      <w:rFonts w:ascii="Symbol" w:hAnsi="Symbol" w:cs="Symbol"/>
      <w:sz w:val="20"/>
    </w:rPr>
  </w:style>
  <w:style w:type="character" w:styleId="WW8Num44z1">
    <w:name w:val="WW8Num44z1"/>
    <w:qFormat/>
    <w:rPr>
      <w:rFonts w:ascii="Courier New" w:hAnsi="Courier New" w:cs="Courier New"/>
    </w:rPr>
  </w:style>
  <w:style w:type="character" w:styleId="WW8Num44z2">
    <w:name w:val="WW8Num44z2"/>
    <w:qFormat/>
    <w:rPr>
      <w:rFonts w:ascii="Wingdings" w:hAnsi="Wingdings" w:cs="Wingdings"/>
    </w:rPr>
  </w:style>
  <w:style w:type="character" w:styleId="WW8Num44z3">
    <w:name w:val="WW8Num44z3"/>
    <w:qFormat/>
    <w:rPr>
      <w:rFonts w:ascii="Symbol" w:hAnsi="Symbol" w:cs="Symbol"/>
    </w:rPr>
  </w:style>
  <w:style w:type="character" w:styleId="WW8Num45z0">
    <w:name w:val="WW8Num45z0"/>
    <w:qFormat/>
    <w:rPr>
      <w:rFonts w:ascii="Symbol" w:hAnsi="Symbol" w:cs="Symbol"/>
    </w:rPr>
  </w:style>
  <w:style w:type="character" w:styleId="WW8Num45z1">
    <w:name w:val="WW8Num45z1"/>
    <w:qFormat/>
    <w:rPr>
      <w:rFonts w:ascii="Courier New" w:hAnsi="Courier New" w:cs="Courier New"/>
    </w:rPr>
  </w:style>
  <w:style w:type="character" w:styleId="WW8Num45z2">
    <w:name w:val="WW8Num45z2"/>
    <w:qFormat/>
    <w:rPr>
      <w:rFonts w:ascii="Wingdings" w:hAnsi="Wingdings" w:cs="Wingdings"/>
    </w:rPr>
  </w:style>
  <w:style w:type="character" w:styleId="WW8Num46z0">
    <w:name w:val="WW8Num46z0"/>
    <w:qFormat/>
    <w:rPr>
      <w:rFonts w:ascii="Symbol" w:hAnsi="Symbol" w:cs="Symbol"/>
      <w:sz w:val="20"/>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6z3">
    <w:name w:val="WW8Num46z3"/>
    <w:qFormat/>
    <w:rPr>
      <w:rFonts w:ascii="Symbol" w:hAnsi="Symbol" w:cs="Symbol"/>
    </w:rPr>
  </w:style>
  <w:style w:type="character" w:styleId="WW8Num47z0">
    <w:name w:val="WW8Num47z0"/>
    <w:qFormat/>
    <w:rPr>
      <w:rFonts w:ascii="Symbol" w:hAnsi="Symbol" w:cs="Symbol"/>
      <w:sz w:val="20"/>
    </w:rPr>
  </w:style>
  <w:style w:type="character" w:styleId="WW8Num47z1">
    <w:name w:val="WW8Num47z1"/>
    <w:qFormat/>
    <w:rPr>
      <w:rFonts w:ascii="Courier New" w:hAnsi="Courier New" w:cs="Courier New"/>
    </w:rPr>
  </w:style>
  <w:style w:type="character" w:styleId="WW8Num47z2">
    <w:name w:val="WW8Num47z2"/>
    <w:qFormat/>
    <w:rPr>
      <w:rFonts w:ascii="Wingdings" w:hAnsi="Wingdings" w:cs="Wingdings"/>
    </w:rPr>
  </w:style>
  <w:style w:type="character" w:styleId="WW8Num47z3">
    <w:name w:val="WW8Num47z3"/>
    <w:qFormat/>
    <w:rPr>
      <w:rFonts w:ascii="Symbol" w:hAnsi="Symbol" w:cs="Symbol"/>
    </w:rPr>
  </w:style>
  <w:style w:type="character" w:styleId="WW8Num48z0">
    <w:name w:val="WW8Num48z0"/>
    <w:qFormat/>
    <w:rPr>
      <w:rFonts w:ascii="Symbol" w:hAnsi="Symbol" w:cs="Symbol"/>
    </w:rPr>
  </w:style>
  <w:style w:type="character" w:styleId="WW8Num48z1">
    <w:name w:val="WW8Num48z1"/>
    <w:qFormat/>
    <w:rPr>
      <w:rFonts w:ascii="Courier New" w:hAnsi="Courier New" w:cs="Courier New"/>
    </w:rPr>
  </w:style>
  <w:style w:type="character" w:styleId="WW8Num48z2">
    <w:name w:val="WW8Num48z2"/>
    <w:qFormat/>
    <w:rPr>
      <w:rFonts w:ascii="Wingdings" w:hAnsi="Wingdings" w:cs="Wingdings"/>
    </w:rPr>
  </w:style>
  <w:style w:type="character" w:styleId="WW8Num49z0">
    <w:name w:val="WW8Num49z0"/>
    <w:qFormat/>
    <w:rPr>
      <w:rFonts w:ascii="Symbol" w:hAnsi="Symbol" w:cs="Symbol"/>
    </w:rPr>
  </w:style>
  <w:style w:type="character" w:styleId="WW8Num49z1">
    <w:name w:val="WW8Num49z1"/>
    <w:qFormat/>
    <w:rPr>
      <w:rFonts w:ascii="Courier New" w:hAnsi="Courier New" w:cs="Courier New"/>
    </w:rPr>
  </w:style>
  <w:style w:type="character" w:styleId="WW8Num49z2">
    <w:name w:val="WW8Num49z2"/>
    <w:qFormat/>
    <w:rPr>
      <w:rFonts w:ascii="Wingdings" w:hAnsi="Wingdings" w:cs="Wingdings"/>
    </w:rPr>
  </w:style>
  <w:style w:type="character" w:styleId="WW8Num51z0">
    <w:name w:val="WW8Num51z0"/>
    <w:qFormat/>
    <w:rPr>
      <w:rFonts w:ascii="Symbol" w:hAnsi="Symbol" w:cs="Symbol"/>
      <w:sz w:val="20"/>
    </w:rPr>
  </w:style>
  <w:style w:type="character" w:styleId="WW8Num51z1">
    <w:name w:val="WW8Num51z1"/>
    <w:qFormat/>
    <w:rPr>
      <w:rFonts w:ascii="Courier New" w:hAnsi="Courier New" w:cs="Courier New"/>
    </w:rPr>
  </w:style>
  <w:style w:type="character" w:styleId="WW8Num51z2">
    <w:name w:val="WW8Num51z2"/>
    <w:qFormat/>
    <w:rPr>
      <w:rFonts w:ascii="Wingdings" w:hAnsi="Wingdings" w:cs="Wingdings"/>
    </w:rPr>
  </w:style>
  <w:style w:type="character" w:styleId="WW8Num51z3">
    <w:name w:val="WW8Num51z3"/>
    <w:qFormat/>
    <w:rPr>
      <w:rFonts w:ascii="Symbol" w:hAnsi="Symbol" w:cs="Symbol"/>
    </w:rPr>
  </w:style>
  <w:style w:type="character" w:styleId="WW8Num52z0">
    <w:name w:val="WW8Num52z0"/>
    <w:qFormat/>
    <w:rPr>
      <w:rFonts w:ascii="Symbol" w:hAnsi="Symbol" w:cs="Symbol"/>
    </w:rPr>
  </w:style>
  <w:style w:type="character" w:styleId="WW8Num52z1">
    <w:name w:val="WW8Num52z1"/>
    <w:qFormat/>
    <w:rPr>
      <w:rFonts w:ascii="Courier New" w:hAnsi="Courier New" w:cs="Courier New"/>
    </w:rPr>
  </w:style>
  <w:style w:type="character" w:styleId="WW8Num52z2">
    <w:name w:val="WW8Num52z2"/>
    <w:qFormat/>
    <w:rPr>
      <w:rFonts w:ascii="Wingdings" w:hAnsi="Wingdings" w:cs="Wingdings"/>
    </w:rPr>
  </w:style>
  <w:style w:type="character" w:styleId="WW8Num53z0">
    <w:name w:val="WW8Num53z0"/>
    <w:qFormat/>
    <w:rPr>
      <w:rFonts w:ascii="Symbol" w:hAnsi="Symbol" w:cs="Symbol"/>
      <w:sz w:val="20"/>
    </w:rPr>
  </w:style>
  <w:style w:type="character" w:styleId="WW8Num54z0">
    <w:name w:val="WW8Num54z0"/>
    <w:qFormat/>
    <w:rPr>
      <w:rFonts w:ascii="Symbol" w:hAnsi="Symbol" w:cs="Symbol"/>
      <w:sz w:val="20"/>
    </w:rPr>
  </w:style>
  <w:style w:type="character" w:styleId="WW8Num54z1">
    <w:name w:val="WW8Num54z1"/>
    <w:qFormat/>
    <w:rPr>
      <w:rFonts w:ascii="Courier New" w:hAnsi="Courier New" w:cs="Courier New"/>
    </w:rPr>
  </w:style>
  <w:style w:type="character" w:styleId="WW8Num54z2">
    <w:name w:val="WW8Num54z2"/>
    <w:qFormat/>
    <w:rPr>
      <w:rFonts w:ascii="Wingdings" w:hAnsi="Wingdings" w:cs="Wingdings"/>
    </w:rPr>
  </w:style>
  <w:style w:type="character" w:styleId="WW8Num54z3">
    <w:name w:val="WW8Num54z3"/>
    <w:qFormat/>
    <w:rPr>
      <w:rFonts w:ascii="Symbol" w:hAnsi="Symbol" w:cs="Symbol"/>
    </w:rPr>
  </w:style>
  <w:style w:type="character" w:styleId="WW8Num55z0">
    <w:name w:val="WW8Num55z0"/>
    <w:qFormat/>
    <w:rPr>
      <w:rFonts w:ascii="Symbol" w:hAnsi="Symbol" w:cs="Symbol"/>
      <w:sz w:val="20"/>
    </w:rPr>
  </w:style>
  <w:style w:type="character" w:styleId="WW8Num55z1">
    <w:name w:val="WW8Num55z1"/>
    <w:qFormat/>
    <w:rPr>
      <w:rFonts w:ascii="Courier New" w:hAnsi="Courier New" w:cs="Courier New"/>
    </w:rPr>
  </w:style>
  <w:style w:type="character" w:styleId="WW8Num55z2">
    <w:name w:val="WW8Num55z2"/>
    <w:qFormat/>
    <w:rPr>
      <w:rFonts w:ascii="Wingdings" w:hAnsi="Wingdings" w:cs="Wingdings"/>
    </w:rPr>
  </w:style>
  <w:style w:type="character" w:styleId="WW8Num55z3">
    <w:name w:val="WW8Num55z3"/>
    <w:qFormat/>
    <w:rPr>
      <w:rFonts w:ascii="Symbol" w:hAnsi="Symbol" w:cs="Symbol"/>
    </w:rPr>
  </w:style>
  <w:style w:type="character" w:styleId="WW8Num56z0">
    <w:name w:val="WW8Num56z0"/>
    <w:qFormat/>
    <w:rPr>
      <w:rFonts w:ascii="Wingdings" w:hAnsi="Wingdings" w:cs="Wingdings"/>
    </w:rPr>
  </w:style>
  <w:style w:type="character" w:styleId="WW8Num56z1">
    <w:name w:val="WW8Num56z1"/>
    <w:qFormat/>
    <w:rPr>
      <w:rFonts w:ascii="Courier New" w:hAnsi="Courier New" w:cs="Courier New"/>
    </w:rPr>
  </w:style>
  <w:style w:type="character" w:styleId="WW8Num56z3">
    <w:name w:val="WW8Num56z3"/>
    <w:qFormat/>
    <w:rPr>
      <w:rFonts w:ascii="Symbol" w:hAnsi="Symbol" w:cs="Symbol"/>
    </w:rPr>
  </w:style>
  <w:style w:type="character" w:styleId="WW8Num57z0">
    <w:name w:val="WW8Num57z0"/>
    <w:qFormat/>
    <w:rPr>
      <w:rFonts w:ascii="Courier New" w:hAnsi="Courier New" w:cs="Courier New"/>
    </w:rPr>
  </w:style>
  <w:style w:type="character" w:styleId="WW8Num57z2">
    <w:name w:val="WW8Num57z2"/>
    <w:qFormat/>
    <w:rPr>
      <w:rFonts w:ascii="Wingdings" w:hAnsi="Wingdings" w:cs="Wingdings"/>
    </w:rPr>
  </w:style>
  <w:style w:type="character" w:styleId="WW8Num57z3">
    <w:name w:val="WW8Num57z3"/>
    <w:qFormat/>
    <w:rPr>
      <w:rFonts w:ascii="Symbol" w:hAnsi="Symbol" w:cs="Symbol"/>
    </w:rPr>
  </w:style>
  <w:style w:type="character" w:styleId="WW8Num58z0">
    <w:name w:val="WW8Num58z0"/>
    <w:qFormat/>
    <w:rPr>
      <w:rFonts w:ascii="Symbol" w:hAnsi="Symbol" w:cs="Symbol"/>
    </w:rPr>
  </w:style>
  <w:style w:type="character" w:styleId="WW8Num58z2">
    <w:name w:val="WW8Num58z2"/>
    <w:qFormat/>
    <w:rPr/>
  </w:style>
  <w:style w:type="character" w:styleId="WW8Num58z4">
    <w:name w:val="WW8Num58z4"/>
    <w:qFormat/>
    <w:rPr>
      <w:rFonts w:ascii="Courier New" w:hAnsi="Courier New" w:cs="Courier New"/>
    </w:rPr>
  </w:style>
  <w:style w:type="character" w:styleId="WW8Num58z5">
    <w:name w:val="WW8Num58z5"/>
    <w:qFormat/>
    <w:rPr>
      <w:rFonts w:ascii="Wingdings" w:hAnsi="Wingdings" w:cs="Wingdings"/>
    </w:rPr>
  </w:style>
  <w:style w:type="character" w:styleId="WW8Num59z0">
    <w:name w:val="WW8Num59z0"/>
    <w:qFormat/>
    <w:rPr>
      <w:rFonts w:ascii="Symbol" w:hAnsi="Symbol" w:cs="Symbol"/>
      <w:sz w:val="20"/>
    </w:rPr>
  </w:style>
  <w:style w:type="character" w:styleId="WW8Num60z0">
    <w:name w:val="WW8Num60z0"/>
    <w:qFormat/>
    <w:rPr>
      <w:rFonts w:ascii="Wingdings" w:hAnsi="Wingdings" w:cs="Wingdings"/>
      <w:sz w:val="16"/>
    </w:rPr>
  </w:style>
  <w:style w:type="character" w:styleId="WW8Num61z0">
    <w:name w:val="WW8Num61z0"/>
    <w:qFormat/>
    <w:rPr>
      <w:rFonts w:ascii="Symbol" w:hAnsi="Symbol" w:cs="Symbol"/>
    </w:rPr>
  </w:style>
  <w:style w:type="character" w:styleId="WW8Num61z1">
    <w:name w:val="WW8Num61z1"/>
    <w:qFormat/>
    <w:rPr>
      <w:rFonts w:ascii="Courier New" w:hAnsi="Courier New" w:cs="Courier New"/>
    </w:rPr>
  </w:style>
  <w:style w:type="character" w:styleId="WW8Num61z2">
    <w:name w:val="WW8Num61z2"/>
    <w:qFormat/>
    <w:rPr>
      <w:rFonts w:ascii="Wingdings" w:hAnsi="Wingdings" w:cs="Wingdings"/>
    </w:rPr>
  </w:style>
  <w:style w:type="character" w:styleId="WW8Num62z0">
    <w:name w:val="WW8Num62z0"/>
    <w:qFormat/>
    <w:rPr>
      <w:rFonts w:ascii="Symbol" w:hAnsi="Symbol" w:cs="Symbol"/>
    </w:rPr>
  </w:style>
  <w:style w:type="character" w:styleId="WW8Num62z1">
    <w:name w:val="WW8Num62z1"/>
    <w:qFormat/>
    <w:rPr>
      <w:rFonts w:ascii="Courier New" w:hAnsi="Courier New" w:cs="Courier New"/>
    </w:rPr>
  </w:style>
  <w:style w:type="character" w:styleId="WW8Num62z2">
    <w:name w:val="WW8Num62z2"/>
    <w:qFormat/>
    <w:rPr>
      <w:rFonts w:ascii="Wingdings" w:hAnsi="Wingdings" w:cs="Wingdings"/>
    </w:rPr>
  </w:style>
  <w:style w:type="character" w:styleId="WW8Num63z0">
    <w:name w:val="WW8Num63z0"/>
    <w:qFormat/>
    <w:rPr>
      <w:rFonts w:ascii="Symbol" w:hAnsi="Symbol" w:cs="Symbol"/>
    </w:rPr>
  </w:style>
  <w:style w:type="character" w:styleId="WW8Num63z1">
    <w:name w:val="WW8Num63z1"/>
    <w:qFormat/>
    <w:rPr>
      <w:rFonts w:ascii="Courier New" w:hAnsi="Courier New" w:cs="Courier New"/>
    </w:rPr>
  </w:style>
  <w:style w:type="character" w:styleId="WW8Num63z2">
    <w:name w:val="WW8Num63z2"/>
    <w:qFormat/>
    <w:rPr>
      <w:rFonts w:ascii="Wingdings" w:hAnsi="Wingdings" w:cs="Wingdings"/>
    </w:rPr>
  </w:style>
  <w:style w:type="character" w:styleId="WW8Num64z0">
    <w:name w:val="WW8Num64z0"/>
    <w:qFormat/>
    <w:rPr>
      <w:rFonts w:ascii="Symbol" w:hAnsi="Symbol" w:cs="Symbol"/>
      <w:sz w:val="20"/>
    </w:rPr>
  </w:style>
  <w:style w:type="character" w:styleId="WW8Num64z1">
    <w:name w:val="WW8Num64z1"/>
    <w:qFormat/>
    <w:rPr>
      <w:rFonts w:ascii="Courier New" w:hAnsi="Courier New" w:cs="Courier New"/>
    </w:rPr>
  </w:style>
  <w:style w:type="character" w:styleId="WW8Num64z2">
    <w:name w:val="WW8Num64z2"/>
    <w:qFormat/>
    <w:rPr>
      <w:rFonts w:ascii="Wingdings" w:hAnsi="Wingdings" w:cs="Wingdings"/>
    </w:rPr>
  </w:style>
  <w:style w:type="character" w:styleId="WW8Num64z3">
    <w:name w:val="WW8Num64z3"/>
    <w:qFormat/>
    <w:rPr>
      <w:rFonts w:ascii="Symbol" w:hAnsi="Symbol" w:cs="Symbol"/>
    </w:rPr>
  </w:style>
  <w:style w:type="character" w:styleId="WW8Num65z0">
    <w:name w:val="WW8Num65z0"/>
    <w:qFormat/>
    <w:rPr>
      <w:rFonts w:ascii="Wingdings" w:hAnsi="Wingdings" w:cs="Wingdings"/>
    </w:rPr>
  </w:style>
  <w:style w:type="character" w:styleId="WW8Num65z1">
    <w:name w:val="WW8Num65z1"/>
    <w:qFormat/>
    <w:rPr>
      <w:rFonts w:ascii="Courier New" w:hAnsi="Courier New" w:cs="Courier New"/>
    </w:rPr>
  </w:style>
  <w:style w:type="character" w:styleId="WW8Num65z3">
    <w:name w:val="WW8Num65z3"/>
    <w:qFormat/>
    <w:rPr>
      <w:rFonts w:ascii="Symbol" w:hAnsi="Symbol" w:cs="Symbol"/>
    </w:rPr>
  </w:style>
  <w:style w:type="character" w:styleId="WW8Num66z0">
    <w:name w:val="WW8Num66z0"/>
    <w:qFormat/>
    <w:rPr>
      <w:rFonts w:ascii="Symbol" w:hAnsi="Symbol" w:cs="Symbol"/>
    </w:rPr>
  </w:style>
  <w:style w:type="character" w:styleId="WW8Num66z1">
    <w:name w:val="WW8Num66z1"/>
    <w:qFormat/>
    <w:rPr>
      <w:rFonts w:ascii="Courier New" w:hAnsi="Courier New" w:cs="Courier New"/>
    </w:rPr>
  </w:style>
  <w:style w:type="character" w:styleId="WW8Num66z2">
    <w:name w:val="WW8Num66z2"/>
    <w:qFormat/>
    <w:rPr>
      <w:rFonts w:ascii="Wingdings" w:hAnsi="Wingdings" w:cs="Wingdings"/>
    </w:rPr>
  </w:style>
  <w:style w:type="character" w:styleId="WW8Num67z0">
    <w:name w:val="WW8Num67z0"/>
    <w:qFormat/>
    <w:rPr>
      <w:rFonts w:ascii="Wingdings" w:hAnsi="Wingdings" w:cs="Wingdings"/>
    </w:rPr>
  </w:style>
  <w:style w:type="character" w:styleId="WW8Num67z1">
    <w:name w:val="WW8Num67z1"/>
    <w:qFormat/>
    <w:rPr/>
  </w:style>
  <w:style w:type="character" w:styleId="WW8Num68z0">
    <w:name w:val="WW8Num68z0"/>
    <w:qFormat/>
    <w:rPr>
      <w:rFonts w:ascii="Wingdings" w:hAnsi="Wingdings" w:cs="Wingdings"/>
    </w:rPr>
  </w:style>
  <w:style w:type="character" w:styleId="WW8Num68z1">
    <w:name w:val="WW8Num68z1"/>
    <w:qFormat/>
    <w:rPr>
      <w:rFonts w:ascii="Courier New" w:hAnsi="Courier New" w:cs="Courier New"/>
    </w:rPr>
  </w:style>
  <w:style w:type="character" w:styleId="WW8Num68z3">
    <w:name w:val="WW8Num68z3"/>
    <w:qFormat/>
    <w:rPr>
      <w:rFonts w:ascii="Symbol" w:hAnsi="Symbol" w:cs="Symbol"/>
    </w:rPr>
  </w:style>
  <w:style w:type="character" w:styleId="WW8Num69z0">
    <w:name w:val="WW8Num69z0"/>
    <w:qFormat/>
    <w:rPr>
      <w:rFonts w:ascii="Wingdings" w:hAnsi="Wingdings" w:cs="Wingdings"/>
    </w:rPr>
  </w:style>
  <w:style w:type="character" w:styleId="WW8Num69z1">
    <w:name w:val="WW8Num69z1"/>
    <w:qFormat/>
    <w:rPr>
      <w:rFonts w:ascii="Courier New" w:hAnsi="Courier New" w:cs="Courier New"/>
    </w:rPr>
  </w:style>
  <w:style w:type="character" w:styleId="WW8Num69z3">
    <w:name w:val="WW8Num69z3"/>
    <w:qFormat/>
    <w:rPr>
      <w:rFonts w:ascii="Symbol" w:hAnsi="Symbol" w:cs="Symbol"/>
    </w:rPr>
  </w:style>
  <w:style w:type="character" w:styleId="WW8Num70z0">
    <w:name w:val="WW8Num70z0"/>
    <w:qFormat/>
    <w:rPr>
      <w:rFonts w:ascii="Symbol" w:hAnsi="Symbol" w:cs="Symbol"/>
      <w:sz w:val="20"/>
    </w:rPr>
  </w:style>
  <w:style w:type="character" w:styleId="WW8Num70z1">
    <w:name w:val="WW8Num70z1"/>
    <w:qFormat/>
    <w:rPr>
      <w:rFonts w:ascii="Courier New" w:hAnsi="Courier New" w:cs="Courier New"/>
      <w:sz w:val="20"/>
    </w:rPr>
  </w:style>
  <w:style w:type="character" w:styleId="WW8Num70z2">
    <w:name w:val="WW8Num70z2"/>
    <w:qFormat/>
    <w:rPr>
      <w:rFonts w:ascii="Wingdings" w:hAnsi="Wingdings" w:cs="Wingdings"/>
      <w:sz w:val="20"/>
    </w:rPr>
  </w:style>
  <w:style w:type="character" w:styleId="WW8Num71z0">
    <w:name w:val="WW8Num71z0"/>
    <w:qFormat/>
    <w:rPr>
      <w:rFonts w:ascii="Wingdings" w:hAnsi="Wingdings" w:cs="Wingdings"/>
    </w:rPr>
  </w:style>
  <w:style w:type="character" w:styleId="WW8Num71z1">
    <w:name w:val="WW8Num71z1"/>
    <w:qFormat/>
    <w:rPr>
      <w:rFonts w:ascii="Courier New" w:hAnsi="Courier New" w:cs="Courier New"/>
    </w:rPr>
  </w:style>
  <w:style w:type="character" w:styleId="WW8Num71z3">
    <w:name w:val="WW8Num71z3"/>
    <w:qFormat/>
    <w:rPr>
      <w:rFonts w:ascii="Symbol" w:hAnsi="Symbol" w:cs="Symbol"/>
    </w:rPr>
  </w:style>
  <w:style w:type="character" w:styleId="WW8Num72z0">
    <w:name w:val="WW8Num72z0"/>
    <w:qFormat/>
    <w:rPr>
      <w:rFonts w:ascii="Symbol" w:hAnsi="Symbol" w:cs="Symbol"/>
    </w:rPr>
  </w:style>
  <w:style w:type="character" w:styleId="WW8Num72z1">
    <w:name w:val="WW8Num72z1"/>
    <w:qFormat/>
    <w:rPr>
      <w:rFonts w:ascii="Courier New" w:hAnsi="Courier New" w:cs="Courier New"/>
    </w:rPr>
  </w:style>
  <w:style w:type="character" w:styleId="WW8Num72z2">
    <w:name w:val="WW8Num72z2"/>
    <w:qFormat/>
    <w:rPr>
      <w:rFonts w:ascii="Wingdings" w:hAnsi="Wingdings" w:cs="Wingdings"/>
    </w:rPr>
  </w:style>
  <w:style w:type="character" w:styleId="WW8Num73z0">
    <w:name w:val="WW8Num73z0"/>
    <w:qFormat/>
    <w:rPr>
      <w:rFonts w:ascii="Symbol" w:hAnsi="Symbol" w:cs="Symbol"/>
    </w:rPr>
  </w:style>
  <w:style w:type="character" w:styleId="WW8Num73z1">
    <w:name w:val="WW8Num73z1"/>
    <w:qFormat/>
    <w:rPr>
      <w:rFonts w:ascii="Courier New" w:hAnsi="Courier New" w:cs="Courier New"/>
    </w:rPr>
  </w:style>
  <w:style w:type="character" w:styleId="WW8Num73z2">
    <w:name w:val="WW8Num73z2"/>
    <w:qFormat/>
    <w:rPr>
      <w:rFonts w:ascii="Wingdings" w:hAnsi="Wingdings" w:cs="Wingdings"/>
    </w:rPr>
  </w:style>
  <w:style w:type="character" w:styleId="WW8Num74z0">
    <w:name w:val="WW8Num74z0"/>
    <w:qFormat/>
    <w:rPr>
      <w:rFonts w:ascii="Wingdings" w:hAnsi="Wingdings" w:cs="Wingdings"/>
      <w:sz w:val="16"/>
    </w:rPr>
  </w:style>
  <w:style w:type="character" w:styleId="WW8Num74z1">
    <w:name w:val="WW8Num74z1"/>
    <w:qFormat/>
    <w:rPr>
      <w:rFonts w:ascii="Courier New" w:hAnsi="Courier New" w:cs="Courier New"/>
    </w:rPr>
  </w:style>
  <w:style w:type="character" w:styleId="WW8Num74z2">
    <w:name w:val="WW8Num74z2"/>
    <w:qFormat/>
    <w:rPr>
      <w:rFonts w:ascii="Wingdings" w:hAnsi="Wingdings" w:cs="Wingdings"/>
    </w:rPr>
  </w:style>
  <w:style w:type="character" w:styleId="WW8Num74z3">
    <w:name w:val="WW8Num74z3"/>
    <w:qFormat/>
    <w:rPr>
      <w:rFonts w:ascii="Symbol" w:hAnsi="Symbol" w:cs="Symbol"/>
    </w:rPr>
  </w:style>
  <w:style w:type="character" w:styleId="WW8Num76z0">
    <w:name w:val="WW8Num76z0"/>
    <w:qFormat/>
    <w:rPr>
      <w:rFonts w:ascii="Symbol" w:hAnsi="Symbol" w:cs="Symbol"/>
      <w:sz w:val="20"/>
    </w:rPr>
  </w:style>
  <w:style w:type="character" w:styleId="WW8Num76z1">
    <w:name w:val="WW8Num76z1"/>
    <w:qFormat/>
    <w:rPr>
      <w:rFonts w:ascii="Courier New" w:hAnsi="Courier New" w:cs="Courier New"/>
    </w:rPr>
  </w:style>
  <w:style w:type="character" w:styleId="WW8Num76z2">
    <w:name w:val="WW8Num76z2"/>
    <w:qFormat/>
    <w:rPr>
      <w:rFonts w:ascii="Wingdings" w:hAnsi="Wingdings" w:cs="Wingdings"/>
    </w:rPr>
  </w:style>
  <w:style w:type="character" w:styleId="WW8Num76z3">
    <w:name w:val="WW8Num76z3"/>
    <w:qFormat/>
    <w:rPr>
      <w:rFonts w:ascii="Symbol" w:hAnsi="Symbol" w:cs="Symbol"/>
    </w:rPr>
  </w:style>
  <w:style w:type="character" w:styleId="WW8Num77z0">
    <w:name w:val="WW8Num77z0"/>
    <w:qFormat/>
    <w:rPr>
      <w:rFonts w:ascii="Symbol" w:hAnsi="Symbol" w:cs="Symbol"/>
      <w:sz w:val="20"/>
    </w:rPr>
  </w:style>
  <w:style w:type="character" w:styleId="WW8Num77z1">
    <w:name w:val="WW8Num77z1"/>
    <w:qFormat/>
    <w:rPr>
      <w:rFonts w:ascii="Courier New" w:hAnsi="Courier New" w:cs="Courier New"/>
    </w:rPr>
  </w:style>
  <w:style w:type="character" w:styleId="WW8Num77z2">
    <w:name w:val="WW8Num77z2"/>
    <w:qFormat/>
    <w:rPr>
      <w:rFonts w:ascii="Wingdings" w:hAnsi="Wingdings" w:cs="Wingdings"/>
    </w:rPr>
  </w:style>
  <w:style w:type="character" w:styleId="WW8Num77z3">
    <w:name w:val="WW8Num77z3"/>
    <w:qFormat/>
    <w:rPr>
      <w:rFonts w:ascii="Symbol" w:hAnsi="Symbol" w:cs="Symbol"/>
    </w:rPr>
  </w:style>
  <w:style w:type="character" w:styleId="WW8Num78z0">
    <w:name w:val="WW8Num78z0"/>
    <w:qFormat/>
    <w:rPr>
      <w:rFonts w:ascii="Symbol" w:hAnsi="Symbol" w:cs="Symbol"/>
      <w:sz w:val="20"/>
    </w:rPr>
  </w:style>
  <w:style w:type="character" w:styleId="WW8Num78z1">
    <w:name w:val="WW8Num78z1"/>
    <w:qFormat/>
    <w:rPr>
      <w:rFonts w:ascii="Courier New" w:hAnsi="Courier New" w:cs="Courier New"/>
      <w:sz w:val="20"/>
    </w:rPr>
  </w:style>
  <w:style w:type="character" w:styleId="WW8Num78z2">
    <w:name w:val="WW8Num78z2"/>
    <w:qFormat/>
    <w:rPr>
      <w:rFonts w:ascii="Wingdings" w:hAnsi="Wingdings" w:cs="Wingdings"/>
      <w:sz w:val="20"/>
    </w:rPr>
  </w:style>
  <w:style w:type="character" w:styleId="WW8Num79z0">
    <w:name w:val="WW8Num79z0"/>
    <w:qFormat/>
    <w:rPr>
      <w:rFonts w:ascii="Wingdings" w:hAnsi="Wingdings" w:cs="Wingdings"/>
    </w:rPr>
  </w:style>
  <w:style w:type="character" w:styleId="WW8Num79z3">
    <w:name w:val="WW8Num79z3"/>
    <w:qFormat/>
    <w:rPr>
      <w:rFonts w:ascii="Symbol" w:hAnsi="Symbol" w:cs="Symbol"/>
    </w:rPr>
  </w:style>
  <w:style w:type="character" w:styleId="WW8Num81z0">
    <w:name w:val="WW8Num81z0"/>
    <w:qFormat/>
    <w:rPr>
      <w:rFonts w:ascii="Symbol" w:hAnsi="Symbol" w:cs="Symbol"/>
    </w:rPr>
  </w:style>
  <w:style w:type="character" w:styleId="WW8Num81z1">
    <w:name w:val="WW8Num81z1"/>
    <w:qFormat/>
    <w:rPr>
      <w:rFonts w:ascii="Courier New" w:hAnsi="Courier New" w:cs="Courier New"/>
    </w:rPr>
  </w:style>
  <w:style w:type="character" w:styleId="WW8Num81z2">
    <w:name w:val="WW8Num81z2"/>
    <w:qFormat/>
    <w:rPr>
      <w:rFonts w:ascii="Wingdings" w:hAnsi="Wingdings" w:cs="Wingdings"/>
    </w:rPr>
  </w:style>
  <w:style w:type="character" w:styleId="WW8Num82z0">
    <w:name w:val="WW8Num82z0"/>
    <w:qFormat/>
    <w:rPr>
      <w:rFonts w:ascii="Wingdings" w:hAnsi="Wingdings" w:cs="Wingdings"/>
    </w:rPr>
  </w:style>
  <w:style w:type="character" w:styleId="WW8Num82z1">
    <w:name w:val="WW8Num82z1"/>
    <w:qFormat/>
    <w:rPr>
      <w:rFonts w:ascii="Courier New" w:hAnsi="Courier New" w:cs="Courier New"/>
    </w:rPr>
  </w:style>
  <w:style w:type="character" w:styleId="WW8Num82z3">
    <w:name w:val="WW8Num82z3"/>
    <w:qFormat/>
    <w:rPr>
      <w:rFonts w:ascii="Symbol" w:hAnsi="Symbol" w:cs="Symbol"/>
    </w:rPr>
  </w:style>
  <w:style w:type="character" w:styleId="WW8Num83z0">
    <w:name w:val="WW8Num83z0"/>
    <w:qFormat/>
    <w:rPr>
      <w:rFonts w:ascii="Symbol" w:hAnsi="Symbol" w:cs="Symbol"/>
      <w:sz w:val="20"/>
    </w:rPr>
  </w:style>
  <w:style w:type="character" w:styleId="WW8Num83z1">
    <w:name w:val="WW8Num83z1"/>
    <w:qFormat/>
    <w:rPr>
      <w:rFonts w:ascii="Courier New" w:hAnsi="Courier New" w:cs="Courier New"/>
    </w:rPr>
  </w:style>
  <w:style w:type="character" w:styleId="WW8Num83z2">
    <w:name w:val="WW8Num83z2"/>
    <w:qFormat/>
    <w:rPr>
      <w:rFonts w:ascii="Wingdings" w:hAnsi="Wingdings" w:cs="Wingdings"/>
    </w:rPr>
  </w:style>
  <w:style w:type="character" w:styleId="WW8Num83z3">
    <w:name w:val="WW8Num83z3"/>
    <w:qFormat/>
    <w:rPr>
      <w:rFonts w:ascii="Symbol" w:hAnsi="Symbol" w:cs="Symbol"/>
    </w:rPr>
  </w:style>
  <w:style w:type="character" w:styleId="WW8Num84z0">
    <w:name w:val="WW8Num84z0"/>
    <w:qFormat/>
    <w:rPr>
      <w:rFonts w:ascii="Wingdings" w:hAnsi="Wingdings" w:cs="Wingdings"/>
    </w:rPr>
  </w:style>
  <w:style w:type="character" w:styleId="WW8Num84z2">
    <w:name w:val="WW8Num84z2"/>
    <w:qFormat/>
    <w:rPr/>
  </w:style>
  <w:style w:type="character" w:styleId="WW8Num84z3">
    <w:name w:val="WW8Num84z3"/>
    <w:qFormat/>
    <w:rPr>
      <w:rFonts w:ascii="Symbol" w:hAnsi="Symbol" w:cs="Symbol"/>
    </w:rPr>
  </w:style>
  <w:style w:type="character" w:styleId="WW8Num84z4">
    <w:name w:val="WW8Num84z4"/>
    <w:qFormat/>
    <w:rPr>
      <w:rFonts w:ascii="Courier New" w:hAnsi="Courier New" w:cs="Courier New"/>
    </w:rPr>
  </w:style>
  <w:style w:type="character" w:styleId="WW8Num85z0">
    <w:name w:val="WW8Num85z0"/>
    <w:qFormat/>
    <w:rPr>
      <w:rFonts w:ascii="Symbol" w:hAnsi="Symbol" w:cs="Symbol"/>
    </w:rPr>
  </w:style>
  <w:style w:type="character" w:styleId="WW8Num85z1">
    <w:name w:val="WW8Num85z1"/>
    <w:qFormat/>
    <w:rPr>
      <w:rFonts w:ascii="Courier New" w:hAnsi="Courier New" w:cs="Courier New"/>
    </w:rPr>
  </w:style>
  <w:style w:type="character" w:styleId="WW8Num85z2">
    <w:name w:val="WW8Num85z2"/>
    <w:qFormat/>
    <w:rPr>
      <w:rFonts w:ascii="Wingdings" w:hAnsi="Wingdings" w:cs="Wingdings"/>
    </w:rPr>
  </w:style>
  <w:style w:type="character" w:styleId="WW8Num86z0">
    <w:name w:val="WW8Num86z0"/>
    <w:qFormat/>
    <w:rPr>
      <w:rFonts w:ascii="Symbol" w:hAnsi="Symbol" w:cs="Symbol"/>
      <w:sz w:val="20"/>
    </w:rPr>
  </w:style>
  <w:style w:type="character" w:styleId="WW8Num86z1">
    <w:name w:val="WW8Num86z1"/>
    <w:qFormat/>
    <w:rPr>
      <w:rFonts w:ascii="Courier New" w:hAnsi="Courier New" w:cs="Courier New"/>
    </w:rPr>
  </w:style>
  <w:style w:type="character" w:styleId="WW8Num86z2">
    <w:name w:val="WW8Num86z2"/>
    <w:qFormat/>
    <w:rPr>
      <w:rFonts w:ascii="Wingdings" w:hAnsi="Wingdings" w:cs="Wingdings"/>
    </w:rPr>
  </w:style>
  <w:style w:type="character" w:styleId="WW8Num86z3">
    <w:name w:val="WW8Num86z3"/>
    <w:qFormat/>
    <w:rPr>
      <w:rFonts w:ascii="Symbol" w:hAnsi="Symbol" w:cs="Symbol"/>
    </w:rPr>
  </w:style>
  <w:style w:type="character" w:styleId="WW8Num87z0">
    <w:name w:val="WW8Num87z0"/>
    <w:qFormat/>
    <w:rPr>
      <w:rFonts w:ascii="Symbol" w:hAnsi="Symbol" w:cs="Symbol"/>
      <w:sz w:val="20"/>
    </w:rPr>
  </w:style>
  <w:style w:type="character" w:styleId="WW8Num87z1">
    <w:name w:val="WW8Num87z1"/>
    <w:qFormat/>
    <w:rPr>
      <w:rFonts w:ascii="Courier New" w:hAnsi="Courier New" w:cs="Courier New"/>
      <w:sz w:val="20"/>
    </w:rPr>
  </w:style>
  <w:style w:type="character" w:styleId="WW8Num87z2">
    <w:name w:val="WW8Num87z2"/>
    <w:qFormat/>
    <w:rPr>
      <w:rFonts w:ascii="Wingdings" w:hAnsi="Wingdings" w:cs="Wingdings"/>
      <w:sz w:val="20"/>
    </w:rPr>
  </w:style>
  <w:style w:type="character" w:styleId="WW8Num88z0">
    <w:name w:val="WW8Num88z0"/>
    <w:qFormat/>
    <w:rPr>
      <w:rFonts w:ascii="Wingdings" w:hAnsi="Wingdings" w:cs="Wingdings"/>
    </w:rPr>
  </w:style>
  <w:style w:type="character" w:styleId="WW8Num88z1">
    <w:name w:val="WW8Num88z1"/>
    <w:qFormat/>
    <w:rPr>
      <w:rFonts w:ascii="Courier New" w:hAnsi="Courier New" w:cs="Courier New"/>
    </w:rPr>
  </w:style>
  <w:style w:type="character" w:styleId="WW8Num88z3">
    <w:name w:val="WW8Num88z3"/>
    <w:qFormat/>
    <w:rPr>
      <w:rFonts w:ascii="Symbol" w:hAnsi="Symbol" w:cs="Symbol"/>
    </w:rPr>
  </w:style>
  <w:style w:type="character" w:styleId="WW8Num89z0">
    <w:name w:val="WW8Num89z0"/>
    <w:qFormat/>
    <w:rPr>
      <w:rFonts w:ascii="Symbol" w:hAnsi="Symbol" w:cs="Symbol"/>
      <w:sz w:val="20"/>
    </w:rPr>
  </w:style>
  <w:style w:type="character" w:styleId="WW8Num89z1">
    <w:name w:val="WW8Num89z1"/>
    <w:qFormat/>
    <w:rPr>
      <w:rFonts w:ascii="Courier New" w:hAnsi="Courier New" w:cs="Courier New"/>
    </w:rPr>
  </w:style>
  <w:style w:type="character" w:styleId="WW8Num89z2">
    <w:name w:val="WW8Num89z2"/>
    <w:qFormat/>
    <w:rPr>
      <w:rFonts w:ascii="Wingdings" w:hAnsi="Wingdings" w:cs="Wingdings"/>
    </w:rPr>
  </w:style>
  <w:style w:type="character" w:styleId="WW8Num89z3">
    <w:name w:val="WW8Num89z3"/>
    <w:qFormat/>
    <w:rPr>
      <w:rFonts w:ascii="Symbol" w:hAnsi="Symbol" w:cs="Symbol"/>
    </w:rPr>
  </w:style>
  <w:style w:type="character" w:styleId="WW8Num90z0">
    <w:name w:val="WW8Num90z0"/>
    <w:qFormat/>
    <w:rPr>
      <w:rFonts w:ascii="Symbol" w:hAnsi="Symbol" w:cs="Symbol"/>
    </w:rPr>
  </w:style>
  <w:style w:type="character" w:styleId="WW8Num90z1">
    <w:name w:val="WW8Num90z1"/>
    <w:qFormat/>
    <w:rPr>
      <w:rFonts w:ascii="Courier New" w:hAnsi="Courier New" w:cs="Courier New"/>
    </w:rPr>
  </w:style>
  <w:style w:type="character" w:styleId="WW8Num90z2">
    <w:name w:val="WW8Num90z2"/>
    <w:qFormat/>
    <w:rPr>
      <w:rFonts w:ascii="Wingdings" w:hAnsi="Wingdings" w:cs="Wingdings"/>
    </w:rPr>
  </w:style>
  <w:style w:type="character" w:styleId="WW8Num91z0">
    <w:name w:val="WW8Num91z0"/>
    <w:qFormat/>
    <w:rPr>
      <w:rFonts w:ascii="Symbol" w:hAnsi="Symbol" w:cs="Symbol"/>
      <w:sz w:val="20"/>
    </w:rPr>
  </w:style>
  <w:style w:type="character" w:styleId="WW8Num91z1">
    <w:name w:val="WW8Num91z1"/>
    <w:qFormat/>
    <w:rPr>
      <w:rFonts w:ascii="Courier New" w:hAnsi="Courier New" w:cs="Courier New"/>
    </w:rPr>
  </w:style>
  <w:style w:type="character" w:styleId="WW8Num91z2">
    <w:name w:val="WW8Num91z2"/>
    <w:qFormat/>
    <w:rPr>
      <w:rFonts w:ascii="Wingdings" w:hAnsi="Wingdings" w:cs="Wingdings"/>
    </w:rPr>
  </w:style>
  <w:style w:type="character" w:styleId="WW8Num91z3">
    <w:name w:val="WW8Num91z3"/>
    <w:qFormat/>
    <w:rPr>
      <w:rFonts w:ascii="Symbol" w:hAnsi="Symbol" w:cs="Symbol"/>
    </w:rPr>
  </w:style>
  <w:style w:type="character" w:styleId="WW8Num92z0">
    <w:name w:val="WW8Num92z0"/>
    <w:qFormat/>
    <w:rPr>
      <w:rFonts w:ascii="Wingdings" w:hAnsi="Wingdings" w:cs="Wingdings"/>
      <w:sz w:val="16"/>
    </w:rPr>
  </w:style>
  <w:style w:type="character" w:styleId="WW8Num92z1">
    <w:name w:val="WW8Num92z1"/>
    <w:qFormat/>
    <w:rPr>
      <w:rFonts w:ascii="Courier New" w:hAnsi="Courier New" w:cs="Courier New"/>
    </w:rPr>
  </w:style>
  <w:style w:type="character" w:styleId="WW8Num92z2">
    <w:name w:val="WW8Num92z2"/>
    <w:qFormat/>
    <w:rPr>
      <w:rFonts w:ascii="Wingdings" w:hAnsi="Wingdings" w:cs="Wingdings"/>
    </w:rPr>
  </w:style>
  <w:style w:type="character" w:styleId="WW8Num92z3">
    <w:name w:val="WW8Num92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LineNumber">
    <w:name w:val="line number"/>
    <w:basedOn w:val="DefaultParagraphFont"/>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CommentReference">
    <w:name w:val="Comment Reference"/>
    <w:basedOn w:val="DefaultParagraphFont"/>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rPr>
      <w:rFonts w:ascii="Tahoma" w:hAnsi="Tahoma" w:cs="Tahoma"/>
      <w:b/>
      <w:i/>
      <w:sz w:val="72"/>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odyText2">
    <w:name w:val="Body Text 2"/>
    <w:basedOn w:val="Normal"/>
    <w:qFormat/>
    <w:pPr>
      <w:autoSpaceDE w:val="false"/>
      <w:jc w:val="both"/>
    </w:pPr>
    <w:rPr>
      <w:rFonts w:ascii="Tahoma" w:hAnsi="Tahoma" w:cs="Tahoma"/>
      <w:sz w:val="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BodyText3">
    <w:name w:val="Body Text 3"/>
    <w:basedOn w:val="Normal"/>
    <w:qFormat/>
    <w:pPr>
      <w:jc w:val="both"/>
    </w:pPr>
    <w:rPr>
      <w:i/>
      <w:iCs/>
    </w:rPr>
  </w:style>
  <w:style w:type="paragraph" w:styleId="NormalWeb">
    <w:name w:val="Normal (Web)"/>
    <w:basedOn w:val="Normal"/>
    <w:qFormat/>
    <w:pPr>
      <w:spacing w:before="100" w:after="100"/>
    </w:pPr>
    <w:rPr>
      <w:rFonts w:ascii="Arial Unicode MS" w:hAnsi="Arial Unicode MS" w:eastAsia="Arial Unicode MS" w:cs="Arial Unicode MS"/>
      <w:color w:val="000000"/>
      <w:sz w:val="24"/>
    </w:rPr>
  </w:style>
  <w:style w:type="paragraph" w:styleId="BodyTextIndent">
    <w:name w:val="Body Text Indent"/>
    <w:basedOn w:val="Normal"/>
    <w:pPr>
      <w:ind w:hanging="0" w:start="-180" w:end="0"/>
      <w:jc w:val="center"/>
    </w:pPr>
    <w:rPr>
      <w:b/>
      <w:bCs/>
      <w:i/>
      <w:iCs/>
    </w:rPr>
  </w:style>
  <w:style w:type="paragraph" w:styleId="BodyTextIndent2">
    <w:name w:val="Body Text Indent 2"/>
    <w:basedOn w:val="Normal"/>
    <w:qFormat/>
    <w:pPr>
      <w:ind w:hanging="0" w:start="720" w:end="0"/>
    </w:pPr>
    <w:rPr>
      <w:rFonts w:eastAsia="Arial Unicode MS"/>
      <w:color w:val="000000"/>
      <w:sz w:val="16"/>
    </w:rPr>
  </w:style>
  <w:style w:type="paragraph" w:styleId="BodyTextIndent3">
    <w:name w:val="Body Text Indent 3"/>
    <w:basedOn w:val="Normal"/>
    <w:qFormat/>
    <w:pPr>
      <w:ind w:firstLine="60" w:start="720" w:end="0"/>
      <w:jc w:val="both"/>
    </w:pPr>
    <w:rPr>
      <w:rFonts w:eastAsia="Arial Unicode MS"/>
      <w:color w:val="000000"/>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Arial Unicode MS" w:hAnsi="Arial Unicode MS" w:eastAsia="Arial Unicode MS" w:cs="Arial Unicode MS"/>
      <w:szCs w:val="20"/>
    </w:rPr>
  </w:style>
  <w:style w:type="paragraph" w:styleId="BlockText">
    <w:name w:val="Block Text"/>
    <w:basedOn w:val="Normal"/>
    <w:qFormat/>
    <w:pPr>
      <w:ind w:hanging="0" w:start="-360" w:end="-180"/>
      <w:jc w:val="both"/>
    </w:pPr>
    <w:rPr/>
  </w:style>
  <w:style w:type="paragraph" w:styleId="CommentText">
    <w:name w:val="Comment Text"/>
    <w:basedOn w:val="Normal"/>
    <w:qFormat/>
    <w:pPr/>
    <w:rPr>
      <w:szCs w:val="20"/>
    </w:rPr>
  </w:style>
  <w:style w:type="paragraph" w:styleId="FrameContents">
    <w:name w:val="Frame Contents"/>
    <w:basedOn w:val="Normal"/>
    <w:qFormat/>
    <w:pPr/>
    <w:rPr/>
  </w:style>
  <w:style w:type="paragraph" w:styleId="HeaderLeft">
    <w:name w:val="Header Left"/>
    <w:basedOn w:val="Header"/>
    <w:qFormat/>
    <w:pPr>
      <w:suppressLineNumbers/>
      <w:tabs>
        <w:tab w:val="clear" w:pos="4320"/>
        <w:tab w:val="clear" w:pos="8640"/>
        <w:tab w:val="center" w:pos="5640" w:leader="none"/>
        <w:tab w:val="right" w:pos="11280"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png"/><Relationship Id="rId6" Type="http://schemas.openxmlformats.org/officeDocument/2006/relationships/package" Target="embeddings/oleObject3.xlsx"/><Relationship Id="rId7" Type="http://schemas.openxmlformats.org/officeDocument/2006/relationships/image" Target="media/image3.wmf"/><Relationship Id="rId8" Type="http://schemas.openxmlformats.org/officeDocument/2006/relationships/package" Target="embeddings/oleObject4.xlsx"/><Relationship Id="rId9" Type="http://schemas.openxmlformats.org/officeDocument/2006/relationships/image" Target="media/image4.wmf"/><Relationship Id="rId10" Type="http://schemas.openxmlformats.org/officeDocument/2006/relationships/package" Target="embeddings/oleObject5.xlsx"/><Relationship Id="rId11" Type="http://schemas.openxmlformats.org/officeDocument/2006/relationships/image" Target="media/image5.wmf"/><Relationship Id="rId12" Type="http://schemas.openxmlformats.org/officeDocument/2006/relationships/package" Target="embeddings/oleObject6.xlsx"/><Relationship Id="rId13" Type="http://schemas.openxmlformats.org/officeDocument/2006/relationships/image" Target="media/image6.wmf"/><Relationship Id="rId14" Type="http://schemas.openxmlformats.org/officeDocument/2006/relationships/package" Target="embeddings/oleObject7.xlsx"/><Relationship Id="rId15" Type="http://schemas.openxmlformats.org/officeDocument/2006/relationships/image" Target="media/image7.wmf"/><Relationship Id="rId16" Type="http://schemas.openxmlformats.org/officeDocument/2006/relationships/package" Target="embeddings/oleObject8.xlsx"/><Relationship Id="rId17" Type="http://schemas.openxmlformats.org/officeDocument/2006/relationships/image" Target="media/image8.wmf"/><Relationship Id="rId18" Type="http://schemas.openxmlformats.org/officeDocument/2006/relationships/package" Target="embeddings/oleObject9.xlsx"/><Relationship Id="rId19" Type="http://schemas.openxmlformats.org/officeDocument/2006/relationships/image" Target="media/image9.wmf"/><Relationship Id="rId20" Type="http://schemas.openxmlformats.org/officeDocument/2006/relationships/package" Target="embeddings/oleObject10.xlsx"/><Relationship Id="rId21" Type="http://schemas.openxmlformats.org/officeDocument/2006/relationships/image" Target="media/image10.wmf"/><Relationship Id="rId22" Type="http://schemas.openxmlformats.org/officeDocument/2006/relationships/package" Target="embeddings/oleObject11.xlsx"/><Relationship Id="rId23" Type="http://schemas.openxmlformats.org/officeDocument/2006/relationships/image" Target="media/image11.wmf"/><Relationship Id="rId24" Type="http://schemas.openxmlformats.org/officeDocument/2006/relationships/package" Target="embeddings/oleObject12.xlsx"/><Relationship Id="rId25" Type="http://schemas.openxmlformats.org/officeDocument/2006/relationships/image" Target="media/image12.wmf"/><Relationship Id="rId26" Type="http://schemas.openxmlformats.org/officeDocument/2006/relationships/package" Target="embeddings/oleObject13.xlsx"/><Relationship Id="rId27" Type="http://schemas.openxmlformats.org/officeDocument/2006/relationships/image" Target="media/image13.wmf"/><Relationship Id="rId28" Type="http://schemas.openxmlformats.org/officeDocument/2006/relationships/package" Target="embeddings/oleObject14.xlsx"/><Relationship Id="rId29" Type="http://schemas.openxmlformats.org/officeDocument/2006/relationships/image" Target="media/image14.wmf"/><Relationship Id="rId30" Type="http://schemas.openxmlformats.org/officeDocument/2006/relationships/package" Target="embeddings/oleObject15.xlsx"/><Relationship Id="rId31" Type="http://schemas.openxmlformats.org/officeDocument/2006/relationships/image" Target="media/image15.wmf"/><Relationship Id="rId32" Type="http://schemas.openxmlformats.org/officeDocument/2006/relationships/package" Target="embeddings/oleObject16.xlsx"/><Relationship Id="rId33" Type="http://schemas.openxmlformats.org/officeDocument/2006/relationships/image" Target="media/image16.wmf"/><Relationship Id="rId34" Type="http://schemas.openxmlformats.org/officeDocument/2006/relationships/package" Target="embeddings/oleObject17.xlsx"/><Relationship Id="rId35" Type="http://schemas.openxmlformats.org/officeDocument/2006/relationships/image" Target="media/image17.wmf"/><Relationship Id="rId36" Type="http://schemas.openxmlformats.org/officeDocument/2006/relationships/package" Target="embeddings/oleObject18.xlsx"/><Relationship Id="rId37" Type="http://schemas.openxmlformats.org/officeDocument/2006/relationships/image" Target="media/image18.wmf"/><Relationship Id="rId38" Type="http://schemas.openxmlformats.org/officeDocument/2006/relationships/package" Target="embeddings/oleObject19.xlsx"/><Relationship Id="rId39" Type="http://schemas.openxmlformats.org/officeDocument/2006/relationships/image" Target="media/image19.wmf"/><Relationship Id="rId40" Type="http://schemas.openxmlformats.org/officeDocument/2006/relationships/image" Target="media/image20.png"/><Relationship Id="rId41" Type="http://schemas.openxmlformats.org/officeDocument/2006/relationships/package" Target="embeddings/oleObject20.docx"/><Relationship Id="rId42" Type="http://schemas.openxmlformats.org/officeDocument/2006/relationships/image" Target="media/image21.wmf"/><Relationship Id="rId43" Type="http://schemas.openxmlformats.org/officeDocument/2006/relationships/package" Target="embeddings/oleObject21.docx"/><Relationship Id="rId44" Type="http://schemas.openxmlformats.org/officeDocument/2006/relationships/image" Target="media/image22.wmf"/><Relationship Id="rId45" Type="http://schemas.openxmlformats.org/officeDocument/2006/relationships/image" Target="media/image23.png"/><Relationship Id="rId46" Type="http://schemas.openxmlformats.org/officeDocument/2006/relationships/package" Target="embeddings/oleObject22.xlsx"/><Relationship Id="rId47" Type="http://schemas.openxmlformats.org/officeDocument/2006/relationships/image" Target="media/image24.wmf"/><Relationship Id="rId48" Type="http://schemas.openxmlformats.org/officeDocument/2006/relationships/package" Target="embeddings/oleObject23.xlsx"/><Relationship Id="rId49" Type="http://schemas.openxmlformats.org/officeDocument/2006/relationships/image" Target="media/image25.wmf"/><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numbering" Target="numbering.xml"/><Relationship Id="rId55" Type="http://schemas.openxmlformats.org/officeDocument/2006/relationships/fontTable" Target="fontTable.xml"/><Relationship Id="rId56" Type="http://schemas.openxmlformats.org/officeDocument/2006/relationships/settings" Target="settings.xml"/><Relationship Id="rId5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oleObject" Target="embeddings/oleObject24.bin"/><Relationship Id="rId2" Type="http://schemas.openxmlformats.org/officeDocument/2006/relationships/image" Target="media/image26.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2001-08-14T09:30:00Z</dcterms:created>
  <dc:creator>Norman Levine</dc:creator>
  <dc:description/>
  <dc:language>en-CA</dc:language>
  <cp:lastModifiedBy>skean</cp:lastModifiedBy>
  <cp:lastPrinted>2001-08-02T15:33:00Z</cp:lastPrinted>
  <dcterms:modified xsi:type="dcterms:W3CDTF">2001-08-14T09:30:00Z</dcterms:modified>
  <cp:revision>2</cp:revision>
  <dc:subject/>
  <dc:title/>
</cp:coreProperties>
</file>