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drawing>
          <wp:inline distT="0" distB="0" distL="0" distR="0">
            <wp:extent cx="1139190" cy="113474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139190" cy="1134745"/>
                    </a:xfrm>
                    <a:prstGeom prst="rect">
                      <a:avLst/>
                    </a:prstGeom>
                    <a:noFill/>
                  </pic:spPr>
                </pic:pic>
              </a:graphicData>
            </a:graphic>
          </wp:inline>
        </w:drawing>
      </w:r>
    </w:p>
    <w:p>
      <w:pPr>
        <w:pStyle w:val="Heading"/>
        <w:rPr/>
      </w:pPr>
      <w:r>
        <w:rPr/>
      </w:r>
    </w:p>
    <w:p>
      <w:pPr>
        <w:pStyle w:val="Heading"/>
        <w:rPr/>
      </w:pPr>
      <w:r>
        <w:rPr/>
      </w:r>
    </w:p>
    <w:p>
      <w:pPr>
        <w:pStyle w:val="Heading"/>
        <w:rPr/>
      </w:pPr>
      <w:r>
        <w:rPr/>
      </w:r>
    </w:p>
    <w:p>
      <w:pPr>
        <w:pStyle w:val="Heading"/>
        <w:rPr/>
      </w:pPr>
      <w:r>
        <w:rPr/>
      </w:r>
    </w:p>
    <w:p>
      <w:pPr>
        <w:pStyle w:val="Heading"/>
        <w:rPr/>
      </w:pPr>
      <w:r>
        <w:rPr/>
      </w:r>
    </w:p>
    <w:tbl>
      <w:tblPr>
        <w:tblW w:w="10398" w:type="dxa"/>
        <w:jc w:val="start"/>
        <w:tblInd w:w="200" w:type="dxa"/>
        <w:tblLayout w:type="fixed"/>
        <w:tblCellMar>
          <w:top w:w="0" w:type="dxa"/>
          <w:start w:w="108" w:type="dxa"/>
          <w:bottom w:w="0" w:type="dxa"/>
          <w:end w:w="108" w:type="dxa"/>
        </w:tblCellMar>
      </w:tblPr>
      <w:tblGrid>
        <w:gridCol w:w="708"/>
        <w:gridCol w:w="6045"/>
        <w:gridCol w:w="990"/>
        <w:gridCol w:w="2655"/>
      </w:tblGrid>
      <w:tr>
        <w:trPr>
          <w:trHeight w:val="300" w:hRule="exact"/>
        </w:trPr>
        <w:tc>
          <w:tcPr>
            <w:tcW w:w="708" w:type="dxa"/>
            <w:tcBorders/>
          </w:tcPr>
          <w:p>
            <w:pPr>
              <w:pStyle w:val="Normal"/>
              <w:spacing w:before="0" w:after="240"/>
              <w:ind w:start="-180" w:end="0"/>
              <w:jc w:val="end"/>
              <w:rPr>
                <w:sz w:val="16"/>
              </w:rPr>
            </w:pPr>
            <w:r>
              <w:rPr>
                <w:sz w:val="16"/>
              </w:rPr>
              <w:t>To:</w:t>
            </w:r>
          </w:p>
        </w:tc>
        <w:tc>
          <w:tcPr>
            <w:tcW w:w="6045" w:type="dxa"/>
            <w:tcBorders/>
          </w:tcPr>
          <w:p>
            <w:pPr>
              <w:pStyle w:val="To"/>
              <w:spacing w:before="0" w:after="240"/>
              <w:rPr/>
            </w:pPr>
            <w:r>
              <w:rPr/>
              <w:t>Jeff Skilling</w:t>
            </w:r>
          </w:p>
        </w:tc>
        <w:tc>
          <w:tcPr>
            <w:tcW w:w="990" w:type="dxa"/>
            <w:tcBorders/>
          </w:tcPr>
          <w:p>
            <w:pPr>
              <w:pStyle w:val="Normal"/>
              <w:snapToGrid w:val="false"/>
              <w:spacing w:before="0" w:after="240"/>
              <w:ind w:start="-180" w:end="0"/>
              <w:rPr/>
            </w:pPr>
            <w:r>
              <w:rPr/>
            </w:r>
          </w:p>
        </w:tc>
        <w:tc>
          <w:tcPr>
            <w:tcW w:w="2655" w:type="dxa"/>
            <w:tcBorders/>
          </w:tcPr>
          <w:p>
            <w:pPr>
              <w:pStyle w:val="Normal"/>
              <w:snapToGrid w:val="false"/>
              <w:spacing w:before="0" w:after="240"/>
              <w:rPr/>
            </w:pPr>
            <w:r>
              <w:rPr/>
            </w:r>
          </w:p>
        </w:tc>
      </w:tr>
      <w:tr>
        <w:trPr>
          <w:trHeight w:val="216" w:hRule="exact"/>
        </w:trPr>
        <w:tc>
          <w:tcPr>
            <w:tcW w:w="708" w:type="dxa"/>
            <w:tcBorders/>
          </w:tcPr>
          <w:p>
            <w:pPr>
              <w:pStyle w:val="Normal"/>
              <w:spacing w:before="0" w:after="240"/>
              <w:jc w:val="end"/>
              <w:rPr>
                <w:sz w:val="16"/>
              </w:rPr>
            </w:pPr>
            <w:r>
              <w:rPr>
                <w:sz w:val="16"/>
              </w:rPr>
              <w:t>Cc:</w:t>
            </w:r>
          </w:p>
        </w:tc>
        <w:tc>
          <w:tcPr>
            <w:tcW w:w="6045" w:type="dxa"/>
            <w:tcBorders/>
          </w:tcPr>
          <w:p>
            <w:pPr>
              <w:pStyle w:val="To"/>
              <w:snapToGrid w:val="false"/>
              <w:rPr>
                <w:sz w:val="16"/>
              </w:rPr>
            </w:pPr>
            <w:r>
              <w:rPr>
                <w:sz w:val="16"/>
              </w:rPr>
            </w:r>
          </w:p>
          <w:p>
            <w:pPr>
              <w:pStyle w:val="To"/>
              <w:rPr/>
            </w:pPr>
            <w:r>
              <w:rPr/>
            </w:r>
          </w:p>
          <w:p>
            <w:pPr>
              <w:pStyle w:val="To"/>
              <w:spacing w:before="0" w:after="240"/>
              <w:rPr/>
            </w:pPr>
            <w:r>
              <w:rPr/>
            </w:r>
          </w:p>
        </w:tc>
        <w:tc>
          <w:tcPr>
            <w:tcW w:w="990" w:type="dxa"/>
            <w:tcBorders/>
          </w:tcPr>
          <w:p>
            <w:pPr>
              <w:pStyle w:val="To"/>
              <w:snapToGrid w:val="false"/>
              <w:spacing w:before="0" w:after="240"/>
              <w:rPr/>
            </w:pPr>
            <w:r>
              <w:rPr/>
            </w:r>
          </w:p>
        </w:tc>
        <w:tc>
          <w:tcPr>
            <w:tcW w:w="2655" w:type="dxa"/>
            <w:tcBorders/>
          </w:tcPr>
          <w:p>
            <w:pPr>
              <w:pStyle w:val="To"/>
              <w:snapToGrid w:val="false"/>
              <w:spacing w:before="0" w:after="240"/>
              <w:rPr/>
            </w:pPr>
            <w:r>
              <w:rPr/>
            </w:r>
          </w:p>
        </w:tc>
      </w:tr>
      <w:tr>
        <w:trPr>
          <w:trHeight w:val="300" w:hRule="exact"/>
        </w:trPr>
        <w:tc>
          <w:tcPr>
            <w:tcW w:w="708" w:type="dxa"/>
            <w:tcBorders/>
          </w:tcPr>
          <w:p>
            <w:pPr>
              <w:pStyle w:val="Normal"/>
              <w:spacing w:before="0" w:after="240"/>
              <w:jc w:val="end"/>
              <w:rPr>
                <w:sz w:val="16"/>
              </w:rPr>
            </w:pPr>
            <w:r>
              <w:rPr>
                <w:sz w:val="16"/>
              </w:rPr>
              <w:t>From:</w:t>
            </w:r>
          </w:p>
        </w:tc>
        <w:tc>
          <w:tcPr>
            <w:tcW w:w="6045" w:type="dxa"/>
            <w:tcBorders/>
          </w:tcPr>
          <w:p>
            <w:pPr>
              <w:pStyle w:val="From"/>
              <w:spacing w:before="0" w:after="240"/>
              <w:rPr/>
            </w:pPr>
            <w:r>
              <w:rPr/>
              <w:t>Richard Sage</w:t>
            </w:r>
          </w:p>
        </w:tc>
        <w:tc>
          <w:tcPr>
            <w:tcW w:w="990" w:type="dxa"/>
            <w:tcBorders/>
          </w:tcPr>
          <w:p>
            <w:pPr>
              <w:pStyle w:val="Normal"/>
              <w:spacing w:before="0" w:after="240"/>
              <w:ind w:start="-180" w:end="0"/>
              <w:jc w:val="end"/>
              <w:rPr>
                <w:sz w:val="16"/>
              </w:rPr>
            </w:pPr>
            <w:r>
              <w:rPr>
                <w:sz w:val="16"/>
              </w:rPr>
              <w:t>Department:</w:t>
            </w:r>
          </w:p>
        </w:tc>
        <w:tc>
          <w:tcPr>
            <w:tcW w:w="2655" w:type="dxa"/>
            <w:tcBorders/>
          </w:tcPr>
          <w:p>
            <w:pPr>
              <w:pStyle w:val="Department"/>
              <w:spacing w:before="0" w:after="240"/>
              <w:rPr/>
            </w:pPr>
            <w:bookmarkStart w:id="0" w:name="From"/>
            <w:bookmarkEnd w:id="0"/>
            <w:r>
              <w:rPr/>
              <w:t>Enron Europe</w:t>
            </w:r>
          </w:p>
        </w:tc>
      </w:tr>
      <w:tr>
        <w:trPr>
          <w:trHeight w:val="216" w:hRule="exact"/>
        </w:trPr>
        <w:tc>
          <w:tcPr>
            <w:tcW w:w="708" w:type="dxa"/>
            <w:tcBorders/>
          </w:tcPr>
          <w:p>
            <w:pPr>
              <w:pStyle w:val="Normal"/>
              <w:snapToGrid w:val="false"/>
              <w:spacing w:before="0" w:after="240"/>
              <w:ind w:start="-180" w:end="0"/>
              <w:jc w:val="end"/>
              <w:rPr>
                <w:sz w:val="18"/>
              </w:rPr>
            </w:pPr>
            <w:r>
              <w:rPr>
                <w:sz w:val="18"/>
              </w:rPr>
            </w:r>
          </w:p>
        </w:tc>
        <w:tc>
          <w:tcPr>
            <w:tcW w:w="6045" w:type="dxa"/>
            <w:tcBorders/>
          </w:tcPr>
          <w:p>
            <w:pPr>
              <w:pStyle w:val="Normal"/>
              <w:snapToGrid w:val="false"/>
              <w:spacing w:before="0" w:after="240"/>
              <w:rPr>
                <w:sz w:val="18"/>
              </w:rPr>
            </w:pPr>
            <w:r>
              <w:rPr>
                <w:sz w:val="18"/>
              </w:rPr>
            </w:r>
          </w:p>
        </w:tc>
        <w:tc>
          <w:tcPr>
            <w:tcW w:w="990" w:type="dxa"/>
            <w:tcBorders/>
          </w:tcPr>
          <w:p>
            <w:pPr>
              <w:pStyle w:val="Normal"/>
              <w:snapToGrid w:val="false"/>
              <w:spacing w:before="0" w:after="240"/>
              <w:ind w:start="-180" w:end="0"/>
              <w:rPr>
                <w:sz w:val="18"/>
              </w:rPr>
            </w:pPr>
            <w:r>
              <w:rPr>
                <w:sz w:val="18"/>
              </w:rPr>
            </w:r>
          </w:p>
        </w:tc>
        <w:tc>
          <w:tcPr>
            <w:tcW w:w="2655" w:type="dxa"/>
            <w:tcBorders/>
          </w:tcPr>
          <w:p>
            <w:pPr>
              <w:pStyle w:val="Normal"/>
              <w:snapToGrid w:val="false"/>
              <w:spacing w:before="0" w:after="240"/>
              <w:rPr>
                <w:sz w:val="18"/>
              </w:rPr>
            </w:pPr>
            <w:r>
              <w:rPr>
                <w:sz w:val="18"/>
              </w:rPr>
            </w:r>
          </w:p>
        </w:tc>
      </w:tr>
      <w:tr>
        <w:trPr>
          <w:trHeight w:val="600" w:hRule="exact"/>
        </w:trPr>
        <w:tc>
          <w:tcPr>
            <w:tcW w:w="708" w:type="dxa"/>
            <w:tcBorders>
              <w:bottom w:val="single" w:sz="12" w:space="0" w:color="000000"/>
            </w:tcBorders>
          </w:tcPr>
          <w:p>
            <w:pPr>
              <w:pStyle w:val="Normal"/>
              <w:spacing w:before="0" w:after="240"/>
              <w:ind w:start="-180" w:end="0"/>
              <w:jc w:val="end"/>
              <w:rPr>
                <w:sz w:val="16"/>
              </w:rPr>
            </w:pPr>
            <w:r>
              <w:rPr>
                <w:sz w:val="16"/>
              </w:rPr>
              <w:t>Subject:</w:t>
            </w:r>
          </w:p>
        </w:tc>
        <w:tc>
          <w:tcPr>
            <w:tcW w:w="6045" w:type="dxa"/>
            <w:tcBorders>
              <w:bottom w:val="single" w:sz="12" w:space="0" w:color="000000"/>
            </w:tcBorders>
          </w:tcPr>
          <w:p>
            <w:pPr>
              <w:pStyle w:val="Subject"/>
              <w:spacing w:before="0" w:after="240"/>
              <w:rPr/>
            </w:pPr>
            <w:r>
              <w:rPr/>
              <w:t xml:space="preserve">DRAFT: Organisation of Metals Trading </w:t>
            </w:r>
          </w:p>
        </w:tc>
        <w:tc>
          <w:tcPr>
            <w:tcW w:w="990" w:type="dxa"/>
            <w:tcBorders>
              <w:bottom w:val="single" w:sz="12" w:space="0" w:color="000000"/>
            </w:tcBorders>
          </w:tcPr>
          <w:p>
            <w:pPr>
              <w:pStyle w:val="Normal"/>
              <w:spacing w:before="0" w:after="240"/>
              <w:ind w:start="-180" w:end="0"/>
              <w:jc w:val="end"/>
              <w:rPr>
                <w:sz w:val="16"/>
              </w:rPr>
            </w:pPr>
            <w:r>
              <w:rPr>
                <w:sz w:val="16"/>
              </w:rPr>
              <w:t>Date:</w:t>
            </w:r>
          </w:p>
        </w:tc>
        <w:tc>
          <w:tcPr>
            <w:tcW w:w="2655" w:type="dxa"/>
            <w:tcBorders>
              <w:bottom w:val="single" w:sz="12" w:space="0" w:color="000000"/>
            </w:tcBorders>
          </w:tcPr>
          <w:p>
            <w:pPr>
              <w:pStyle w:val="Date"/>
              <w:spacing w:before="0" w:after="240"/>
              <w:rPr/>
            </w:pPr>
            <w:r>
              <w:rPr/>
              <w:fldChar w:fldCharType="begin"/>
            </w:r>
            <w:r>
              <w:rPr/>
              <w:instrText xml:space="preserve"> SAVEDATE \@"d\ MMMM\ yyyy" </w:instrText>
            </w:r>
            <w:r>
              <w:rPr/>
              <w:fldChar w:fldCharType="separate"/>
            </w:r>
            <w:r>
              <w:rPr/>
              <w:t>21 June 2000</w:t>
            </w:r>
            <w:r>
              <w:rPr/>
              <w:fldChar w:fldCharType="end"/>
            </w:r>
          </w:p>
        </w:tc>
      </w:tr>
    </w:tbl>
    <w:p>
      <w:pPr>
        <w:pStyle w:val="Normal"/>
        <w:rPr/>
      </w:pPr>
      <w:r>
        <w:rPr/>
      </w:r>
    </w:p>
    <w:p>
      <w:pPr>
        <w:pStyle w:val="Normal"/>
        <w:rPr/>
      </w:pPr>
      <w:r>
        <w:rPr/>
        <w:t>Enron has tight requirements on what is and what is not a Trading Office. This was prompted by recent losses in Helsinki. One fundamental requirement is that wherever trading is carried out with the outside world, there is an independent person permanently on site. It is difficult to support the costs of such a person, or have much for them to do, unless the trading business is of a substantial size. Smaller offices are therefore only entitled only to Originate, i.e. they can discuss prices with external parties, but cannot commit the company - the price at which a deal is accepted must be given by a Trader in a Trading Office. All correspondence relating to the trade (confirmation, invoicing etc) must be direct between the external party and the Trading Office.</w:t>
      </w:r>
    </w:p>
    <w:p>
      <w:pPr>
        <w:pStyle w:val="Normal"/>
        <w:rPr/>
      </w:pPr>
      <w:r>
        <w:rPr/>
        <w:t>MG has a large number of small offices which do currently trade. Typically they buy and sell physical cargos locally, hedging off some of the risks with trades on exchanges or OTC. We must find a way to implement the Enron requirement for tight control over which offices are authorised to trade, and which are not, while providing the flexibility for an effective Commercial function. Recent losses in MG New York illustrate that we are addressing a risk which is tangible, not just theoretical.</w:t>
      </w:r>
    </w:p>
    <w:p>
      <w:pPr>
        <w:pStyle w:val="Normal"/>
        <w:rPr/>
      </w:pPr>
      <w:r>
        <w:rPr/>
        <w:t>Possibilities are:</w:t>
      </w:r>
    </w:p>
    <w:tbl>
      <w:tblPr>
        <w:tblW w:w="10683" w:type="dxa"/>
        <w:jc w:val="start"/>
        <w:tblInd w:w="0" w:type="dxa"/>
        <w:tblLayout w:type="fixed"/>
        <w:tblCellMar>
          <w:top w:w="0" w:type="dxa"/>
          <w:start w:w="108" w:type="dxa"/>
          <w:bottom w:w="0" w:type="dxa"/>
          <w:end w:w="108" w:type="dxa"/>
        </w:tblCellMar>
      </w:tblPr>
      <w:tblGrid>
        <w:gridCol w:w="3561"/>
        <w:gridCol w:w="5336"/>
        <w:gridCol w:w="1786"/>
      </w:tblGrid>
      <w:tr>
        <w:trPr/>
        <w:tc>
          <w:tcPr>
            <w:tcW w:w="3561" w:type="dxa"/>
            <w:tcBorders>
              <w:top w:val="single" w:sz="4" w:space="0" w:color="000000"/>
              <w:start w:val="single" w:sz="4" w:space="0" w:color="000000"/>
              <w:bottom w:val="single" w:sz="4" w:space="0" w:color="000000"/>
              <w:end w:val="single" w:sz="4" w:space="0" w:color="000000"/>
            </w:tcBorders>
          </w:tcPr>
          <w:p>
            <w:pPr>
              <w:pStyle w:val="Normal"/>
              <w:keepLines/>
              <w:widowControl/>
              <w:bidi w:val="0"/>
              <w:spacing w:before="0" w:after="240"/>
              <w:rPr/>
            </w:pPr>
            <w:r>
              <w:rPr/>
              <w:t>Move all traders to regional hubs: London, New York, Tokyo.</w:t>
            </w:r>
          </w:p>
        </w:tc>
        <w:tc>
          <w:tcPr>
            <w:tcW w:w="5336" w:type="dxa"/>
            <w:tcBorders>
              <w:top w:val="single" w:sz="4" w:space="0" w:color="000000"/>
              <w:start w:val="single" w:sz="4" w:space="0" w:color="000000"/>
              <w:bottom w:val="single" w:sz="4" w:space="0" w:color="000000"/>
              <w:end w:val="single" w:sz="4" w:space="0" w:color="000000"/>
            </w:tcBorders>
          </w:tcPr>
          <w:p>
            <w:pPr>
              <w:pStyle w:val="Normal"/>
              <w:keepLines/>
              <w:widowControl/>
              <w:bidi w:val="0"/>
              <w:spacing w:before="0" w:after="240"/>
              <w:rPr/>
            </w:pPr>
            <w:r>
              <w:rPr/>
              <w:t>Personnel are likely to be unwilling to move. Loss of knowledge of local market.</w:t>
            </w:r>
          </w:p>
        </w:tc>
        <w:tc>
          <w:tcPr>
            <w:tcW w:w="1786" w:type="dxa"/>
            <w:tcBorders>
              <w:top w:val="single" w:sz="4" w:space="0" w:color="000000"/>
              <w:start w:val="single" w:sz="4" w:space="0" w:color="000000"/>
              <w:bottom w:val="single" w:sz="4" w:space="0" w:color="000000"/>
              <w:end w:val="single" w:sz="4" w:space="0" w:color="000000"/>
            </w:tcBorders>
          </w:tcPr>
          <w:p>
            <w:pPr>
              <w:pStyle w:val="Normal"/>
              <w:snapToGrid w:val="false"/>
              <w:spacing w:before="0" w:after="240"/>
              <w:rPr/>
            </w:pPr>
            <w:r>
              <w:rPr/>
            </w:r>
          </w:p>
        </w:tc>
      </w:tr>
      <w:tr>
        <w:trPr/>
        <w:tc>
          <w:tcPr>
            <w:tcW w:w="3561" w:type="dxa"/>
            <w:tcBorders>
              <w:top w:val="single" w:sz="4" w:space="0" w:color="000000"/>
              <w:start w:val="single" w:sz="4" w:space="0" w:color="000000"/>
              <w:bottom w:val="single" w:sz="4" w:space="0" w:color="000000"/>
              <w:end w:val="single" w:sz="4" w:space="0" w:color="000000"/>
            </w:tcBorders>
          </w:tcPr>
          <w:p>
            <w:pPr>
              <w:pStyle w:val="Normal"/>
              <w:keepLines/>
              <w:widowControl/>
              <w:bidi w:val="0"/>
              <w:spacing w:before="0" w:after="240"/>
              <w:rPr/>
            </w:pPr>
            <w:r>
              <w:rPr/>
              <w:t>Put independent Risk Managers in every Trading Location.</w:t>
            </w:r>
          </w:p>
        </w:tc>
        <w:tc>
          <w:tcPr>
            <w:tcW w:w="5336" w:type="dxa"/>
            <w:tcBorders>
              <w:top w:val="single" w:sz="4" w:space="0" w:color="000000"/>
              <w:start w:val="single" w:sz="4" w:space="0" w:color="000000"/>
              <w:bottom w:val="single" w:sz="4" w:space="0" w:color="000000"/>
              <w:end w:val="single" w:sz="4" w:space="0" w:color="000000"/>
            </w:tcBorders>
          </w:tcPr>
          <w:p>
            <w:pPr>
              <w:pStyle w:val="Normal"/>
              <w:keepLines/>
              <w:widowControl/>
              <w:bidi w:val="0"/>
              <w:spacing w:before="0" w:after="240"/>
              <w:rPr/>
            </w:pPr>
            <w:r>
              <w:rPr/>
              <w:t>This can be done but would be expensive (USD 300k pa per office) and it would be difficult to retain suitable people because the duties would not fill a complete job. There is also a danger that a sense of isolation would lead to loss of independence by the Risk Manager and so rotation would be necessary.</w:t>
            </w:r>
          </w:p>
        </w:tc>
        <w:tc>
          <w:tcPr>
            <w:tcW w:w="1786" w:type="dxa"/>
            <w:tcBorders>
              <w:top w:val="single" w:sz="4" w:space="0" w:color="000000"/>
              <w:start w:val="single" w:sz="4" w:space="0" w:color="000000"/>
              <w:bottom w:val="single" w:sz="4" w:space="0" w:color="000000"/>
              <w:end w:val="single" w:sz="4" w:space="0" w:color="000000"/>
            </w:tcBorders>
          </w:tcPr>
          <w:p>
            <w:pPr>
              <w:pStyle w:val="Normal"/>
              <w:snapToGrid w:val="false"/>
              <w:spacing w:before="0" w:after="240"/>
              <w:rPr/>
            </w:pPr>
            <w:r>
              <w:rPr/>
            </w:r>
          </w:p>
        </w:tc>
      </w:tr>
      <w:tr>
        <w:trPr/>
        <w:tc>
          <w:tcPr>
            <w:tcW w:w="3561" w:type="dxa"/>
            <w:tcBorders>
              <w:top w:val="single" w:sz="4" w:space="0" w:color="000000"/>
              <w:start w:val="single" w:sz="4" w:space="0" w:color="000000"/>
              <w:bottom w:val="single" w:sz="4" w:space="0" w:color="000000"/>
              <w:end w:val="single" w:sz="4" w:space="0" w:color="000000"/>
            </w:tcBorders>
          </w:tcPr>
          <w:p>
            <w:pPr>
              <w:pStyle w:val="Normal"/>
              <w:keepLines/>
              <w:widowControl/>
              <w:bidi w:val="0"/>
              <w:spacing w:before="0" w:after="240"/>
              <w:rPr/>
            </w:pPr>
            <w:r>
              <w:rPr/>
              <w:t>Close operations in smaller locations.</w:t>
            </w:r>
          </w:p>
        </w:tc>
        <w:tc>
          <w:tcPr>
            <w:tcW w:w="5336" w:type="dxa"/>
            <w:tcBorders>
              <w:top w:val="single" w:sz="4" w:space="0" w:color="000000"/>
              <w:start w:val="single" w:sz="4" w:space="0" w:color="000000"/>
              <w:bottom w:val="single" w:sz="4" w:space="0" w:color="000000"/>
              <w:end w:val="single" w:sz="4" w:space="0" w:color="000000"/>
            </w:tcBorders>
          </w:tcPr>
          <w:p>
            <w:pPr>
              <w:pStyle w:val="Normal"/>
              <w:keepLines/>
              <w:widowControl/>
              <w:bidi w:val="0"/>
              <w:spacing w:before="0" w:after="240"/>
              <w:rPr/>
            </w:pPr>
            <w:r>
              <w:rPr/>
              <w:t>We are looking to expand activites rather than contract them.</w:t>
            </w:r>
          </w:p>
        </w:tc>
        <w:tc>
          <w:tcPr>
            <w:tcW w:w="1786" w:type="dxa"/>
            <w:tcBorders>
              <w:top w:val="single" w:sz="4" w:space="0" w:color="000000"/>
              <w:start w:val="single" w:sz="4" w:space="0" w:color="000000"/>
              <w:bottom w:val="single" w:sz="4" w:space="0" w:color="000000"/>
              <w:end w:val="single" w:sz="4" w:space="0" w:color="000000"/>
            </w:tcBorders>
          </w:tcPr>
          <w:p>
            <w:pPr>
              <w:pStyle w:val="Normal"/>
              <w:snapToGrid w:val="false"/>
              <w:spacing w:before="0" w:after="240"/>
              <w:rPr/>
            </w:pPr>
            <w:r>
              <w:rPr/>
            </w:r>
          </w:p>
        </w:tc>
      </w:tr>
      <w:tr>
        <w:trPr/>
        <w:tc>
          <w:tcPr>
            <w:tcW w:w="3561" w:type="dxa"/>
            <w:tcBorders>
              <w:top w:val="single" w:sz="4" w:space="0" w:color="000000"/>
              <w:start w:val="single" w:sz="4" w:space="0" w:color="000000"/>
              <w:bottom w:val="single" w:sz="4" w:space="0" w:color="000000"/>
              <w:end w:val="single" w:sz="4" w:space="0" w:color="000000"/>
            </w:tcBorders>
          </w:tcPr>
          <w:p>
            <w:pPr>
              <w:pStyle w:val="Normal"/>
              <w:rPr>
                <w:b/>
              </w:rPr>
            </w:pPr>
            <w:r>
              <w:rPr>
                <w:b/>
              </w:rPr>
              <w:t>Change the role of Commercial personnel in outlying offices from Trading to Origination.</w:t>
            </w:r>
          </w:p>
          <w:p>
            <w:pPr>
              <w:pStyle w:val="Normal"/>
              <w:spacing w:before="0" w:after="240"/>
              <w:rPr>
                <w:b/>
              </w:rPr>
            </w:pPr>
            <w:r>
              <w:rPr>
                <w:b/>
              </w:rPr>
            </w:r>
          </w:p>
        </w:tc>
        <w:tc>
          <w:tcPr>
            <w:tcW w:w="5336" w:type="dxa"/>
            <w:tcBorders>
              <w:top w:val="single" w:sz="4" w:space="0" w:color="000000"/>
              <w:start w:val="single" w:sz="4" w:space="0" w:color="000000"/>
              <w:bottom w:val="single" w:sz="4" w:space="0" w:color="000000"/>
              <w:end w:val="single" w:sz="4" w:space="0" w:color="000000"/>
            </w:tcBorders>
          </w:tcPr>
          <w:p>
            <w:pPr>
              <w:pStyle w:val="Normal"/>
              <w:rPr>
                <w:b/>
              </w:rPr>
            </w:pPr>
            <w:r>
              <w:rPr>
                <w:b/>
              </w:rPr>
              <w:t>Existing trading personnel may find this somewhat restrictive, but it has to be recognised as a cost associated with the access to a larger balance sheet which is a benefit arising from working for Enron.</w:t>
            </w:r>
          </w:p>
          <w:p>
            <w:pPr>
              <w:pStyle w:val="Normal"/>
              <w:spacing w:before="0" w:after="240"/>
              <w:rPr>
                <w:b/>
              </w:rPr>
            </w:pPr>
            <w:r>
              <w:rPr>
                <w:b/>
              </w:rPr>
              <w:t>Enforcement will be to some extent dependent on the cooperation of external parties. It will be necessary to make a very clear and credible statement that breaching this rule after a certain date will result in disciplinary action. Credibility will require that if any such unauthorised activity is detected, such action is effected, however profitable the activity.</w:t>
            </w:r>
          </w:p>
        </w:tc>
        <w:tc>
          <w:tcPr>
            <w:tcW w:w="1786" w:type="dxa"/>
            <w:tcBorders>
              <w:top w:val="single" w:sz="4" w:space="0" w:color="000000"/>
              <w:start w:val="single" w:sz="4" w:space="0" w:color="000000"/>
              <w:bottom w:val="single" w:sz="4" w:space="0" w:color="000000"/>
              <w:end w:val="single" w:sz="4" w:space="0" w:color="000000"/>
            </w:tcBorders>
          </w:tcPr>
          <w:p>
            <w:pPr>
              <w:pStyle w:val="Normal"/>
              <w:spacing w:before="0" w:after="240"/>
              <w:rPr>
                <w:b/>
              </w:rPr>
            </w:pPr>
            <w:r>
              <w:rPr>
                <w:b/>
              </w:rPr>
              <w:t>Recommended</w:t>
            </w:r>
          </w:p>
        </w:tc>
      </w:tr>
    </w:tbl>
    <w:p>
      <w:pPr>
        <w:pStyle w:val="Normal"/>
        <w:rPr/>
      </w:pPr>
      <w:r>
        <w:rPr/>
      </w:r>
    </w:p>
    <w:p>
      <w:pPr>
        <w:pStyle w:val="Normal"/>
        <w:rPr/>
      </w:pPr>
      <w:r>
        <w:rPr/>
        <w:t>Approval of Recommendation:</w:t>
      </w:r>
    </w:p>
    <w:tbl>
      <w:tblPr>
        <w:tblW w:w="10683" w:type="dxa"/>
        <w:jc w:val="start"/>
        <w:tblInd w:w="0" w:type="dxa"/>
        <w:tblLayout w:type="fixed"/>
        <w:tblCellMar>
          <w:top w:w="0" w:type="dxa"/>
          <w:start w:w="108" w:type="dxa"/>
          <w:bottom w:w="0" w:type="dxa"/>
          <w:end w:w="108" w:type="dxa"/>
        </w:tblCellMar>
      </w:tblPr>
      <w:tblGrid>
        <w:gridCol w:w="3561"/>
        <w:gridCol w:w="3561"/>
        <w:gridCol w:w="3561"/>
      </w:tblGrid>
      <w:tr>
        <w:trPr/>
        <w:tc>
          <w:tcPr>
            <w:tcW w:w="3561" w:type="dxa"/>
            <w:tcBorders>
              <w:top w:val="single" w:sz="4" w:space="0" w:color="000000"/>
              <w:start w:val="single" w:sz="4" w:space="0" w:color="000000"/>
              <w:bottom w:val="single" w:sz="4" w:space="0" w:color="000000"/>
              <w:end w:val="single" w:sz="4" w:space="0" w:color="000000"/>
            </w:tcBorders>
          </w:tcPr>
          <w:p>
            <w:pPr>
              <w:pStyle w:val="Normal"/>
              <w:spacing w:before="0" w:after="240"/>
              <w:rPr>
                <w:b/>
              </w:rPr>
            </w:pPr>
            <w:r>
              <w:rPr>
                <w:b/>
              </w:rPr>
              <w:t>Name</w:t>
            </w:r>
          </w:p>
        </w:tc>
        <w:tc>
          <w:tcPr>
            <w:tcW w:w="3561" w:type="dxa"/>
            <w:tcBorders>
              <w:top w:val="single" w:sz="4" w:space="0" w:color="000000"/>
              <w:start w:val="single" w:sz="4" w:space="0" w:color="000000"/>
              <w:bottom w:val="single" w:sz="4" w:space="0" w:color="000000"/>
              <w:end w:val="single" w:sz="4" w:space="0" w:color="000000"/>
            </w:tcBorders>
          </w:tcPr>
          <w:p>
            <w:pPr>
              <w:pStyle w:val="Normal"/>
              <w:spacing w:before="0" w:after="240"/>
              <w:rPr>
                <w:b/>
              </w:rPr>
            </w:pPr>
            <w:r>
              <w:rPr>
                <w:b/>
              </w:rPr>
              <w:t>Position</w:t>
            </w:r>
          </w:p>
        </w:tc>
        <w:tc>
          <w:tcPr>
            <w:tcW w:w="3561" w:type="dxa"/>
            <w:tcBorders>
              <w:top w:val="single" w:sz="4" w:space="0" w:color="000000"/>
              <w:start w:val="single" w:sz="4" w:space="0" w:color="000000"/>
              <w:bottom w:val="single" w:sz="4" w:space="0" w:color="000000"/>
              <w:end w:val="single" w:sz="4" w:space="0" w:color="000000"/>
            </w:tcBorders>
          </w:tcPr>
          <w:p>
            <w:pPr>
              <w:pStyle w:val="Normal"/>
              <w:spacing w:before="0" w:after="240"/>
              <w:rPr>
                <w:b/>
              </w:rPr>
            </w:pPr>
            <w:r>
              <w:rPr>
                <w:b/>
              </w:rPr>
              <w:t>Date</w:t>
            </w:r>
          </w:p>
        </w:tc>
      </w:tr>
      <w:tr>
        <w:trPr/>
        <w:tc>
          <w:tcPr>
            <w:tcW w:w="3561" w:type="dxa"/>
            <w:tcBorders>
              <w:top w:val="single" w:sz="4" w:space="0" w:color="000000"/>
              <w:start w:val="single" w:sz="4" w:space="0" w:color="000000"/>
              <w:bottom w:val="single" w:sz="4" w:space="0" w:color="000000"/>
              <w:end w:val="single" w:sz="4" w:space="0" w:color="000000"/>
            </w:tcBorders>
          </w:tcPr>
          <w:p>
            <w:pPr>
              <w:pStyle w:val="Normal"/>
              <w:keepLines/>
              <w:widowControl/>
              <w:bidi w:val="0"/>
              <w:spacing w:before="0" w:after="240"/>
              <w:rPr/>
            </w:pPr>
            <w:r>
              <w:rPr/>
              <w:t>Fernley Dyson</w:t>
            </w:r>
          </w:p>
        </w:tc>
        <w:tc>
          <w:tcPr>
            <w:tcW w:w="3561" w:type="dxa"/>
            <w:tcBorders>
              <w:top w:val="single" w:sz="4" w:space="0" w:color="000000"/>
              <w:start w:val="single" w:sz="4" w:space="0" w:color="000000"/>
              <w:bottom w:val="single" w:sz="4" w:space="0" w:color="000000"/>
              <w:end w:val="single" w:sz="4" w:space="0" w:color="000000"/>
            </w:tcBorders>
          </w:tcPr>
          <w:p>
            <w:pPr>
              <w:pStyle w:val="Normal"/>
              <w:keepLines/>
              <w:widowControl/>
              <w:bidi w:val="0"/>
              <w:spacing w:before="0" w:after="240"/>
              <w:rPr/>
            </w:pPr>
            <w:r>
              <w:rPr/>
              <w:t>CAO London</w:t>
            </w:r>
          </w:p>
        </w:tc>
        <w:tc>
          <w:tcPr>
            <w:tcW w:w="3561" w:type="dxa"/>
            <w:tcBorders>
              <w:top w:val="single" w:sz="4" w:space="0" w:color="000000"/>
              <w:start w:val="single" w:sz="4" w:space="0" w:color="000000"/>
              <w:bottom w:val="single" w:sz="4" w:space="0" w:color="000000"/>
              <w:end w:val="single" w:sz="4" w:space="0" w:color="000000"/>
            </w:tcBorders>
          </w:tcPr>
          <w:p>
            <w:pPr>
              <w:pStyle w:val="Normal"/>
              <w:snapToGrid w:val="false"/>
              <w:spacing w:before="0" w:after="240"/>
              <w:rPr/>
            </w:pPr>
            <w:r>
              <w:rPr/>
            </w:r>
          </w:p>
        </w:tc>
      </w:tr>
      <w:tr>
        <w:trPr/>
        <w:tc>
          <w:tcPr>
            <w:tcW w:w="3561" w:type="dxa"/>
            <w:tcBorders>
              <w:top w:val="single" w:sz="4" w:space="0" w:color="000000"/>
              <w:start w:val="single" w:sz="4" w:space="0" w:color="000000"/>
              <w:bottom w:val="single" w:sz="4" w:space="0" w:color="000000"/>
              <w:end w:val="single" w:sz="4" w:space="0" w:color="000000"/>
            </w:tcBorders>
          </w:tcPr>
          <w:p>
            <w:pPr>
              <w:pStyle w:val="Normal"/>
              <w:keepLines/>
              <w:widowControl/>
              <w:bidi w:val="0"/>
              <w:spacing w:before="0" w:after="240"/>
              <w:rPr/>
            </w:pPr>
            <w:r>
              <w:rPr/>
              <w:t>Sally Beck</w:t>
            </w:r>
          </w:p>
        </w:tc>
        <w:tc>
          <w:tcPr>
            <w:tcW w:w="3561" w:type="dxa"/>
            <w:tcBorders>
              <w:top w:val="single" w:sz="4" w:space="0" w:color="000000"/>
              <w:start w:val="single" w:sz="4" w:space="0" w:color="000000"/>
              <w:bottom w:val="single" w:sz="4" w:space="0" w:color="000000"/>
              <w:end w:val="single" w:sz="4" w:space="0" w:color="000000"/>
            </w:tcBorders>
          </w:tcPr>
          <w:p>
            <w:pPr>
              <w:pStyle w:val="Normal"/>
              <w:keepLines/>
              <w:widowControl/>
              <w:bidi w:val="0"/>
              <w:spacing w:before="0" w:after="240"/>
              <w:rPr/>
            </w:pPr>
            <w:r>
              <w:rPr/>
              <w:t>Global Risk Management</w:t>
            </w:r>
          </w:p>
        </w:tc>
        <w:tc>
          <w:tcPr>
            <w:tcW w:w="3561" w:type="dxa"/>
            <w:tcBorders>
              <w:top w:val="single" w:sz="4" w:space="0" w:color="000000"/>
              <w:start w:val="single" w:sz="4" w:space="0" w:color="000000"/>
              <w:bottom w:val="single" w:sz="4" w:space="0" w:color="000000"/>
              <w:end w:val="single" w:sz="4" w:space="0" w:color="000000"/>
            </w:tcBorders>
          </w:tcPr>
          <w:p>
            <w:pPr>
              <w:pStyle w:val="Normal"/>
              <w:snapToGrid w:val="false"/>
              <w:spacing w:before="0" w:after="240"/>
              <w:rPr/>
            </w:pPr>
            <w:r>
              <w:rPr/>
            </w:r>
          </w:p>
        </w:tc>
      </w:tr>
      <w:tr>
        <w:trPr/>
        <w:tc>
          <w:tcPr>
            <w:tcW w:w="3561" w:type="dxa"/>
            <w:tcBorders>
              <w:top w:val="single" w:sz="4" w:space="0" w:color="000000"/>
              <w:start w:val="single" w:sz="4" w:space="0" w:color="000000"/>
              <w:bottom w:val="single" w:sz="4" w:space="0" w:color="000000"/>
              <w:end w:val="single" w:sz="4" w:space="0" w:color="000000"/>
            </w:tcBorders>
          </w:tcPr>
          <w:p>
            <w:pPr>
              <w:pStyle w:val="Normal"/>
              <w:keepLines/>
              <w:widowControl/>
              <w:bidi w:val="0"/>
              <w:spacing w:before="0" w:after="240"/>
              <w:rPr/>
            </w:pPr>
            <w:r>
              <w:rPr/>
              <w:t>Eric Gadd</w:t>
            </w:r>
          </w:p>
        </w:tc>
        <w:tc>
          <w:tcPr>
            <w:tcW w:w="3561" w:type="dxa"/>
            <w:tcBorders>
              <w:top w:val="single" w:sz="4" w:space="0" w:color="000000"/>
              <w:start w:val="single" w:sz="4" w:space="0" w:color="000000"/>
              <w:bottom w:val="single" w:sz="4" w:space="0" w:color="000000"/>
              <w:end w:val="single" w:sz="4" w:space="0" w:color="000000"/>
            </w:tcBorders>
          </w:tcPr>
          <w:p>
            <w:pPr>
              <w:pStyle w:val="Normal"/>
              <w:keepLines/>
              <w:widowControl/>
              <w:bidi w:val="0"/>
              <w:spacing w:before="0" w:after="240"/>
              <w:rPr/>
            </w:pPr>
            <w:r>
              <w:rPr/>
              <w:t>MG Integration</w:t>
            </w:r>
          </w:p>
        </w:tc>
        <w:tc>
          <w:tcPr>
            <w:tcW w:w="3561" w:type="dxa"/>
            <w:tcBorders>
              <w:top w:val="single" w:sz="4" w:space="0" w:color="000000"/>
              <w:start w:val="single" w:sz="4" w:space="0" w:color="000000"/>
              <w:bottom w:val="single" w:sz="4" w:space="0" w:color="000000"/>
              <w:end w:val="single" w:sz="4" w:space="0" w:color="000000"/>
            </w:tcBorders>
          </w:tcPr>
          <w:p>
            <w:pPr>
              <w:pStyle w:val="Normal"/>
              <w:snapToGrid w:val="false"/>
              <w:spacing w:before="0" w:after="240"/>
              <w:rPr/>
            </w:pPr>
            <w:r>
              <w:rPr/>
            </w:r>
          </w:p>
        </w:tc>
      </w:tr>
      <w:tr>
        <w:trPr/>
        <w:tc>
          <w:tcPr>
            <w:tcW w:w="3561" w:type="dxa"/>
            <w:tcBorders>
              <w:top w:val="single" w:sz="4" w:space="0" w:color="000000"/>
              <w:start w:val="single" w:sz="4" w:space="0" w:color="000000"/>
              <w:bottom w:val="single" w:sz="4" w:space="0" w:color="000000"/>
              <w:end w:val="single" w:sz="4" w:space="0" w:color="000000"/>
            </w:tcBorders>
          </w:tcPr>
          <w:p>
            <w:pPr>
              <w:pStyle w:val="Normal"/>
              <w:keepLines/>
              <w:widowControl/>
              <w:bidi w:val="0"/>
              <w:spacing w:before="0" w:after="240"/>
              <w:rPr/>
            </w:pPr>
            <w:r>
              <w:rPr/>
              <w:t>Rick Causey</w:t>
            </w:r>
          </w:p>
        </w:tc>
        <w:tc>
          <w:tcPr>
            <w:tcW w:w="3561" w:type="dxa"/>
            <w:tcBorders>
              <w:top w:val="single" w:sz="4" w:space="0" w:color="000000"/>
              <w:start w:val="single" w:sz="4" w:space="0" w:color="000000"/>
              <w:bottom w:val="single" w:sz="4" w:space="0" w:color="000000"/>
              <w:end w:val="single" w:sz="4" w:space="0" w:color="000000"/>
            </w:tcBorders>
          </w:tcPr>
          <w:p>
            <w:pPr>
              <w:pStyle w:val="Normal"/>
              <w:keepLines/>
              <w:widowControl/>
              <w:bidi w:val="0"/>
              <w:spacing w:before="0" w:after="240"/>
              <w:rPr/>
            </w:pPr>
            <w:r>
              <w:rPr/>
              <w:t>Global CAO</w:t>
            </w:r>
          </w:p>
        </w:tc>
        <w:tc>
          <w:tcPr>
            <w:tcW w:w="3561" w:type="dxa"/>
            <w:tcBorders>
              <w:top w:val="single" w:sz="4" w:space="0" w:color="000000"/>
              <w:start w:val="single" w:sz="4" w:space="0" w:color="000000"/>
              <w:bottom w:val="single" w:sz="4" w:space="0" w:color="000000"/>
              <w:end w:val="single" w:sz="4" w:space="0" w:color="000000"/>
            </w:tcBorders>
          </w:tcPr>
          <w:p>
            <w:pPr>
              <w:pStyle w:val="Normal"/>
              <w:snapToGrid w:val="false"/>
              <w:spacing w:before="0" w:after="240"/>
              <w:rPr/>
            </w:pPr>
            <w:r>
              <w:rPr/>
            </w:r>
          </w:p>
        </w:tc>
      </w:tr>
      <w:tr>
        <w:trPr/>
        <w:tc>
          <w:tcPr>
            <w:tcW w:w="3561" w:type="dxa"/>
            <w:tcBorders>
              <w:top w:val="single" w:sz="4" w:space="0" w:color="000000"/>
              <w:start w:val="single" w:sz="4" w:space="0" w:color="000000"/>
              <w:bottom w:val="single" w:sz="4" w:space="0" w:color="000000"/>
              <w:end w:val="single" w:sz="4" w:space="0" w:color="000000"/>
            </w:tcBorders>
          </w:tcPr>
          <w:p>
            <w:pPr>
              <w:pStyle w:val="Normal"/>
              <w:keepLines/>
              <w:widowControl/>
              <w:bidi w:val="0"/>
              <w:spacing w:before="0" w:after="240"/>
              <w:rPr/>
            </w:pPr>
            <w:r>
              <w:rPr/>
              <w:t>Rick Buy</w:t>
            </w:r>
          </w:p>
        </w:tc>
        <w:tc>
          <w:tcPr>
            <w:tcW w:w="3561" w:type="dxa"/>
            <w:tcBorders>
              <w:top w:val="single" w:sz="4" w:space="0" w:color="000000"/>
              <w:start w:val="single" w:sz="4" w:space="0" w:color="000000"/>
              <w:bottom w:val="single" w:sz="4" w:space="0" w:color="000000"/>
              <w:end w:val="single" w:sz="4" w:space="0" w:color="000000"/>
            </w:tcBorders>
          </w:tcPr>
          <w:p>
            <w:pPr>
              <w:pStyle w:val="Normal"/>
              <w:keepLines/>
              <w:widowControl/>
              <w:bidi w:val="0"/>
              <w:spacing w:before="0" w:after="240"/>
              <w:rPr/>
            </w:pPr>
            <w:r>
              <w:rPr/>
              <w:t>Global CRO</w:t>
            </w:r>
          </w:p>
        </w:tc>
        <w:tc>
          <w:tcPr>
            <w:tcW w:w="3561" w:type="dxa"/>
            <w:tcBorders>
              <w:top w:val="single" w:sz="4" w:space="0" w:color="000000"/>
              <w:start w:val="single" w:sz="4" w:space="0" w:color="000000"/>
              <w:bottom w:val="single" w:sz="4" w:space="0" w:color="000000"/>
              <w:end w:val="single" w:sz="4" w:space="0" w:color="000000"/>
            </w:tcBorders>
          </w:tcPr>
          <w:p>
            <w:pPr>
              <w:pStyle w:val="Normal"/>
              <w:snapToGrid w:val="false"/>
              <w:spacing w:before="0" w:after="240"/>
              <w:rPr/>
            </w:pPr>
            <w:r>
              <w:rPr/>
            </w:r>
          </w:p>
        </w:tc>
      </w:tr>
      <w:tr>
        <w:trPr/>
        <w:tc>
          <w:tcPr>
            <w:tcW w:w="3561" w:type="dxa"/>
            <w:tcBorders>
              <w:top w:val="single" w:sz="4" w:space="0" w:color="000000"/>
              <w:start w:val="single" w:sz="4" w:space="0" w:color="000000"/>
              <w:bottom w:val="single" w:sz="4" w:space="0" w:color="000000"/>
              <w:end w:val="single" w:sz="4" w:space="0" w:color="000000"/>
            </w:tcBorders>
          </w:tcPr>
          <w:p>
            <w:pPr>
              <w:pStyle w:val="Normal"/>
              <w:keepLines/>
              <w:widowControl/>
              <w:bidi w:val="0"/>
              <w:spacing w:before="0" w:after="240"/>
              <w:rPr/>
            </w:pPr>
            <w:r>
              <w:rPr/>
              <w:t>John Sherriff</w:t>
            </w:r>
          </w:p>
        </w:tc>
        <w:tc>
          <w:tcPr>
            <w:tcW w:w="3561" w:type="dxa"/>
            <w:tcBorders>
              <w:top w:val="single" w:sz="4" w:space="0" w:color="000000"/>
              <w:start w:val="single" w:sz="4" w:space="0" w:color="000000"/>
              <w:bottom w:val="single" w:sz="4" w:space="0" w:color="000000"/>
              <w:end w:val="single" w:sz="4" w:space="0" w:color="000000"/>
            </w:tcBorders>
          </w:tcPr>
          <w:p>
            <w:pPr>
              <w:pStyle w:val="Normal"/>
              <w:keepLines/>
              <w:widowControl/>
              <w:bidi w:val="0"/>
              <w:spacing w:before="0" w:after="240"/>
              <w:rPr/>
            </w:pPr>
            <w:r>
              <w:rPr/>
              <w:t>President and COO, Enron Europe</w:t>
            </w:r>
          </w:p>
        </w:tc>
        <w:tc>
          <w:tcPr>
            <w:tcW w:w="3561" w:type="dxa"/>
            <w:tcBorders>
              <w:top w:val="single" w:sz="4" w:space="0" w:color="000000"/>
              <w:start w:val="single" w:sz="4" w:space="0" w:color="000000"/>
              <w:bottom w:val="single" w:sz="4" w:space="0" w:color="000000"/>
              <w:end w:val="single" w:sz="4" w:space="0" w:color="000000"/>
            </w:tcBorders>
          </w:tcPr>
          <w:p>
            <w:pPr>
              <w:pStyle w:val="Normal"/>
              <w:snapToGrid w:val="false"/>
              <w:spacing w:before="0" w:after="240"/>
              <w:rPr/>
            </w:pPr>
            <w:r>
              <w:rPr/>
            </w:r>
          </w:p>
        </w:tc>
      </w:tr>
      <w:tr>
        <w:trPr/>
        <w:tc>
          <w:tcPr>
            <w:tcW w:w="3561" w:type="dxa"/>
            <w:tcBorders>
              <w:top w:val="single" w:sz="4" w:space="0" w:color="000000"/>
              <w:start w:val="single" w:sz="4" w:space="0" w:color="000000"/>
              <w:bottom w:val="single" w:sz="4" w:space="0" w:color="000000"/>
              <w:end w:val="single" w:sz="4" w:space="0" w:color="000000"/>
            </w:tcBorders>
          </w:tcPr>
          <w:p>
            <w:pPr>
              <w:pStyle w:val="Normal"/>
              <w:keepLines/>
              <w:widowControl/>
              <w:bidi w:val="0"/>
              <w:spacing w:before="0" w:after="240"/>
              <w:rPr/>
            </w:pPr>
            <w:r>
              <w:rPr/>
              <w:t>Michael Hutchinson</w:t>
            </w:r>
          </w:p>
        </w:tc>
        <w:tc>
          <w:tcPr>
            <w:tcW w:w="3561" w:type="dxa"/>
            <w:tcBorders>
              <w:top w:val="single" w:sz="4" w:space="0" w:color="000000"/>
              <w:start w:val="single" w:sz="4" w:space="0" w:color="000000"/>
              <w:bottom w:val="single" w:sz="4" w:space="0" w:color="000000"/>
              <w:end w:val="single" w:sz="4" w:space="0" w:color="000000"/>
            </w:tcBorders>
          </w:tcPr>
          <w:p>
            <w:pPr>
              <w:pStyle w:val="Normal"/>
              <w:keepLines/>
              <w:widowControl/>
              <w:bidi w:val="0"/>
              <w:spacing w:before="0" w:after="240"/>
              <w:rPr/>
            </w:pPr>
            <w:r>
              <w:rPr/>
              <w:t>Chairman, MG Ltd</w:t>
            </w:r>
          </w:p>
        </w:tc>
        <w:tc>
          <w:tcPr>
            <w:tcW w:w="3561" w:type="dxa"/>
            <w:tcBorders>
              <w:top w:val="single" w:sz="4" w:space="0" w:color="000000"/>
              <w:start w:val="single" w:sz="4" w:space="0" w:color="000000"/>
              <w:bottom w:val="single" w:sz="4" w:space="0" w:color="000000"/>
              <w:end w:val="single" w:sz="4" w:space="0" w:color="000000"/>
            </w:tcBorders>
          </w:tcPr>
          <w:p>
            <w:pPr>
              <w:pStyle w:val="Normal"/>
              <w:snapToGrid w:val="false"/>
              <w:spacing w:before="0" w:after="240"/>
              <w:rPr/>
            </w:pPr>
            <w:r>
              <w:rPr/>
            </w:r>
          </w:p>
        </w:tc>
      </w:tr>
      <w:tr>
        <w:trPr/>
        <w:tc>
          <w:tcPr>
            <w:tcW w:w="3561" w:type="dxa"/>
            <w:tcBorders>
              <w:top w:val="single" w:sz="4" w:space="0" w:color="000000"/>
              <w:start w:val="single" w:sz="4" w:space="0" w:color="000000"/>
              <w:bottom w:val="single" w:sz="4" w:space="0" w:color="000000"/>
              <w:end w:val="single" w:sz="4" w:space="0" w:color="000000"/>
            </w:tcBorders>
          </w:tcPr>
          <w:p>
            <w:pPr>
              <w:pStyle w:val="Normal"/>
              <w:keepLines/>
              <w:widowControl/>
              <w:bidi w:val="0"/>
              <w:spacing w:before="0" w:after="240"/>
              <w:rPr/>
            </w:pPr>
            <w:r>
              <w:rPr/>
              <w:t>Tom McKeever</w:t>
            </w:r>
          </w:p>
        </w:tc>
        <w:tc>
          <w:tcPr>
            <w:tcW w:w="3561" w:type="dxa"/>
            <w:tcBorders>
              <w:top w:val="single" w:sz="4" w:space="0" w:color="000000"/>
              <w:start w:val="single" w:sz="4" w:space="0" w:color="000000"/>
              <w:bottom w:val="single" w:sz="4" w:space="0" w:color="000000"/>
              <w:end w:val="single" w:sz="4" w:space="0" w:color="000000"/>
            </w:tcBorders>
          </w:tcPr>
          <w:p>
            <w:pPr>
              <w:pStyle w:val="Normal"/>
              <w:keepLines/>
              <w:widowControl/>
              <w:bidi w:val="0"/>
              <w:spacing w:before="0" w:after="240"/>
              <w:rPr/>
            </w:pPr>
            <w:r>
              <w:rPr/>
              <w:t>Chairman MCC Corp</w:t>
            </w:r>
          </w:p>
        </w:tc>
        <w:tc>
          <w:tcPr>
            <w:tcW w:w="3561" w:type="dxa"/>
            <w:tcBorders>
              <w:top w:val="single" w:sz="4" w:space="0" w:color="000000"/>
              <w:start w:val="single" w:sz="4" w:space="0" w:color="000000"/>
              <w:bottom w:val="single" w:sz="4" w:space="0" w:color="000000"/>
              <w:end w:val="single" w:sz="4" w:space="0" w:color="000000"/>
            </w:tcBorders>
          </w:tcPr>
          <w:p>
            <w:pPr>
              <w:pStyle w:val="Normal"/>
              <w:snapToGrid w:val="false"/>
              <w:spacing w:before="0" w:after="240"/>
              <w:rPr/>
            </w:pPr>
            <w:r>
              <w:rPr/>
            </w:r>
          </w:p>
        </w:tc>
      </w:tr>
      <w:tr>
        <w:trPr/>
        <w:tc>
          <w:tcPr>
            <w:tcW w:w="3561" w:type="dxa"/>
            <w:tcBorders>
              <w:top w:val="single" w:sz="4" w:space="0" w:color="000000"/>
              <w:start w:val="single" w:sz="4" w:space="0" w:color="000000"/>
              <w:bottom w:val="single" w:sz="4" w:space="0" w:color="000000"/>
              <w:end w:val="single" w:sz="4" w:space="0" w:color="000000"/>
            </w:tcBorders>
          </w:tcPr>
          <w:p>
            <w:pPr>
              <w:pStyle w:val="Normal"/>
              <w:snapToGrid w:val="false"/>
              <w:spacing w:before="0" w:after="240"/>
              <w:rPr/>
            </w:pPr>
            <w:r>
              <w:rPr/>
            </w:r>
          </w:p>
        </w:tc>
        <w:tc>
          <w:tcPr>
            <w:tcW w:w="3561" w:type="dxa"/>
            <w:tcBorders>
              <w:top w:val="single" w:sz="4" w:space="0" w:color="000000"/>
              <w:start w:val="single" w:sz="4" w:space="0" w:color="000000"/>
              <w:bottom w:val="single" w:sz="4" w:space="0" w:color="000000"/>
              <w:end w:val="single" w:sz="4" w:space="0" w:color="000000"/>
            </w:tcBorders>
          </w:tcPr>
          <w:p>
            <w:pPr>
              <w:pStyle w:val="Normal"/>
              <w:snapToGrid w:val="false"/>
              <w:spacing w:before="0" w:after="240"/>
              <w:rPr/>
            </w:pPr>
            <w:r>
              <w:rPr/>
            </w:r>
          </w:p>
        </w:tc>
        <w:tc>
          <w:tcPr>
            <w:tcW w:w="3561" w:type="dxa"/>
            <w:tcBorders>
              <w:top w:val="single" w:sz="4" w:space="0" w:color="000000"/>
              <w:start w:val="single" w:sz="4" w:space="0" w:color="000000"/>
              <w:bottom w:val="single" w:sz="4" w:space="0" w:color="000000"/>
              <w:end w:val="single" w:sz="4" w:space="0" w:color="000000"/>
            </w:tcBorders>
          </w:tcPr>
          <w:p>
            <w:pPr>
              <w:pStyle w:val="Normal"/>
              <w:snapToGrid w:val="false"/>
              <w:spacing w:before="0" w:after="240"/>
              <w:rPr/>
            </w:pPr>
            <w:r>
              <w:rPr/>
            </w:r>
          </w:p>
        </w:tc>
      </w:tr>
    </w:tbl>
    <w:p>
      <w:pPr>
        <w:pStyle w:val="Normal"/>
        <w:spacing w:before="0" w:after="240"/>
        <w:rPr/>
      </w:pPr>
      <w:r>
        <w:rPr/>
      </w:r>
    </w:p>
    <w:sectPr>
      <w:headerReference w:type="default" r:id="rId3"/>
      <w:headerReference w:type="first" r:id="rId4"/>
      <w:footerReference w:type="default" r:id="rId5"/>
      <w:footerReference w:type="first" r:id="rId6"/>
      <w:type w:val="nextPage"/>
      <w:pgSz w:w="11906" w:h="16838"/>
      <w:pgMar w:left="720" w:right="72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left" w:pos="3780" w:leader="none"/>
        <w:tab w:val="center" w:pos="5040" w:leader="none"/>
        <w:tab w:val="center" w:pos="7560" w:leader="none"/>
        <w:tab w:val="right" w:pos="10080" w:leader="none"/>
      </w:tabs>
      <w:jc w:val="center"/>
      <w:rPr>
        <w:b/>
        <w:sz w:val="16"/>
      </w:rPr>
    </w:pPr>
    <w:r>
      <w:rPr>
        <w:b/>
        <w:sz w:val="16"/>
      </w:rPr>
      <w:t>Your Personal Best Makes Enron Best</w:t>
      <w:tab/>
      <w:t>Communicate- Facts Are Friendly</w:t>
      <w:tab/>
      <w:tab/>
      <w:t>Better, Faster, Simpler</w:t>
    </w:r>
  </w:p>
  <w:p>
    <w:pPr>
      <w:pStyle w:val="Footer"/>
      <w:tabs>
        <w:tab w:val="left" w:pos="3780" w:leader="none"/>
        <w:tab w:val="center" w:pos="5040" w:leader="none"/>
        <w:tab w:val="center" w:pos="7560" w:leader="none"/>
        <w:tab w:val="right" w:pos="10080" w:leader="none"/>
      </w:tabs>
      <w:spacing w:before="0" w:after="240"/>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Your Personal Best Makes Enron Best</w:t>
      <w:tab/>
      <w:t>Communicate- Facts Are Friendly</w:t>
      <w:tab/>
      <w:t>Better, Faster, Simpler</w:t>
    </w:r>
  </w:p>
  <w:p>
    <w:pPr>
      <w:pStyle w:val="Footer"/>
      <w:tabs>
        <w:tab w:val="left" w:pos="3780" w:leader="none"/>
        <w:tab w:val="center" w:pos="5040" w:leader="none"/>
        <w:tab w:val="center" w:pos="7560" w:leader="none"/>
        <w:tab w:val="right" w:pos="10080" w:leader="none"/>
        <w:tab w:val="right" w:pos="10800" w:leader="none"/>
      </w:tabs>
      <w:spacing w:before="0" w:after="240"/>
      <w:rPr>
        <w:sz w:val="12"/>
      </w:rPr>
    </w:pPr>
    <w:r>
      <w:rPr>
        <w:sz w:val="12"/>
      </w:rPr>
      <w:t>Form 000-469-1 (7/92)</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fldChar w:fldCharType="begin"/>
    </w:r>
    <w:r>
      <w:rPr/>
      <w:instrText xml:space="preserve"> SAVEDATE \@"yy\-MM\-dd" </w:instrText>
    </w:r>
    <w:r>
      <w:rPr/>
      <w:fldChar w:fldCharType="separate"/>
    </w:r>
    <w:r>
      <w:rPr/>
      <w:t>00-06-21</w:t>
    </w:r>
    <w:r>
      <w:rPr/>
      <w:fldChar w:fldCharType="end"/>
    </w:r>
    <w:r>
      <w:rPr/>
      <w:tab/>
      <w:t xml:space="preserve">Page </w:t>
    </w:r>
    <w:r>
      <w:rPr/>
      <w:fldChar w:fldCharType="begin"/>
    </w:r>
    <w:r>
      <w:rPr/>
      <w:instrText xml:space="preserve"> PAGE </w:instrText>
    </w:r>
    <w:r>
      <w:rPr/>
      <w:fldChar w:fldCharType="separate"/>
    </w:r>
    <w:r>
      <w:rPr/>
      <w:t>2</w:t>
    </w:r>
    <w:r>
      <w:rPr/>
      <w:fldChar w:fldCharType="end"/>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keepLines/>
      <w:widowControl/>
      <w:bidi w:val="0"/>
      <w:spacing w:before="0" w:after="240"/>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-361315</wp:posOffset>
              </wp:positionV>
              <wp:extent cx="3877310" cy="65849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spacing w:before="0" w:after="0"/>
                            <w:ind w:start="3600" w:end="0"/>
                            <w:rPr>
                              <w:b/>
                              <w:sz w:val="32"/>
                            </w:rPr>
                          </w:pPr>
                          <w:r>
                            <w:rPr>
                              <w:b/>
                              <w:sz w:val="32"/>
                            </w:rPr>
                            <w:t>Interoffice</w:t>
                          </w:r>
                          <w:r>
                            <w:rPr>
                              <w:b/>
                              <w:sz w:val="32"/>
                            </w:rPr>
                            <w:t>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28.45pt;mso-position-vertical-relative:text;margin-left:201.3pt;mso-position-horizontal-relative:page">
              <v:fill opacity="0f"/>
              <v:textbox inset="0in,0in,0in,0in">
                <w:txbxContent>
                  <w:p>
                    <w:pPr>
                      <w:pStyle w:val="Normal"/>
                      <w:spacing w:before="0" w:after="0"/>
                      <w:ind w:start="3600" w:end="0"/>
                      <w:rPr>
                        <w:b/>
                        <w:sz w:val="32"/>
                      </w:rPr>
                    </w:pPr>
                    <w:r>
                      <w:rPr>
                        <w:b/>
                        <w:sz w:val="32"/>
                      </w:rPr>
                      <w:t>Interoffice</w:t>
                    </w:r>
                    <w:r>
                      <w:rPr>
                        <w:b/>
                        <w:sz w:val="32"/>
                      </w:rPr>
                      <w:t>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keepLines/>
      <w:widowControl/>
      <w:bidi w:val="0"/>
      <w:spacing w:before="0" w:after="24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Heading2"/>
    <w:qFormat/>
    <w:pPr>
      <w:keepNext w:val="true"/>
      <w:keepLines/>
      <w:pageBreakBefore/>
      <w:numPr>
        <w:ilvl w:val="0"/>
        <w:numId w:val="1"/>
      </w:numPr>
      <w:tabs>
        <w:tab w:val="clear" w:pos="720"/>
      </w:tabs>
      <w:spacing w:before="0" w:after="240"/>
      <w:outlineLvl w:val="0"/>
    </w:pPr>
    <w:rPr>
      <w:rFonts w:ascii="Times New Roman" w:hAnsi="Times New Roman" w:cs="Times New Roman"/>
      <w:b/>
    </w:rPr>
  </w:style>
  <w:style w:type="paragraph" w:styleId="Heading2">
    <w:name w:val="heading 2"/>
    <w:basedOn w:val="Heading1"/>
    <w:next w:val="Heading3"/>
    <w:qFormat/>
    <w:pPr>
      <w:pageBreakBefore w:val="false"/>
      <w:numPr>
        <w:ilvl w:val="1"/>
        <w:numId w:val="1"/>
      </w:numPr>
      <w:outlineLvl w:val="1"/>
    </w:pPr>
    <w:rPr>
      <w:sz w:val="20"/>
    </w:rPr>
  </w:style>
  <w:style w:type="paragraph" w:styleId="Heading3">
    <w:name w:val="heading 3"/>
    <w:basedOn w:val="Heading2"/>
    <w:next w:val="Normal"/>
    <w:qFormat/>
    <w:pPr>
      <w:numPr>
        <w:ilvl w:val="2"/>
        <w:numId w:val="1"/>
      </w:numPr>
      <w:outlineLvl w:val="2"/>
    </w:pPr>
    <w:rPr>
      <w:b w:val="false"/>
    </w:rPr>
  </w:style>
  <w:style w:type="paragraph" w:styleId="Heading4">
    <w:name w:val="heading 4"/>
    <w:basedOn w:val="Heading3"/>
    <w:next w:val="Heading5"/>
    <w:qFormat/>
    <w:pPr>
      <w:numPr>
        <w:ilvl w:val="3"/>
        <w:numId w:val="1"/>
      </w:numPr>
      <w:outlineLvl w:val="3"/>
    </w:pPr>
    <w:rPr/>
  </w:style>
  <w:style w:type="paragraph" w:styleId="Heading5">
    <w:name w:val="heading 5"/>
    <w:basedOn w:val="Heading4"/>
    <w:next w:val="Normal"/>
    <w:qFormat/>
    <w:pPr>
      <w:numPr>
        <w:ilvl w:val="4"/>
        <w:numId w:val="1"/>
      </w:numPr>
      <w:outlineLvl w:val="4"/>
    </w:pPr>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tabs>
        <w:tab w:val="clear" w:pos="72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spacing w:before="0" w:after="0"/>
      <w:ind w:hanging="0" w:start="3600" w:end="0"/>
    </w:pPr>
    <w:rPr>
      <w:b/>
      <w:sz w:val="32"/>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5040" w:leader="none"/>
        <w:tab w:val="right" w:pos="10080" w:leader="none"/>
      </w:tabs>
      <w:spacing w:before="0" w:after="0"/>
    </w:pPr>
    <w:rPr>
      <w:rFonts w:ascii="Times New Roman" w:hAnsi="Times New Roman" w:cs="Times New Roman"/>
      <w:sz w:val="20"/>
    </w:rPr>
  </w:style>
  <w:style w:type="paragraph" w:styleId="Footer">
    <w:name w:val="footer"/>
    <w:basedOn w:val="Header"/>
    <w:pPr>
      <w:keepLines/>
      <w:spacing w:before="0" w:after="240"/>
    </w:pPr>
    <w:rPr>
      <w:rFonts w:ascii="Times New Roman" w:hAnsi="Times New Roman" w:cs="Times New Roman"/>
      <w:i/>
      <w:sz w:val="20"/>
    </w:rPr>
  </w:style>
  <w:style w:type="paragraph" w:styleId="Subject">
    <w:name w:val="Subject"/>
    <w:basedOn w:val="Normal"/>
    <w:qFormat/>
    <w:pPr>
      <w:tabs>
        <w:tab w:val="clear" w:pos="720"/>
      </w:tabs>
    </w:pPr>
    <w:rPr>
      <w:sz w:val="20"/>
    </w:rPr>
  </w:style>
  <w:style w:type="paragraph" w:styleId="Date">
    <w:name w:val="Date"/>
    <w:basedOn w:val="Normal"/>
    <w:qFormat/>
    <w:pPr>
      <w:tabs>
        <w:tab w:val="clear" w:pos="720"/>
      </w:tabs>
    </w:pPr>
    <w:rPr>
      <w:sz w:val="20"/>
    </w:rPr>
  </w:style>
  <w:style w:type="paragraph" w:styleId="To">
    <w:name w:val="To"/>
    <w:basedOn w:val="Normal"/>
    <w:qFormat/>
    <w:pPr>
      <w:tabs>
        <w:tab w:val="clear" w:pos="720"/>
      </w:tabs>
    </w:pPr>
    <w:rPr>
      <w:sz w:val="20"/>
    </w:rPr>
  </w:style>
  <w:style w:type="paragraph" w:styleId="From">
    <w:name w:val="From"/>
    <w:basedOn w:val="Normal"/>
    <w:qFormat/>
    <w:pPr>
      <w:tabs>
        <w:tab w:val="clear" w:pos="720"/>
      </w:tabs>
    </w:pPr>
    <w:rPr>
      <w:sz w:val="20"/>
    </w:rPr>
  </w:style>
  <w:style w:type="paragraph" w:styleId="CopyList">
    <w:name w:val="CopyList"/>
    <w:basedOn w:val="Normal"/>
    <w:qFormat/>
    <w:pPr>
      <w:tabs>
        <w:tab w:val="clear" w:pos="720"/>
        <w:tab w:val="left" w:pos="504" w:leader="none"/>
      </w:tabs>
      <w:spacing w:before="360" w:after="240"/>
      <w:ind w:hanging="504" w:start="576" w:end="0"/>
    </w:pPr>
    <w:rPr>
      <w:rFonts w:ascii="Arial" w:hAnsi="Arial" w:cs="Arial"/>
      <w:sz w:val="20"/>
    </w:rPr>
  </w:style>
  <w:style w:type="paragraph" w:styleId="Body">
    <w:name w:val="Body"/>
    <w:basedOn w:val="Normal"/>
    <w:qFormat/>
    <w:pPr>
      <w:tabs>
        <w:tab w:val="clear" w:pos="720"/>
      </w:tabs>
      <w:ind w:hanging="0" w:start="72" w:end="0"/>
    </w:pPr>
    <w:rPr>
      <w:rFonts w:ascii="Arial" w:hAnsi="Arial" w:cs="Arial"/>
      <w:color w:val="000080"/>
      <w:sz w:val="20"/>
    </w:rPr>
  </w:style>
  <w:style w:type="paragraph" w:styleId="Department">
    <w:name w:val="Department"/>
    <w:basedOn w:val="Normal"/>
    <w:qFormat/>
    <w:pPr>
      <w:tabs>
        <w:tab w:val="clear" w:pos="720"/>
      </w:tabs>
    </w:pPr>
    <w:rPr>
      <w:sz w:val="20"/>
    </w:rPr>
  </w:style>
  <w:style w:type="paragraph" w:styleId="body1">
    <w:name w:val="body1"/>
    <w:basedOn w:val="Normal"/>
    <w:qFormat/>
    <w:pPr>
      <w:keepLines/>
      <w:tabs>
        <w:tab w:val="clear" w:pos="720"/>
      </w:tabs>
      <w:spacing w:before="0" w:after="240"/>
    </w:pPr>
    <w:rPr>
      <w:rFonts w:ascii="Times New Roman" w:hAnsi="Times New Roman" w:cs="Times New Roman"/>
      <w:sz w:val="20"/>
    </w:rPr>
  </w:style>
  <w:style w:type="paragraph" w:styleId="bullet">
    <w:name w:val="bullet"/>
    <w:basedOn w:val="Normal"/>
    <w:qFormat/>
    <w:pPr>
      <w:keepLines/>
      <w:tabs>
        <w:tab w:val="clear" w:pos="720"/>
      </w:tabs>
      <w:spacing w:before="0" w:after="240"/>
      <w:ind w:hanging="720" w:start="720" w:end="0"/>
    </w:pPr>
    <w:rPr>
      <w:rFonts w:ascii="Times New Roman" w:hAnsi="Times New Roman" w:cs="Times New Roman"/>
      <w:sz w:val="20"/>
    </w:rPr>
  </w:style>
  <w:style w:type="paragraph" w:styleId="bulletindent1">
    <w:name w:val="bullet indent 1"/>
    <w:basedOn w:val="bullet"/>
    <w:qFormat/>
    <w:pPr>
      <w:ind w:hanging="720" w:start="1440" w:end="0"/>
    </w:pPr>
    <w:rPr/>
  </w:style>
  <w:style w:type="paragraph" w:styleId="bulletindent2">
    <w:name w:val="bullet indent 2"/>
    <w:basedOn w:val="bulletindent1"/>
    <w:qFormat/>
    <w:pPr>
      <w:ind w:hanging="720" w:start="2160" w:end="0"/>
    </w:pPr>
    <w:rPr/>
  </w:style>
  <w:style w:type="paragraph" w:styleId="bulletindent3">
    <w:name w:val="bullet indent 3"/>
    <w:basedOn w:val="bulletindent2"/>
    <w:qFormat/>
    <w:pPr>
      <w:ind w:hanging="720" w:start="2880" w:end="0"/>
    </w:pPr>
    <w:rPr/>
  </w:style>
  <w:style w:type="paragraph" w:styleId="centre">
    <w:name w:val="centre"/>
    <w:basedOn w:val="Normal"/>
    <w:qFormat/>
    <w:pPr>
      <w:keepLines/>
      <w:tabs>
        <w:tab w:val="clear" w:pos="720"/>
      </w:tabs>
      <w:spacing w:before="0" w:after="240"/>
      <w:jc w:val="center"/>
    </w:pPr>
    <w:rPr>
      <w:rFonts w:ascii="Times New Roman" w:hAnsi="Times New Roman" w:cs="Times New Roman"/>
      <w:b/>
    </w:rPr>
  </w:style>
  <w:style w:type="paragraph" w:styleId="close">
    <w:name w:val="close"/>
    <w:basedOn w:val="Normal"/>
    <w:qFormat/>
    <w:pPr>
      <w:keepLines/>
      <w:tabs>
        <w:tab w:val="clear" w:pos="720"/>
      </w:tabs>
    </w:pPr>
    <w:rPr>
      <w:rFonts w:ascii="Times New Roman" w:hAnsi="Times New Roman" w:cs="Times New Roman"/>
      <w:sz w:val="20"/>
    </w:rPr>
  </w:style>
  <w:style w:type="paragraph" w:styleId="headercont">
    <w:name w:val="headercont"/>
    <w:basedOn w:val="Header"/>
    <w:qFormat/>
    <w:pPr>
      <w:tabs>
        <w:tab w:val="clear" w:pos="5040"/>
        <w:tab w:val="clear" w:pos="10080"/>
        <w:tab w:val="center" w:pos="4962" w:leader="none"/>
        <w:tab w:val="right" w:pos="9923" w:leader="none"/>
      </w:tabs>
      <w:ind w:hanging="0" w:start="0" w:end="250"/>
      <w:jc w:val="end"/>
    </w:pPr>
    <w:rPr>
      <w:b/>
      <w:i/>
      <w:u w:val="single"/>
    </w:rPr>
  </w:style>
  <w:style w:type="paragraph" w:styleId="headertel">
    <w:name w:val="headertel"/>
    <w:basedOn w:val="Header"/>
    <w:qFormat/>
    <w:pPr>
      <w:tabs>
        <w:tab w:val="clear" w:pos="5040"/>
        <w:tab w:val="clear" w:pos="10080"/>
        <w:tab w:val="right" w:pos="7938" w:leader="none"/>
        <w:tab w:val="right" w:pos="9923" w:leader="none"/>
      </w:tabs>
      <w:ind w:hanging="0" w:start="0" w:end="-318"/>
    </w:pPr>
    <w:rPr>
      <w:b/>
      <w:i/>
    </w:rPr>
  </w:style>
  <w:style w:type="paragraph" w:styleId="journal">
    <w:name w:val="journal"/>
    <w:basedOn w:val="Normal"/>
    <w:qFormat/>
    <w:pPr>
      <w:keepLines/>
      <w:tabs>
        <w:tab w:val="left" w:pos="360" w:leader="none"/>
        <w:tab w:val="left" w:pos="720" w:leader="none"/>
        <w:tab w:val="left" w:pos="1080" w:leader="none"/>
        <w:tab w:val="decimal" w:pos="5760" w:leader="none"/>
        <w:tab w:val="decimal" w:pos="7200" w:leader="none"/>
      </w:tabs>
    </w:pPr>
    <w:rPr>
      <w:rFonts w:ascii="Times New Roman" w:hAnsi="Times New Roman" w:cs="Times New Roman"/>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EnMemo.DOT</Template>
  <TotalTime>62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2000-06-21T02:55:00Z</dcterms:created>
  <dc:creator>RSage</dc:creator>
  <dc:description/>
  <dc:language>en-CA</dc:language>
  <cp:lastModifiedBy>RSage</cp:lastModifiedBy>
  <cp:lastPrinted>1997-02-03T10:06:00Z</cp:lastPrinted>
  <dcterms:modified xsi:type="dcterms:W3CDTF">2000-06-21T04:05:00Z</dcterms:modified>
  <cp:revision>9</cp:revision>
  <dc:subject>Tractebel Meeting</dc:subject>
  <dc:title> </dc:title>
</cp:coreProperties>
</file>