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2070" w:leader="none"/>
          <w:tab w:val="left" w:pos="2250" w:leader="none"/>
        </w:tabs>
        <w:rPr>
          <w:szCs w:val="20"/>
        </w:rPr>
      </w:pPr>
      <w:r>
        <w:rPr>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szCs w:val="16"/>
              </w:rPr>
            </w:pPr>
            <w:r>
              <w:rPr>
                <w:sz w:val="16"/>
                <w:szCs w:val="16"/>
              </w:rPr>
              <w:t>To:</w:t>
            </w:r>
          </w:p>
        </w:tc>
        <w:tc>
          <w:tcPr>
            <w:tcW w:w="6045" w:type="dxa"/>
            <w:tcBorders/>
          </w:tcPr>
          <w:p>
            <w:pPr>
              <w:pStyle w:val="To"/>
              <w:rPr/>
            </w:pPr>
            <w:r>
              <w:rPr/>
              <w:t>Enron Worldwide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300" w:hRule="exact"/>
        </w:trPr>
        <w:tc>
          <w:tcPr>
            <w:tcW w:w="708" w:type="dxa"/>
            <w:tcBorders/>
          </w:tcPr>
          <w:p>
            <w:pPr>
              <w:pStyle w:val="Normal"/>
              <w:ind w:start="-180" w:end="0"/>
              <w:jc w:val="end"/>
              <w:rPr>
                <w:sz w:val="16"/>
                <w:szCs w:val="16"/>
              </w:rPr>
            </w:pPr>
            <w:r>
              <w:rPr>
                <w:sz w:val="16"/>
                <w:szCs w:val="16"/>
              </w:rPr>
              <w:t>From:</w:t>
            </w:r>
          </w:p>
        </w:tc>
        <w:tc>
          <w:tcPr>
            <w:tcW w:w="6045" w:type="dxa"/>
            <w:tcBorders/>
          </w:tcPr>
          <w:p>
            <w:pPr>
              <w:pStyle w:val="From"/>
              <w:rPr/>
            </w:pPr>
            <w:r>
              <w:rPr/>
              <w:t>The Office of the Chairman</w:t>
            </w:r>
          </w:p>
        </w:tc>
        <w:tc>
          <w:tcPr>
            <w:tcW w:w="990" w:type="dxa"/>
            <w:tcBorders/>
          </w:tcPr>
          <w:p>
            <w:pPr>
              <w:pStyle w:val="Normal"/>
              <w:snapToGrid w:val="false"/>
              <w:ind w:start="-180" w:end="0"/>
              <w:jc w:val="end"/>
              <w:rPr>
                <w:sz w:val="16"/>
                <w:szCs w:val="16"/>
              </w:rPr>
            </w:pPr>
            <w:r>
              <w:rPr>
                <w:sz w:val="16"/>
                <w:szCs w:val="16"/>
              </w:rPr>
            </w:r>
          </w:p>
        </w:tc>
        <w:tc>
          <w:tcPr>
            <w:tcW w:w="2965" w:type="dxa"/>
            <w:tcBorders/>
          </w:tcPr>
          <w:p>
            <w:pPr>
              <w:pStyle w:val="Department"/>
              <w:snapToGrid w:val="false"/>
              <w:rPr>
                <w:sz w:val="16"/>
                <w:szCs w:val="16"/>
              </w:rPr>
            </w:pPr>
            <w:r>
              <w:rPr>
                <w:sz w:val="16"/>
                <w:szCs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szCs w:val="18"/>
              </w:rPr>
            </w:pPr>
            <w:r>
              <w:rPr>
                <w:sz w:val="18"/>
                <w:szCs w:val="18"/>
              </w:rPr>
            </w:r>
          </w:p>
        </w:tc>
        <w:tc>
          <w:tcPr>
            <w:tcW w:w="6045" w:type="dxa"/>
            <w:tcBorders/>
          </w:tcPr>
          <w:p>
            <w:pPr>
              <w:pStyle w:val="Normal"/>
              <w:snapToGrid w:val="false"/>
              <w:rPr>
                <w:sz w:val="18"/>
                <w:szCs w:val="18"/>
              </w:rPr>
            </w:pPr>
            <w:r>
              <w:rPr>
                <w:sz w:val="18"/>
                <w:szCs w:val="18"/>
              </w:rPr>
            </w:r>
          </w:p>
        </w:tc>
        <w:tc>
          <w:tcPr>
            <w:tcW w:w="990" w:type="dxa"/>
            <w:tcBorders/>
          </w:tcPr>
          <w:p>
            <w:pPr>
              <w:pStyle w:val="Normal"/>
              <w:snapToGrid w:val="false"/>
              <w:ind w:start="-180" w:end="0"/>
              <w:rPr>
                <w:sz w:val="18"/>
                <w:szCs w:val="18"/>
              </w:rPr>
            </w:pPr>
            <w:r>
              <w:rPr>
                <w:sz w:val="18"/>
                <w:szCs w:val="18"/>
              </w:rPr>
            </w:r>
          </w:p>
        </w:tc>
        <w:tc>
          <w:tcPr>
            <w:tcW w:w="2965" w:type="dxa"/>
            <w:tcBorders/>
          </w:tcPr>
          <w:p>
            <w:pPr>
              <w:pStyle w:val="Normal"/>
              <w:snapToGrid w:val="false"/>
              <w:rPr>
                <w:sz w:val="18"/>
                <w:szCs w:val="18"/>
              </w:rPr>
            </w:pPr>
            <w:r>
              <w:rPr>
                <w:sz w:val="18"/>
                <w:szCs w:val="18"/>
              </w:rPr>
            </w:r>
          </w:p>
        </w:tc>
      </w:tr>
      <w:tr>
        <w:trPr>
          <w:trHeight w:val="600" w:hRule="exact"/>
        </w:trPr>
        <w:tc>
          <w:tcPr>
            <w:tcW w:w="708" w:type="dxa"/>
            <w:tcBorders>
              <w:bottom w:val="single" w:sz="12" w:space="0" w:color="000000"/>
            </w:tcBorders>
          </w:tcPr>
          <w:p>
            <w:pPr>
              <w:pStyle w:val="Normal"/>
              <w:ind w:start="-180" w:end="0"/>
              <w:jc w:val="end"/>
              <w:rPr>
                <w:sz w:val="16"/>
                <w:szCs w:val="16"/>
              </w:rPr>
            </w:pPr>
            <w:r>
              <w:rPr>
                <w:sz w:val="16"/>
                <w:szCs w:val="16"/>
              </w:rPr>
              <w:t>Subject:</w:t>
            </w:r>
          </w:p>
        </w:tc>
        <w:tc>
          <w:tcPr>
            <w:tcW w:w="6045" w:type="dxa"/>
            <w:tcBorders>
              <w:bottom w:val="single" w:sz="12" w:space="0" w:color="000000"/>
            </w:tcBorders>
          </w:tcPr>
          <w:p>
            <w:pPr>
              <w:pStyle w:val="Subject"/>
              <w:rPr/>
            </w:pPr>
            <w:r>
              <w:rPr/>
              <w:t>Organizational Announcement</w:t>
            </w:r>
          </w:p>
        </w:tc>
        <w:tc>
          <w:tcPr>
            <w:tcW w:w="990" w:type="dxa"/>
            <w:tcBorders>
              <w:bottom w:val="single" w:sz="12" w:space="0" w:color="000000"/>
            </w:tcBorders>
          </w:tcPr>
          <w:p>
            <w:pPr>
              <w:pStyle w:val="Normal"/>
              <w:ind w:start="-180" w:end="0"/>
              <w:jc w:val="end"/>
              <w:rPr>
                <w:sz w:val="16"/>
                <w:szCs w:val="16"/>
              </w:rPr>
            </w:pPr>
            <w:r>
              <w:rPr>
                <w:sz w:val="16"/>
                <w:szCs w:val="16"/>
              </w:rPr>
              <w:t>Date:</w:t>
            </w:r>
          </w:p>
        </w:tc>
        <w:tc>
          <w:tcPr>
            <w:tcW w:w="2965" w:type="dxa"/>
            <w:tcBorders>
              <w:bottom w:val="single" w:sz="12" w:space="0" w:color="000000"/>
            </w:tcBorders>
          </w:tcPr>
          <w:p>
            <w:pPr>
              <w:pStyle w:val="Date"/>
              <w:rPr/>
            </w:pPr>
            <w:r>
              <w:rPr/>
              <w:t>November 3, 2000</w:t>
            </w:r>
          </w:p>
        </w:tc>
      </w:tr>
    </w:tbl>
    <w:p>
      <w:pPr>
        <w:pStyle w:val="Normal"/>
        <w:jc w:val="both"/>
        <w:rPr>
          <w:sz w:val="24"/>
        </w:rPr>
      </w:pPr>
      <w:r>
        <w:rPr>
          <w:sz w:val="24"/>
        </w:rPr>
      </w:r>
      <w:bookmarkStart w:id="2" w:name="StartOfMemo"/>
      <w:bookmarkStart w:id="3" w:name="StartOfMemo"/>
      <w:bookmarkEnd w:id="3"/>
    </w:p>
    <w:p>
      <w:pPr>
        <w:pStyle w:val="Normal"/>
        <w:jc w:val="both"/>
        <w:rPr>
          <w:rFonts w:ascii="Times New Roman" w:hAnsi="Times New Roman" w:cs="Times New Roman"/>
          <w:sz w:val="24"/>
        </w:rPr>
      </w:pPr>
      <w:r>
        <w:rPr>
          <w:rFonts w:cs="Times New Roman" w:ascii="Times New Roman" w:hAnsi="Times New Roman"/>
          <w:sz w:val="24"/>
        </w:rPr>
        <w:t>We are making the following organizational changes in order to align our talent and resources around our four core businesses – Enron Transportation Services, Enron Wholesale Services, Enron Energy Services, and Enron Broadband Services.</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jc w:val="center"/>
        <w:rPr>
          <w:sz w:val="24"/>
        </w:rPr>
      </w:pPr>
      <w:r>
        <w:rPr>
          <w:sz w:val="24"/>
        </w:rPr>
        <w:t>ENRON WHOLESALE SERVICES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Enron’s wholesale businesses are continuing to experience tremendous growth as highlighted by our outstanding 3</w:t>
      </w:r>
      <w:r>
        <w:rPr>
          <w:rFonts w:cs="Times New Roman" w:ascii="Times New Roman" w:hAnsi="Times New Roman"/>
          <w:sz w:val="24"/>
          <w:vertAlign w:val="superscript"/>
        </w:rPr>
        <w:t>rd</w:t>
      </w:r>
      <w:r>
        <w:rPr>
          <w:rFonts w:cs="Times New Roman" w:ascii="Times New Roman" w:hAnsi="Times New Roman"/>
          <w:sz w:val="24"/>
        </w:rPr>
        <w:t xml:space="preserve"> quarter performance.  Throughout this period of growth we have witnessed the emergence of a common successful wholesale business model.  That model relies on extensive physical and transactional networks built around a small number of strategic assets to produce high returns on invested capital.  As we look ahead and try to position ourselves to capture the many opportunities we are seeing across all of our wholesale markets, we believe that it is the right time for us to align all of our wholesale businesses and investments around this model.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Today, we are announcing the formation of Enron Wholesale Services (EWS) which will consolidate our global wholesale businesses.  The closer alignment of our wholesale businesses will accomplish the following: (1) enhanced communication and coordination across business units, (2) more rapid deployment of people to higher valued opportunities, (3) more effective prioritization of opportunities across wholesale business, and (4) more rapid extension of Enron’s wholesale business model and capabilities into new industries and markets.</w:t>
      </w:r>
    </w:p>
    <w:p>
      <w:pPr>
        <w:pStyle w:val="Normal"/>
        <w:jc w:val="both"/>
        <w:rPr>
          <w:rFonts w:ascii="Times New Roman" w:hAnsi="Times New Roman" w:cs="Times New Roman"/>
          <w:sz w:val="24"/>
        </w:rPr>
      </w:pPr>
      <w:r>
        <w:rPr>
          <w:rFonts w:cs="Times New Roman" w:ascii="Times New Roman" w:hAnsi="Times New Roman"/>
          <w:sz w:val="24"/>
        </w:rPr>
      </w:r>
    </w:p>
    <w:p>
      <w:pPr>
        <w:pStyle w:val="BodyText"/>
        <w:jc w:val="both"/>
        <w:rPr/>
      </w:pPr>
      <w:r>
        <w:rPr/>
        <w:t>Enron Wholesale Services will be comprised of our current North American, European (including Japan and Australia), Global Markets, and Industrial Markets operations, and will be expanded to include Enron’s Net Works business unit as well as a new unit – Enron Global Assets.  In addition, Enron’s merchant businesses outside of North American and Europe will be integrated into this new structure as described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Mark Frevert, currently Chairman of each of our wholesale units, will assume the role of Chairman and CEO of Enron Wholesale Services.  Greg Whalley, currently Chairman and CEO of Enron Net Works, will join Mark in the Office of the Chairman as President and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Net Works</w:t>
      </w:r>
    </w:p>
    <w:p>
      <w:pPr>
        <w:pStyle w:val="Normal"/>
        <w:jc w:val="both"/>
        <w:rPr>
          <w:rFonts w:ascii="Times New Roman" w:hAnsi="Times New Roman" w:cs="Times New Roman"/>
          <w:sz w:val="24"/>
        </w:rPr>
      </w:pPr>
      <w:r>
        <w:rPr>
          <w:rFonts w:cs="Times New Roman" w:ascii="Times New Roman" w:hAnsi="Times New Roman"/>
          <w:sz w:val="24"/>
        </w:rPr>
        <w:t>Louise Kitchen will assume Greg’s previous responsibilities as President and CEO of Enron Net Works, reporting into Mark and Greg.  Philippe Bibi, Chief Technology Officer, will report to Louise.</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Global Assets</w:t>
      </w:r>
    </w:p>
    <w:p>
      <w:pPr>
        <w:pStyle w:val="Normal"/>
        <w:jc w:val="both"/>
        <w:rPr>
          <w:rFonts w:ascii="Times New Roman" w:hAnsi="Times New Roman" w:cs="Times New Roman"/>
          <w:sz w:val="24"/>
        </w:rPr>
      </w:pPr>
      <w:r>
        <w:rPr>
          <w:rFonts w:cs="Times New Roman" w:ascii="Times New Roman" w:hAnsi="Times New Roman"/>
          <w:sz w:val="24"/>
        </w:rPr>
        <w:t>Enron Global Assets will have responsibility for managing and optimizing the performance of Enron’s existing asset portfolio outside of North America and Europe.  This includes all of Enron’s energy assets and operations in Asia, India, South and Central America.</w:t>
      </w:r>
    </w:p>
    <w:p>
      <w:pPr>
        <w:pStyle w:val="Normal"/>
        <w:jc w:val="both"/>
        <w:rPr>
          <w:rFonts w:ascii="Times New Roman" w:hAnsi="Times New Roman" w:cs="Times New Roman"/>
          <w:sz w:val="24"/>
        </w:rPr>
      </w:pPr>
      <w:r>
        <w:rPr>
          <w:rFonts w:cs="Times New Roman" w:ascii="Times New Roman" w:hAnsi="Times New Roman"/>
          <w:sz w:val="24"/>
        </w:rPr>
      </w:r>
    </w:p>
    <w:p>
      <w:pPr>
        <w:pStyle w:val="BodyText"/>
        <w:jc w:val="both"/>
        <w:rPr/>
      </w:pPr>
      <w:r>
        <w:rPr/>
        <w:t>We are pleased to announce that Rebecca McDonald as President and CEO, and Jim Hughes as Chief Operating Officer, will head up this new business unit, reporting to Mark and Greg.</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As discussed below, Sanjay Bhatnager will be joining Enron Broadband Services.  Sanjay will also continue to run Enron’s wholesale energy business in India.  In that capacity Sanjay will report to Rebecca and Jim.  Wade Cline - Chief Operating Officer of Enron India will also report into Rebecca and Jim.</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In order to ensure a smooth transition for our South American businesses and to facilitate our asset sales activities, Jim Bannantine will remain in South America and serve as Executive Vice President and Regional Manager[?] for South America.  Jim will report to Cliff Baxter and Enron Global Assets Office of the Chairman.</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u w:val="none"/>
        </w:rPr>
      </w:pPr>
      <w:r>
        <w:rPr/>
        <w:t>Enron Americas</w:t>
      </w:r>
    </w:p>
    <w:p>
      <w:pPr>
        <w:pStyle w:val="Normal"/>
        <w:jc w:val="both"/>
        <w:rPr>
          <w:rFonts w:ascii="Times New Roman" w:hAnsi="Times New Roman" w:cs="Times New Roman"/>
          <w:sz w:val="24"/>
        </w:rPr>
      </w:pPr>
      <w:r>
        <w:rPr>
          <w:rFonts w:cs="Times New Roman" w:ascii="Times New Roman" w:hAnsi="Times New Roman"/>
          <w:sz w:val="24"/>
        </w:rPr>
        <w:t>Concurrent with the transfer to Enron Global Assets of responsibility for operating Enron’s South and Central America asset base, all trading, marketing, and new asset development activities in these regions will report into a new entity, Enron Americas.  Enron Americas will have responsibility for all wholesale merchant businesses across North, Central and South America.  Dave Delainey, President and CEO, and John Lavorato, Chief Operating Officer will comprise the Office of the Chairman for Enron Americas.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Europe</w:t>
      </w:r>
    </w:p>
    <w:p>
      <w:pPr>
        <w:pStyle w:val="Normal"/>
        <w:jc w:val="both"/>
        <w:rPr>
          <w:rFonts w:ascii="Times New Roman" w:hAnsi="Times New Roman" w:cs="Times New Roman"/>
          <w:sz w:val="24"/>
        </w:rPr>
      </w:pPr>
      <w:r>
        <w:rPr>
          <w:rFonts w:cs="Times New Roman" w:ascii="Times New Roman" w:hAnsi="Times New Roman"/>
          <w:sz w:val="24"/>
        </w:rPr>
        <w:t>The Enron Europe organization, which includes Enron’s businesses in Australia and Japan, and Enron Metals, remains unchanged under the leadership of John Sherriff, President and CEO, and Michael Brown, Chief Operating Officer.</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Global Markets</w:t>
      </w:r>
    </w:p>
    <w:p>
      <w:pPr>
        <w:pStyle w:val="Normal"/>
        <w:jc w:val="both"/>
        <w:rPr>
          <w:rFonts w:ascii="Times New Roman" w:hAnsi="Times New Roman" w:cs="Times New Roman"/>
          <w:sz w:val="24"/>
        </w:rPr>
      </w:pPr>
      <w:r>
        <w:rPr>
          <w:rFonts w:cs="Times New Roman" w:ascii="Times New Roman" w:hAnsi="Times New Roman"/>
          <w:sz w:val="24"/>
        </w:rPr>
        <w:t>Enron Global Markets, under the leadership of Mike McConnell, President and CEO, and Jeff Shankman, Chief Operating Officer, will continue to have responsibility for Enron’s Caribbean, Middle East, and LNG operations.  With the exception of Ecoelectric in Puerto Rico, all operating power plants and associated personnel in the Caribbean and Central America will transfer to Enron Global Assets.  Enron Global Markets will also continue to manage the commodity businesses in crude and products, coal, weather, insurance, equities, interest rates, foreign exchange, and agricultural products.</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Enron Industrial Markets</w:t>
      </w:r>
    </w:p>
    <w:p>
      <w:pPr>
        <w:pStyle w:val="Normal"/>
        <w:jc w:val="both"/>
        <w:rPr>
          <w:rFonts w:ascii="Times New Roman" w:hAnsi="Times New Roman" w:cs="Times New Roman"/>
          <w:sz w:val="24"/>
        </w:rPr>
      </w:pPr>
      <w:r>
        <w:rPr>
          <w:rFonts w:cs="Times New Roman" w:ascii="Times New Roman" w:hAnsi="Times New Roman"/>
          <w:sz w:val="24"/>
        </w:rPr>
        <w:t>Enron Industrial Markets organization, under the leadership of Jeff McMahon, President &amp; CEO, and Ray Bowen, Chief Operating Officer, remains unchanged.</w:t>
      </w:r>
    </w:p>
    <w:p>
      <w:pPr>
        <w:pStyle w:val="Normal"/>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Commercial Support for EWS</w:t>
      </w:r>
    </w:p>
    <w:p>
      <w:pPr>
        <w:pStyle w:val="Normal"/>
        <w:jc w:val="both"/>
        <w:rPr>
          <w:rFonts w:ascii="Times New Roman" w:hAnsi="Times New Roman" w:cs="Times New Roman"/>
          <w:sz w:val="24"/>
        </w:rPr>
      </w:pPr>
      <w:r>
        <w:rPr>
          <w:rFonts w:cs="Times New Roman" w:ascii="Times New Roman" w:hAnsi="Times New Roman"/>
          <w:sz w:val="24"/>
        </w:rPr>
        <w:t>The commercial support functions for EWS will remain with, and be managed by, the individual business units.  We are creating no incremental overhead in the creation of EWS, and in fact hope to reduce our operating costs by more efficient utilization and sharing of resources across EWS.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To this end we have asked several people to take on an expanded role across EWS in addition to their ongoing roles within their business units.  These newly defined roles are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Legal – Mark Haedicke will serve in the role of General Counsel for EWS.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Regulatory and Government Affairs – This function will remain organized on a regional basis.  Rick Shapiro will support all EWS businesses operating in the Americas, and Mark Schroeder, who is based in London, will support all Eastern Hemisphere operations.  Rick and Mark will also continue to support all other Enron businesses operating in their respective regions and will continue to report to Steve Kean, Executive Vice President and Chief of Staff.</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Public Relations – This function is also organized primarily on a regional basis.  Eric Thode will have responsibility for North American activity, Enron Net Works, and Enron Industrial Markets.  Jackie Gentle will continue in her role for Enron Europe (including Japan and Australia) and John Ambler will have responsibility for activity outside North America and Europe as well as providing support for Enron Global Markets.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Business Analysis and Reporting – Wes Colewell will expand his role to cover EWS reporting in addition to his current role in North America.</w:t>
      </w:r>
    </w:p>
    <w:p>
      <w:pPr>
        <w:pStyle w:val="BodyText"/>
        <w:jc w:val="both"/>
        <w:rPr>
          <w:rFonts w:ascii="Times New Roman" w:hAnsi="Times New Roman" w:cs="Times New Roman"/>
          <w:sz w:val="24"/>
        </w:rPr>
      </w:pPr>
      <w:r>
        <w:rPr>
          <w:rFonts w:cs="Times New Roman"/>
          <w:sz w:val="24"/>
        </w:rPr>
      </w:r>
    </w:p>
    <w:p>
      <w:pPr>
        <w:pStyle w:val="BodyText"/>
        <w:jc w:val="both"/>
        <w:rPr/>
      </w:pPr>
      <w:r>
        <w:rPr/>
        <w:t>Attached for your review is an organization chart for Enron Wholesale Services which summarizes the changes described here.  As this organization continues to evolve we will keep you informed of any additional changes.</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ENRON BROADBAND SERVICES</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BodyText2"/>
        <w:ind w:firstLine="720" w:end="0"/>
        <w:rPr/>
      </w:pPr>
      <w:r>
        <w:rPr/>
        <w:t>EBS has significant global opportunities.  In order to increase our ability to capture those opportunities we have asked Sanjay Bhatnager and Diomedes Christodoulou to join EBS.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[Diomedes]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Sanjay Bhatnagar will be responsible for building our broadband business in the Middle East, Asia and Australia and will assume the role of CEO of Enron Broadband Services for this region.  The current EBS team in the region, including Anthony Duenner will report to Sanjay and Sanjay will report to EBS’ Office of the Chairman.</w:t>
      </w:r>
    </w:p>
    <w:p>
      <w:pPr>
        <w:pStyle w:val="Heading3"/>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ENRON GLOBAL EXPLORATION AND PRODUCTION</w:t>
      </w:r>
    </w:p>
    <w:p>
      <w:pPr>
        <w:pStyle w:val="Heading3"/>
        <w:jc w:val="center"/>
        <w:rPr>
          <w:rFonts w:ascii="Times New Roman" w:hAnsi="Times New Roman" w:cs="Times New Roman"/>
          <w:sz w:val="24"/>
        </w:rPr>
      </w:pPr>
      <w:r>
        <w:rPr>
          <w:rFonts w:cs="Times New Roman" w:ascii="Times New Roman" w:hAnsi="Times New Roman"/>
          <w:sz w:val="24"/>
        </w:rPr>
        <w:t>AND ENRON WIND</w:t>
      </w:r>
    </w:p>
    <w:p>
      <w:pPr>
        <w:pStyle w:val="Normal"/>
        <w:jc w:val="center"/>
        <w:rPr>
          <w:rFonts w:ascii="Times New Roman" w:hAnsi="Times New Roman" w:cs="Times New Roman"/>
          <w:b/>
          <w:bCs/>
          <w:sz w:val="24"/>
        </w:rPr>
      </w:pPr>
      <w:r>
        <w:rPr>
          <w:rFonts w:cs="Times New Roman" w:ascii="Times New Roman" w:hAnsi="Times New Roman"/>
          <w:b/>
          <w:bCs/>
          <w:sz w:val="24"/>
        </w:rPr>
      </w:r>
    </w:p>
    <w:p>
      <w:pPr>
        <w:pStyle w:val="Normal"/>
        <w:jc w:val="both"/>
        <w:rPr/>
      </w:pPr>
      <w:r>
        <w:rPr>
          <w:rFonts w:cs="Times New Roman" w:ascii="Times New Roman" w:hAnsi="Times New Roman"/>
          <w:b/>
          <w:bCs/>
          <w:sz w:val="24"/>
        </w:rPr>
        <w:tab/>
      </w:r>
      <w:r>
        <w:rPr>
          <w:rFonts w:cs="Times New Roman" w:ascii="Times New Roman" w:hAnsi="Times New Roman"/>
          <w:sz w:val="24"/>
        </w:rPr>
        <w:t>As part of our company-wide initiative to examine our assets and investments around the world, we are considering a variety of options with respect to EGEP and EWC.  As a consequence, we are putting these businesses under Cliff Baxter’s direction.  Jeff Sherrick, CEO of EGEP, and Jim Noles, CEO of Enron Wind, will report to Cliff.</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CORPORATE STAFF</w:t>
      </w:r>
    </w:p>
    <w:p>
      <w:pPr>
        <w:pStyle w:val="Normal"/>
        <w:jc w:val="both"/>
        <w:rPr>
          <w:rFonts w:ascii="Times New Roman" w:hAnsi="Times New Roman" w:cs="Times New Roman"/>
          <w:sz w:val="24"/>
        </w:rPr>
      </w:pPr>
      <w:r>
        <w:rPr>
          <w:rFonts w:cs="Times New Roman" w:ascii="Times New Roman" w:hAnsi="Times New Roman"/>
          <w:sz w:val="24"/>
        </w:rPr>
      </w:r>
    </w:p>
    <w:p>
      <w:pPr>
        <w:pStyle w:val="Heading4"/>
        <w:ind w:hanging="0" w:start="0"/>
        <w:rPr/>
      </w:pPr>
      <w:r>
        <w:rPr/>
        <w:tab/>
        <w:t>We are consolidating the corporate staff functions: Human Resources, Government Affairs, Public Relations/Communications and Administration.  In that regard, Cindy Olson, Executive Vice President of Human Resources and Community Relations, will report to Steve Kean, Executive Vice President and Chief of Staff.</w:t>
      </w:r>
    </w:p>
    <w:p>
      <w:pPr>
        <w:pStyle w:val="Normal"/>
        <w:jc w:val="both"/>
        <w:rPr>
          <w:rFonts w:ascii="Times New Roman" w:hAnsi="Times New Roman" w:cs="Times New Roman"/>
          <w:sz w:val="24"/>
        </w:rPr>
      </w:pPr>
      <w:r>
        <w:rPr>
          <w:rFonts w:cs="Times New Roman" w:ascii="Times New Roman" w:hAnsi="Times New Roman"/>
          <w:sz w:val="24"/>
        </w:rPr>
      </w:r>
    </w:p>
    <w:p>
      <w:pPr>
        <w:pStyle w:val="Heading3"/>
        <w:jc w:val="center"/>
        <w:rPr>
          <w:rFonts w:ascii="Times New Roman" w:hAnsi="Times New Roman" w:cs="Times New Roman"/>
          <w:sz w:val="24"/>
        </w:rPr>
      </w:pPr>
      <w:r>
        <w:rPr>
          <w:rFonts w:cs="Times New Roman" w:ascii="Times New Roman" w:hAnsi="Times New Roman"/>
          <w:sz w:val="24"/>
        </w:rPr>
        <w:t>COMMITTEE STRUCTURE</w:t>
      </w:r>
    </w:p>
    <w:p>
      <w:pPr>
        <w:pStyle w:val="Normal"/>
        <w:jc w:val="both"/>
        <w:rPr>
          <w:rFonts w:ascii="Times New Roman" w:hAnsi="Times New Roman" w:cs="Times New Roman"/>
          <w:sz w:val="24"/>
        </w:rPr>
      </w:pPr>
      <w:r>
        <w:rPr>
          <w:rFonts w:cs="Times New Roman" w:ascii="Times New Roman" w:hAnsi="Times New Roman"/>
          <w:sz w:val="24"/>
        </w:rPr>
      </w:r>
    </w:p>
    <w:p>
      <w:pPr>
        <w:pStyle w:val="BodyText2"/>
        <w:rPr/>
      </w:pPr>
      <w:r>
        <w:rPr/>
        <w:tab/>
        <w:t>The Executive Committee will be expanded to include more of our business unit leaders.  The primary role of this committee will continue to be the communication of relevant information across Enron’s businesses and the coordination of activities across those businesses.  The Executive Committee membership is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tab/>
      </w:r>
      <w:r>
        <w:rPr>
          <w:rFonts w:cs="Times New Roman" w:ascii="Times New Roman" w:hAnsi="Times New Roman"/>
          <w:sz w:val="24"/>
        </w:rPr>
        <w:t>We are also forming a new committee – the Enron Corporate Policy Committee.  This group will be responsible for overall corporate policy, personnel management policy and corporate strategy.  The Enron Corporate Policy Committee membership is also shown on the attached list.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We are confident that these changes will align our talent and our capital to our highest return opportunities.  Please join us in congratulating and supporting all of these individuals in their new roles.</w:t>
      </w:r>
    </w:p>
    <w:p>
      <w:pPr>
        <w:pStyle w:val="Normal"/>
        <w:jc w:val="both"/>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t>Form 000-469-1 (7/92)</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u w:val="single"/>
                      </w:rPr>
                    </w:pPr>
                    <w:r>
                      <w:rPr>
                        <w:b/>
                        <w:bCs/>
                        <w:sz w:val="32"/>
                        <w:szCs w:val="32"/>
                        <w:u w:val="single"/>
                      </w:rPr>
                      <w:t>DRAFT</w:t>
                    </w:r>
                  </w:p>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autoSpaceDE w:val="false"/>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540"/>
      </w:tabs>
      <w:autoSpaceDE w:val="true"/>
      <w:outlineLvl w:val="0"/>
    </w:pPr>
    <w:rPr>
      <w:rFonts w:ascii="Times New Roman" w:hAnsi="Times New Roman" w:cs="Times New Roman"/>
      <w:b/>
      <w:sz w:val="28"/>
      <w:szCs w:val="20"/>
    </w:rPr>
  </w:style>
  <w:style w:type="paragraph" w:styleId="Heading2">
    <w:name w:val="heading 2"/>
    <w:basedOn w:val="Normal"/>
    <w:next w:val="Normal"/>
    <w:qFormat/>
    <w:pPr>
      <w:keepNext w:val="true"/>
      <w:numPr>
        <w:ilvl w:val="1"/>
        <w:numId w:val="1"/>
      </w:numPr>
      <w:tabs>
        <w:tab w:val="clear" w:pos="540"/>
      </w:tabs>
      <w:autoSpaceDE w:val="true"/>
      <w:jc w:val="both"/>
      <w:outlineLvl w:val="1"/>
    </w:pPr>
    <w:rPr>
      <w:rFonts w:ascii="Times New Roman" w:hAnsi="Times New Roman" w:cs="Times New Roman"/>
      <w:sz w:val="24"/>
      <w:szCs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Times New Roman"/>
      <w:b/>
      <w:bCs/>
    </w:rPr>
  </w:style>
  <w:style w:type="paragraph" w:styleId="Heading4">
    <w:name w:val="heading 4"/>
    <w:basedOn w:val="Normal"/>
    <w:next w:val="Normal"/>
    <w:qFormat/>
    <w:pPr>
      <w:keepNext w:val="true"/>
      <w:numPr>
        <w:ilvl w:val="3"/>
        <w:numId w:val="1"/>
      </w:numPr>
      <w:tabs>
        <w:tab w:val="clear" w:pos="540"/>
      </w:tabs>
      <w:autoSpaceDE w:val="true"/>
      <w:jc w:val="both"/>
      <w:outlineLvl w:val="3"/>
    </w:pPr>
    <w:rPr>
      <w:rFonts w:ascii="Times New Roman" w:hAnsi="Times New Roman" w:cs="Times New Roman"/>
      <w:sz w:val="24"/>
      <w:szCs w:val="20"/>
    </w:rPr>
  </w:style>
  <w:style w:type="character" w:styleId="WW8Num1z0">
    <w:name w:val="WW8Num1z0"/>
    <w:qFormat/>
    <w:rPr>
      <w:rFonts w:ascii="Times New Roman" w:hAnsi="Times New Roman" w:cs="Times New Roman"/>
    </w:rPr>
  </w:style>
  <w:style w:type="character" w:styleId="WW8Num2z0">
    <w:name w:val="WW8Num2z0"/>
    <w:qFormat/>
    <w:rPr>
      <w:rFonts w:ascii="Times New Roman" w:hAnsi="Times New Roman" w:cs="Times New Roman"/>
    </w:rPr>
  </w:style>
  <w:style w:type="character" w:styleId="WW8Num3z0">
    <w:name w:val="WW8Num3z0"/>
    <w:qFormat/>
    <w:rPr>
      <w:rFonts w:ascii="Symbol" w:hAnsi="Symbol" w:cs="Times New Roman"/>
    </w:rPr>
  </w:style>
  <w:style w:type="character" w:styleId="WW8Num4z0">
    <w:name w:val="WW8Num4z0"/>
    <w:qFormat/>
    <w:rPr>
      <w:rFonts w:ascii="Symbol" w:hAnsi="Symbol" w:cs="Times New Roman"/>
      <w:color w:val="000000"/>
      <w:sz w:val="28"/>
      <w:szCs w:val="28"/>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tabs>
        <w:tab w:val="clear" w:pos="540"/>
      </w:tabs>
      <w:autoSpaceDE w:val="true"/>
    </w:pPr>
    <w:rPr>
      <w:rFonts w:ascii="Times New Roman" w:hAnsi="Times New Roman" w:cs="Times New Roman"/>
      <w:sz w:val="24"/>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Cs w:val="20"/>
    </w:rPr>
  </w:style>
  <w:style w:type="paragraph" w:styleId="Date">
    <w:name w:val="Date"/>
    <w:basedOn w:val="Normal"/>
    <w:qFormat/>
    <w:pPr>
      <w:tabs>
        <w:tab w:val="clear" w:pos="540"/>
      </w:tabs>
    </w:pPr>
    <w:rPr>
      <w:szCs w:val="20"/>
    </w:rPr>
  </w:style>
  <w:style w:type="paragraph" w:styleId="To">
    <w:name w:val="To"/>
    <w:basedOn w:val="Normal"/>
    <w:qFormat/>
    <w:pPr>
      <w:tabs>
        <w:tab w:val="clear" w:pos="540"/>
      </w:tabs>
    </w:pPr>
    <w:rPr>
      <w:szCs w:val="20"/>
    </w:rPr>
  </w:style>
  <w:style w:type="paragraph" w:styleId="From">
    <w:name w:val="From"/>
    <w:basedOn w:val="Normal"/>
    <w:qFormat/>
    <w:pPr>
      <w:tabs>
        <w:tab w:val="clear" w:pos="540"/>
      </w:tabs>
    </w:pPr>
    <w:rPr>
      <w:szCs w:val="20"/>
    </w:rPr>
  </w:style>
  <w:style w:type="paragraph" w:styleId="CopyList">
    <w:name w:val="CopyList"/>
    <w:basedOn w:val="Normal"/>
    <w:qFormat/>
    <w:pPr>
      <w:tabs>
        <w:tab w:val="clear" w:pos="540"/>
        <w:tab w:val="left" w:pos="504" w:leader="none"/>
      </w:tabs>
      <w:spacing w:before="360" w:after="0"/>
      <w:ind w:hanging="504" w:start="576" w:end="0"/>
    </w:pPr>
    <w:rPr>
      <w:szCs w:val="20"/>
    </w:rPr>
  </w:style>
  <w:style w:type="paragraph" w:styleId="Body">
    <w:name w:val="Body"/>
    <w:basedOn w:val="Normal"/>
    <w:qFormat/>
    <w:pPr>
      <w:tabs>
        <w:tab w:val="clear" w:pos="540"/>
      </w:tabs>
      <w:ind w:hanging="0" w:start="72" w:end="0"/>
    </w:pPr>
    <w:rPr>
      <w:color w:val="000080"/>
      <w:szCs w:val="20"/>
    </w:rPr>
  </w:style>
  <w:style w:type="paragraph" w:styleId="Department">
    <w:name w:val="Department"/>
    <w:basedOn w:val="Normal"/>
    <w:qFormat/>
    <w:pPr>
      <w:tabs>
        <w:tab w:val="clear" w:pos="540"/>
      </w:tabs>
    </w:pPr>
    <w:rPr>
      <w:szCs w:val="20"/>
    </w:rPr>
  </w:style>
  <w:style w:type="paragraph" w:styleId="BodyText2">
    <w:name w:val="Body Text 2"/>
    <w:basedOn w:val="Normal"/>
    <w:qFormat/>
    <w:pPr>
      <w:tabs>
        <w:tab w:val="clear" w:pos="540"/>
      </w:tabs>
      <w:autoSpaceDE w:val="true"/>
      <w:jc w:val="both"/>
    </w:pPr>
    <w:rPr>
      <w:rFonts w:ascii="Times New Roman" w:hAnsi="Times New Roman" w:cs="Times New Roman"/>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2000-11-04T14:45:00Z</dcterms:created>
  <dc:creator>ees</dc:creator>
  <dc:description/>
  <dc:language>en-CA</dc:language>
  <cp:lastModifiedBy>skean</cp:lastModifiedBy>
  <cp:lastPrinted>2000-11-06T08:02:00Z</cp:lastPrinted>
  <dcterms:modified xsi:type="dcterms:W3CDTF">2000-11-06T11:33:00Z</dcterms:modified>
  <cp:revision>3</cp:revision>
  <dc:subject/>
  <dc:title> </dc:title>
</cp:coreProperties>
</file>