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5140"/>
        <w:gridCol w:w="990"/>
        <w:gridCol w:w="90"/>
        <w:gridCol w:w="3470"/>
      </w:tblGrid>
      <w:tr>
        <w:trPr>
          <w:trHeight w:val="300" w:hRule="exact"/>
        </w:trPr>
        <w:tc>
          <w:tcPr>
            <w:tcW w:w="708" w:type="dxa"/>
            <w:tcBorders/>
          </w:tcPr>
          <w:p>
            <w:pPr>
              <w:pStyle w:val="Normal"/>
              <w:ind w:start="-180" w:end="0"/>
              <w:jc w:val="end"/>
              <w:rPr>
                <w:sz w:val="16"/>
              </w:rPr>
            </w:pPr>
            <w:r>
              <w:rPr>
                <w:sz w:val="16"/>
              </w:rPr>
              <w:t>To:</w:t>
            </w:r>
          </w:p>
        </w:tc>
        <w:tc>
          <w:tcPr>
            <w:tcW w:w="5140" w:type="dxa"/>
            <w:tcBorders/>
          </w:tcPr>
          <w:p>
            <w:pPr>
              <w:pStyle w:val="To"/>
              <w:rPr>
                <w:rFonts w:ascii="Times New Roman" w:hAnsi="Times New Roman" w:cs="Times New Roman"/>
                <w:sz w:val="24"/>
              </w:rPr>
            </w:pPr>
            <w:r>
              <w:rPr>
                <w:rFonts w:cs="Times New Roman" w:ascii="Times New Roman" w:hAnsi="Times New Roman"/>
                <w:sz w:val="24"/>
              </w:rPr>
              <w:t xml:space="preserve">Enron Europe/Japan/Australia </w:t>
            </w:r>
          </w:p>
        </w:tc>
        <w:tc>
          <w:tcPr>
            <w:tcW w:w="990"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3560" w:type="dxa"/>
            <w:gridSpan w:val="2"/>
            <w:tcBorders/>
          </w:tcPr>
          <w:p>
            <w:pPr>
              <w:pStyle w:val="Normal"/>
              <w:snapToGrid w:val="false"/>
              <w:rPr/>
            </w:pPr>
            <w:r>
              <w:rPr/>
            </w:r>
          </w:p>
        </w:tc>
      </w:tr>
      <w:tr>
        <w:trPr>
          <w:trHeight w:val="90" w:hRule="exact"/>
        </w:trPr>
        <w:tc>
          <w:tcPr>
            <w:tcW w:w="708" w:type="dxa"/>
            <w:tcBorders/>
          </w:tcPr>
          <w:p>
            <w:pPr>
              <w:pStyle w:val="Normal"/>
              <w:snapToGrid w:val="false"/>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Normal"/>
              <w:snapToGrid w:val="false"/>
              <w:rPr>
                <w:sz w:val="18"/>
              </w:rPr>
            </w:pPr>
            <w:r>
              <w:rPr>
                <w:sz w:val="18"/>
              </w:rPr>
            </w:r>
          </w:p>
        </w:tc>
      </w:tr>
      <w:tr>
        <w:trPr>
          <w:trHeight w:val="540" w:hRule="exact"/>
        </w:trPr>
        <w:tc>
          <w:tcPr>
            <w:tcW w:w="708" w:type="dxa"/>
            <w:tcBorders/>
          </w:tcPr>
          <w:p>
            <w:pPr>
              <w:pStyle w:val="Normal"/>
              <w:jc w:val="end"/>
              <w:rPr>
                <w:sz w:val="16"/>
              </w:rPr>
            </w:pPr>
            <w:r>
              <w:rPr>
                <w:sz w:val="16"/>
              </w:rPr>
              <w:t>From:</w:t>
            </w:r>
          </w:p>
        </w:tc>
        <w:tc>
          <w:tcPr>
            <w:tcW w:w="5140" w:type="dxa"/>
            <w:tcBorders/>
          </w:tcPr>
          <w:p>
            <w:pPr>
              <w:pStyle w:val="From"/>
              <w:rPr>
                <w:rFonts w:ascii="Times New Roman" w:hAnsi="Times New Roman" w:cs="Times New Roman"/>
                <w:sz w:val="24"/>
              </w:rPr>
            </w:pPr>
            <w:r>
              <w:rPr>
                <w:rFonts w:cs="Times New Roman" w:ascii="Times New Roman" w:hAnsi="Times New Roman"/>
                <w:sz w:val="24"/>
              </w:rPr>
              <w:t>John Sheriff &amp; Michael Brown</w:t>
            </w:r>
          </w:p>
        </w:tc>
        <w:tc>
          <w:tcPr>
            <w:tcW w:w="1080" w:type="dxa"/>
            <w:gridSpan w:val="2"/>
            <w:tcBorders/>
          </w:tcPr>
          <w:p>
            <w:pPr>
              <w:pStyle w:val="Normal"/>
              <w:ind w:start="-180" w:end="0"/>
              <w:rPr>
                <w:sz w:val="16"/>
              </w:rPr>
            </w:pPr>
            <w:r>
              <w:rPr>
                <w:rFonts w:eastAsia="Arial"/>
                <w:sz w:val="16"/>
              </w:rPr>
              <w:t xml:space="preserve">   </w:t>
            </w:r>
            <w:r>
              <w:rPr>
                <w:sz w:val="16"/>
              </w:rPr>
              <w:t>Department:</w:t>
            </w:r>
          </w:p>
        </w:tc>
        <w:tc>
          <w:tcPr>
            <w:tcW w:w="347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 xml:space="preserve">Government Affairs </w:t>
            </w:r>
          </w:p>
          <w:p>
            <w:pPr>
              <w:pStyle w:val="Department"/>
              <w:rPr>
                <w:rFonts w:ascii="Times New Roman" w:hAnsi="Times New Roman" w:cs="Times New Roman"/>
                <w:sz w:val="24"/>
              </w:rPr>
            </w:pPr>
            <w:r>
              <w:rPr>
                <w:rFonts w:cs="Times New Roman" w:ascii="Times New Roman" w:hAnsi="Times New Roman"/>
                <w:sz w:val="24"/>
              </w:rPr>
            </w:r>
          </w:p>
        </w:tc>
      </w:tr>
      <w:tr>
        <w:trPr>
          <w:trHeight w:val="90" w:hRule="exact"/>
        </w:trPr>
        <w:tc>
          <w:tcPr>
            <w:tcW w:w="708" w:type="dxa"/>
            <w:tcBorders/>
          </w:tcPr>
          <w:p>
            <w:pPr>
              <w:pStyle w:val="Normal"/>
              <w:snapToGrid w:val="false"/>
              <w:ind w:start="-180" w:end="0"/>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Footer"/>
              <w:tabs>
                <w:tab w:val="clear" w:pos="4320"/>
                <w:tab w:val="clear" w:pos="8640"/>
                <w:tab w:val="left" w:pos="540" w:leader="none"/>
              </w:tabs>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5140" w:type="dxa"/>
            <w:tcBorders>
              <w:bottom w:val="single" w:sz="12" w:space="0" w:color="000000"/>
            </w:tcBorders>
          </w:tcPr>
          <w:p>
            <w:pPr>
              <w:pStyle w:val="Subject"/>
              <w:rPr>
                <w:rFonts w:ascii="Times New Roman" w:hAnsi="Times New Roman" w:cs="Times New Roman"/>
                <w:sz w:val="24"/>
              </w:rPr>
            </w:pPr>
            <w:r>
              <w:rPr>
                <w:rFonts w:cs="Times New Roman" w:ascii="Times New Roman" w:hAnsi="Times New Roman"/>
                <w:sz w:val="24"/>
              </w:rPr>
              <w:t>Government Affairs: Europe/Japan/Australia:</w:t>
            </w:r>
          </w:p>
          <w:p>
            <w:pPr>
              <w:pStyle w:val="Subject"/>
              <w:rPr>
                <w:rFonts w:ascii="Times New Roman" w:hAnsi="Times New Roman" w:cs="Times New Roman"/>
                <w:sz w:val="24"/>
              </w:rPr>
            </w:pPr>
            <w:r>
              <w:rPr>
                <w:rFonts w:cs="Times New Roman" w:ascii="Times New Roman" w:hAnsi="Times New Roman"/>
                <w:sz w:val="24"/>
              </w:rPr>
              <w:t>Organizational Announcement</w:t>
            </w:r>
          </w:p>
        </w:tc>
        <w:tc>
          <w:tcPr>
            <w:tcW w:w="1080" w:type="dxa"/>
            <w:gridSpan w:val="2"/>
            <w:tcBorders>
              <w:bottom w:val="single" w:sz="12" w:space="0" w:color="000000"/>
            </w:tcBorders>
          </w:tcPr>
          <w:p>
            <w:pPr>
              <w:pStyle w:val="Normal"/>
              <w:ind w:start="-180" w:end="0"/>
              <w:rPr>
                <w:sz w:val="16"/>
              </w:rPr>
            </w:pPr>
            <w:r>
              <w:rPr>
                <w:rFonts w:eastAsia="Arial"/>
                <w:sz w:val="16"/>
              </w:rPr>
              <w:t xml:space="preserve">   </w:t>
            </w:r>
            <w:r>
              <w:rPr>
                <w:sz w:val="16"/>
              </w:rPr>
              <w:t>Date:</w:t>
            </w:r>
          </w:p>
        </w:tc>
        <w:tc>
          <w:tcPr>
            <w:tcW w:w="3470" w:type="dxa"/>
            <w:tcBorders>
              <w:bottom w:val="single" w:sz="12" w:space="0" w:color="000000"/>
            </w:tcBorders>
          </w:tcPr>
          <w:p>
            <w:pPr>
              <w:pStyle w:val="Date"/>
              <w:rPr/>
            </w:pPr>
            <w:r>
              <w:rPr>
                <w:rFonts w:cs="Times New Roman" w:ascii="Times New Roman" w:hAnsi="Times New Roman"/>
                <w:sz w:val="24"/>
              </w:rPr>
              <w:t>Wednesday 4</w:t>
            </w:r>
            <w:r>
              <w:rPr>
                <w:rFonts w:cs="Times New Roman" w:ascii="Times New Roman" w:hAnsi="Times New Roman"/>
                <w:sz w:val="24"/>
                <w:vertAlign w:val="superscript"/>
              </w:rPr>
              <w:t>th</w:t>
            </w:r>
            <w:r>
              <w:rPr>
                <w:rFonts w:cs="Times New Roman" w:ascii="Times New Roman" w:hAnsi="Times New Roman"/>
                <w:sz w:val="24"/>
              </w:rPr>
              <w:t xml:space="preserve"> April 2001</w:t>
            </w:r>
          </w:p>
        </w:tc>
      </w:tr>
    </w:tbl>
    <w:p>
      <w:pPr>
        <w:pStyle w:val="Body"/>
        <w:rPr/>
      </w:pPr>
      <w:r>
        <w:rPr/>
      </w:r>
      <w:bookmarkStart w:id="1" w:name="StartOfMemo"/>
      <w:bookmarkStart w:id="2" w:name="StartOfMemo"/>
      <w:bookmarkEnd w:id="2"/>
    </w:p>
    <w:p>
      <w:pPr>
        <w:pStyle w:val="Body"/>
        <w:spacing w:lineRule="auto" w:line="480"/>
        <w:rPr/>
      </w:pPr>
      <w:r>
        <w:rPr>
          <w:rFonts w:cs="Times New Roman" w:ascii="Times New Roman" w:hAnsi="Times New Roman"/>
          <w:sz w:val="22"/>
        </w:rPr>
        <w:t>After nearly five years in London.  Mark Schroeder will be returning to the US on 11</w:t>
      </w:r>
      <w:r>
        <w:rPr>
          <w:rFonts w:cs="Times New Roman" w:ascii="Times New Roman" w:hAnsi="Times New Roman"/>
          <w:sz w:val="22"/>
          <w:vertAlign w:val="superscript"/>
        </w:rPr>
        <w:t>th</w:t>
      </w:r>
      <w:r>
        <w:rPr>
          <w:rFonts w:cs="Times New Roman" w:ascii="Times New Roman" w:hAnsi="Times New Roman"/>
          <w:sz w:val="22"/>
        </w:rPr>
        <w:t xml:space="preserve"> April 2001 to join the North American Coal Business, responsible for origination in the utility sector.  Under Mark’s leadership, his team has made significant contributions towards Enron Europe’s “first mover” advantage </w:t>
      </w:r>
      <w:r>
        <w:rPr>
          <w:rFonts w:cs="Times New Roman" w:ascii="Times New Roman" w:hAnsi="Times New Roman"/>
          <w:sz w:val="22"/>
          <w:u w:val="single"/>
        </w:rPr>
        <w:t>and</w:t>
      </w:r>
      <w:r>
        <w:rPr>
          <w:rFonts w:cs="Times New Roman" w:ascii="Times New Roman" w:hAnsi="Times New Roman"/>
          <w:sz w:val="22"/>
        </w:rPr>
        <w:t xml:space="preserve"> its status as the leading new entrant in the liberalizing pan–European energy markets.  We wish him well in his new commercial role. </w:t>
      </w:r>
    </w:p>
    <w:p>
      <w:pPr>
        <w:pStyle w:val="Body"/>
        <w:spacing w:lineRule="auto" w:line="480"/>
        <w:rPr>
          <w:rFonts w:ascii="Times New Roman" w:hAnsi="Times New Roman" w:cs="Times New Roman"/>
          <w:sz w:val="22"/>
        </w:rPr>
      </w:pPr>
      <w:r>
        <w:rPr>
          <w:rFonts w:cs="Times New Roman" w:ascii="Times New Roman" w:hAnsi="Times New Roman"/>
          <w:sz w:val="22"/>
        </w:rPr>
      </w:r>
    </w:p>
    <w:p>
      <w:pPr>
        <w:pStyle w:val="Body"/>
        <w:spacing w:lineRule="auto" w:line="480"/>
        <w:rPr>
          <w:rFonts w:ascii="Times New Roman" w:hAnsi="Times New Roman" w:cs="Times New Roman"/>
          <w:sz w:val="22"/>
        </w:rPr>
      </w:pPr>
      <w:r>
        <w:rPr>
          <w:rFonts w:cs="Times New Roman" w:ascii="Times New Roman" w:hAnsi="Times New Roman"/>
          <w:sz w:val="22"/>
        </w:rPr>
        <w:t>With Mark’s departure, the day-to-day management of the Government &amp; Regulatory Affairs Department in Europe will rest with Peter Styles, Vice President, and the three Senior Directors on the team – Paul Dawson, Paul Hennemeyer, and Doug Wood.  Nick O’Day and Robert McGrory will continue in their current leadership capacities in Japan and Australia for Government Affairs.  Each of these six individuals will jointly report to Rick Shapiro, Managing Director, Government Affairs in Houston in addition to the business unit heads they primarily support.  Rick Shapiro will also continue to manage Government Affairs for the Americas.</w:t>
      </w:r>
    </w:p>
    <w:p>
      <w:pPr>
        <w:pStyle w:val="Body"/>
        <w:spacing w:lineRule="auto" w:line="480"/>
        <w:rPr>
          <w:rFonts w:ascii="Times New Roman" w:hAnsi="Times New Roman" w:cs="Times New Roman"/>
          <w:sz w:val="22"/>
        </w:rPr>
      </w:pPr>
      <w:r>
        <w:rPr>
          <w:rFonts w:cs="Times New Roman" w:ascii="Times New Roman" w:hAnsi="Times New Roman"/>
          <w:sz w:val="22"/>
        </w:rPr>
      </w:r>
    </w:p>
    <w:p>
      <w:pPr>
        <w:pStyle w:val="Body"/>
        <w:spacing w:lineRule="auto" w:line="480"/>
        <w:rPr/>
      </w:pPr>
      <w:r>
        <w:rPr>
          <w:rFonts w:cs="Times New Roman" w:ascii="Times New Roman" w:hAnsi="Times New Roman"/>
          <w:sz w:val="22"/>
        </w:rPr>
        <w:t xml:space="preserve">Peter Styles, based in Brussels and responsible for managing our EU relationships, will report to Eric Shaw </w:t>
      </w:r>
      <w:r>
        <w:rPr>
          <w:rFonts w:cs="Times New Roman" w:ascii="Times New Roman" w:hAnsi="Times New Roman"/>
          <w:b/>
          <w:bCs/>
          <w:sz w:val="22"/>
        </w:rPr>
        <w:t>[Is Eric leaving soon? Is he the right person?].</w:t>
      </w:r>
      <w:r>
        <w:rPr>
          <w:rFonts w:cs="Times New Roman" w:ascii="Times New Roman" w:hAnsi="Times New Roman"/>
          <w:sz w:val="22"/>
        </w:rPr>
        <w:t xml:space="preserve">  Paul Dawson will lead our UK regulatory efforts and report to Richard Lewis.  Doug Wood will support the Continental Gas team and the Central and Southeastern Europe Origination efforts, while also addressing the UK Climate Change Levy and  report to ___</w:t>
      </w:r>
      <w:r>
        <w:rPr>
          <w:rFonts w:cs="Times New Roman" w:ascii="Times New Roman" w:hAnsi="Times New Roman"/>
          <w:sz w:val="22"/>
          <w:u w:val="single"/>
        </w:rPr>
        <w:t>??_</w:t>
      </w:r>
      <w:r>
        <w:rPr>
          <w:rFonts w:cs="Times New Roman" w:ascii="Times New Roman" w:hAnsi="Times New Roman"/>
          <w:sz w:val="22"/>
        </w:rPr>
        <w:t xml:space="preserve">_____ .  Paul Hennemeyer will lead our efforts in the German speaking countries (Germany, Austria, Switzerland).  Paul will report to Eric Shaw.   Nick O’Day will continue to report to Joe Hirl in Japan and Robert McGrory will continue to report to Paul Quilkey in Australia.  </w:t>
      </w:r>
    </w:p>
    <w:p>
      <w:pPr>
        <w:pStyle w:val="Body"/>
        <w:spacing w:lineRule="auto" w:line="480"/>
        <w:rPr>
          <w:rFonts w:ascii="Times New Roman" w:hAnsi="Times New Roman" w:cs="Times New Roman"/>
          <w:sz w:val="22"/>
        </w:rPr>
      </w:pPr>
      <w:r>
        <w:rPr>
          <w:rFonts w:cs="Times New Roman" w:ascii="Times New Roman" w:hAnsi="Times New Roman"/>
          <w:sz w:val="22"/>
        </w:rPr>
      </w:r>
    </w:p>
    <w:p>
      <w:pPr>
        <w:pStyle w:val="Body"/>
        <w:spacing w:lineRule="auto" w:line="480"/>
        <w:rPr>
          <w:rFonts w:ascii="Times New Roman" w:hAnsi="Times New Roman" w:cs="Times New Roman"/>
          <w:sz w:val="22"/>
        </w:rPr>
      </w:pPr>
      <w:r>
        <w:rPr>
          <w:rFonts w:cs="Times New Roman" w:ascii="Times New Roman" w:hAnsi="Times New Roman"/>
          <w:sz w:val="22"/>
        </w:rPr>
        <w:t>Please join us in wishing Mark well, and in congratulating Peter, Doug, Paul Dawson and Paul Hennemeyer on their expanded roles.  Please also join us in welcoming Rick Shapiro to our team.</w:t>
      </w:r>
    </w:p>
    <w:p>
      <w:pPr>
        <w:pStyle w:val="Body"/>
        <w:spacing w:lineRule="auto" w:line="480"/>
        <w:rPr>
          <w:rFonts w:ascii="Times New Roman" w:hAnsi="Times New Roman" w:cs="Times New Roman"/>
          <w:sz w:val="22"/>
        </w:rPr>
      </w:pPr>
      <w:r>
        <w:rPr>
          <w:rFonts w:cs="Times New Roman" w:ascii="Times New Roman" w:hAnsi="Times New Roman"/>
          <w:sz w:val="22"/>
        </w:rPr>
      </w:r>
    </w:p>
    <w:p>
      <w:pPr>
        <w:pStyle w:val="Body"/>
        <w:spacing w:lineRule="auto" w:line="480"/>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rPr>
          <w:rFonts w:ascii="Times New Roman" w:hAnsi="Times New Roman" w:cs="Times New Roman"/>
          <w:sz w:val="22"/>
        </w:rPr>
      </w:pPr>
      <w:r>
        <w:rPr>
          <w:rFonts w:cs="Times New Roman" w:ascii="Times New Roman" w:hAnsi="Times New Roman"/>
          <w:sz w:val="22"/>
        </w:rPr>
      </w:r>
    </w:p>
    <w:p>
      <w:pPr>
        <w:pStyle w:val="Body"/>
        <w:ind w:start="0" w:end="0"/>
        <w:rPr>
          <w:rFonts w:ascii="Times New Roman" w:hAnsi="Times New Roman" w:cs="Times New Roman"/>
          <w:sz w:val="22"/>
        </w:rPr>
      </w:pPr>
      <w:r>
        <w:rPr>
          <w:rFonts w:cs="Times New Roman" w:ascii="Times New Roman" w:hAnsi="Times New Roman"/>
          <w:sz w:val="22"/>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125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2001-04-04T12:06:00Z</dcterms:created>
  <dc:creator>AKeenan</dc:creator>
  <dc:description/>
  <dc:language>en-CA</dc:language>
  <cp:lastModifiedBy>gdernehl</cp:lastModifiedBy>
  <cp:lastPrinted>2001-04-06T08:42:00Z</cp:lastPrinted>
  <dcterms:modified xsi:type="dcterms:W3CDTF">2001-04-06T11:21:00Z</dcterms:modified>
  <cp:revision>24</cp:revision>
  <dc:subject>Tractebel Meeting</dc:subject>
  <dc:title> </dc:title>
</cp:coreProperties>
</file>