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665480" cy="659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665480" cy="659130"/>
                    </a:xfrm>
                    <a:prstGeom prst="rect">
                      <a:avLst/>
                    </a:prstGeom>
                    <a:noFill/>
                  </pic:spPr>
                </pic:pic>
              </a:graphicData>
            </a:graphic>
          </wp:inline>
        </w:drawing>
      </w:r>
      <w:r>
        <w:rPr/>
        <w:tab/>
        <w:tab/>
        <w:tab/>
        <w:tab/>
        <w:tab/>
        <w:tab/>
        <w:tab/>
      </w:r>
      <w:r>
        <w:rPr>
          <w:b/>
        </w:rPr>
        <w:t>INTEROFFICE</w:t>
      </w:r>
    </w:p>
    <w:p>
      <w:pPr>
        <w:pStyle w:val="DocumentLabel"/>
        <w:ind w:firstLine="720" w:start="720" w:end="0"/>
        <w:rPr>
          <w:rFonts w:ascii="Times New Roman" w:hAnsi="Times New Roman" w:cs="Times New Roman"/>
          <w:b/>
          <w:sz w:val="24"/>
        </w:rPr>
      </w:pPr>
      <w:r>
        <w:rPr>
          <w:rFonts w:cs="Times New Roman" w:ascii="Times New Roman" w:hAnsi="Times New Roman"/>
          <w:b/>
          <w:sz w:val="24"/>
        </w:rPr>
        <w:tab/>
        <w:tab/>
        <w:tab/>
        <w:tab/>
        <w:tab/>
        <w:tab/>
        <w:t>MEMORANDUM</w:t>
      </w:r>
    </w:p>
    <w:p>
      <w:pPr>
        <w:pStyle w:val="DocumentLabel"/>
        <w:jc w:val="end"/>
        <w:rPr>
          <w:rFonts w:ascii="Times New Roman" w:hAnsi="Times New Roman" w:cs="Times New Roman"/>
          <w:b/>
          <w:sz w:val="22"/>
        </w:rPr>
      </w:pPr>
      <w:r>
        <w:rPr>
          <w:rFonts w:cs="Times New Roman" w:ascii="Times New Roman" w:hAnsi="Times New Roman"/>
          <w:b/>
          <w:sz w:val="22"/>
        </w:rPr>
      </w:r>
    </w:p>
    <w:tbl>
      <w:tblPr>
        <w:tblW w:w="9582" w:type="dxa"/>
        <w:jc w:val="start"/>
        <w:tblInd w:w="0" w:type="dxa"/>
        <w:tblLayout w:type="fixed"/>
        <w:tblCellMar>
          <w:top w:w="0" w:type="dxa"/>
          <w:start w:w="108" w:type="dxa"/>
          <w:bottom w:w="0" w:type="dxa"/>
          <w:end w:w="108" w:type="dxa"/>
        </w:tblCellMar>
      </w:tblPr>
      <w:tblGrid>
        <w:gridCol w:w="1458"/>
        <w:gridCol w:w="2706"/>
        <w:gridCol w:w="2244"/>
        <w:gridCol w:w="56"/>
        <w:gridCol w:w="197"/>
        <w:gridCol w:w="2915"/>
        <w:gridCol w:w="6"/>
      </w:tblGrid>
      <w:tr>
        <w:trPr/>
        <w:tc>
          <w:tcPr>
            <w:tcW w:w="1458" w:type="dxa"/>
            <w:tcBorders/>
          </w:tcPr>
          <w:p>
            <w:pPr>
              <w:pStyle w:val="Normal"/>
              <w:ind w:end="378"/>
              <w:rPr>
                <w:b/>
                <w:sz w:val="20"/>
              </w:rPr>
            </w:pPr>
            <w:r>
              <w:rPr>
                <w:b/>
                <w:sz w:val="20"/>
              </w:rPr>
              <w:t>To:</w:t>
            </w:r>
          </w:p>
        </w:tc>
        <w:tc>
          <w:tcPr>
            <w:tcW w:w="2706" w:type="dxa"/>
            <w:tcBorders/>
          </w:tcPr>
          <w:p>
            <w:pPr>
              <w:pStyle w:val="Normal"/>
              <w:rPr>
                <w:sz w:val="20"/>
              </w:rPr>
            </w:pPr>
            <w:r>
              <w:rPr>
                <w:sz w:val="20"/>
              </w:rPr>
              <w:t>Enron North America</w:t>
            </w:r>
          </w:p>
        </w:tc>
        <w:tc>
          <w:tcPr>
            <w:tcW w:w="2300" w:type="dxa"/>
            <w:gridSpan w:val="2"/>
            <w:tcBorders/>
          </w:tcPr>
          <w:p>
            <w:pPr>
              <w:pStyle w:val="Normal"/>
              <w:snapToGrid w:val="false"/>
              <w:ind w:start="-378" w:end="306"/>
              <w:jc w:val="end"/>
              <w:rPr>
                <w:b/>
                <w:sz w:val="20"/>
              </w:rPr>
            </w:pPr>
            <w:r>
              <w:rPr>
                <w:b/>
                <w:sz w:val="20"/>
              </w:rPr>
            </w:r>
          </w:p>
        </w:tc>
        <w:tc>
          <w:tcPr>
            <w:tcW w:w="3112" w:type="dxa"/>
            <w:gridSpan w:val="2"/>
            <w:tcBorders/>
          </w:tcPr>
          <w:p>
            <w:pPr>
              <w:pStyle w:val="Normal"/>
              <w:snapToGrid w:val="false"/>
              <w:rPr>
                <w:b/>
                <w:sz w:val="20"/>
              </w:rPr>
            </w:pPr>
            <w:r>
              <w:rPr>
                <w:b/>
                <w:sz w:val="20"/>
              </w:rPr>
            </w:r>
          </w:p>
        </w:tc>
      </w:tr>
      <w:tr>
        <w:trPr/>
        <w:tc>
          <w:tcPr>
            <w:tcW w:w="1458" w:type="dxa"/>
            <w:tcBorders/>
          </w:tcPr>
          <w:p>
            <w:pPr>
              <w:pStyle w:val="Normal"/>
              <w:snapToGrid w:val="false"/>
              <w:ind w:end="378"/>
              <w:rPr>
                <w:b/>
                <w:sz w:val="20"/>
              </w:rPr>
            </w:pPr>
            <w:r>
              <w:rPr>
                <w:b/>
                <w:sz w:val="20"/>
              </w:rPr>
            </w:r>
          </w:p>
        </w:tc>
        <w:tc>
          <w:tcPr>
            <w:tcW w:w="2706" w:type="dxa"/>
            <w:tcBorders/>
          </w:tcPr>
          <w:p>
            <w:pPr>
              <w:pStyle w:val="Normal"/>
              <w:snapToGrid w:val="false"/>
              <w:rPr>
                <w:b/>
                <w:sz w:val="20"/>
              </w:rPr>
            </w:pPr>
            <w:r>
              <w:rPr>
                <w:b/>
                <w:sz w:val="20"/>
              </w:rPr>
            </w:r>
          </w:p>
        </w:tc>
        <w:tc>
          <w:tcPr>
            <w:tcW w:w="2300" w:type="dxa"/>
            <w:gridSpan w:val="2"/>
            <w:tcBorders/>
          </w:tcPr>
          <w:p>
            <w:pPr>
              <w:pStyle w:val="Normal"/>
              <w:snapToGrid w:val="false"/>
              <w:ind w:start="-378" w:end="306"/>
              <w:jc w:val="end"/>
              <w:rPr>
                <w:b/>
                <w:sz w:val="20"/>
              </w:rPr>
            </w:pPr>
            <w:r>
              <w:rPr>
                <w:b/>
                <w:sz w:val="20"/>
              </w:rPr>
            </w:r>
          </w:p>
        </w:tc>
        <w:tc>
          <w:tcPr>
            <w:tcW w:w="3112" w:type="dxa"/>
            <w:gridSpan w:val="2"/>
            <w:tcBorders/>
          </w:tcPr>
          <w:p>
            <w:pPr>
              <w:pStyle w:val="Normal"/>
              <w:snapToGrid w:val="false"/>
              <w:rPr>
                <w:b/>
                <w:sz w:val="20"/>
              </w:rPr>
            </w:pPr>
            <w:r>
              <w:rPr>
                <w:b/>
                <w:sz w:val="20"/>
              </w:rPr>
            </w:r>
          </w:p>
        </w:tc>
      </w:tr>
      <w:tr>
        <w:trPr/>
        <w:tc>
          <w:tcPr>
            <w:tcW w:w="1458" w:type="dxa"/>
            <w:tcBorders/>
          </w:tcPr>
          <w:p>
            <w:pPr>
              <w:pStyle w:val="Normal"/>
              <w:ind w:end="378"/>
              <w:rPr>
                <w:b/>
                <w:sz w:val="20"/>
              </w:rPr>
            </w:pPr>
            <w:r>
              <w:rPr>
                <w:b/>
                <w:sz w:val="20"/>
              </w:rPr>
              <w:t>From:</w:t>
            </w:r>
          </w:p>
        </w:tc>
        <w:tc>
          <w:tcPr>
            <w:tcW w:w="2706" w:type="dxa"/>
            <w:tcBorders/>
          </w:tcPr>
          <w:p>
            <w:pPr>
              <w:pStyle w:val="Normal"/>
              <w:rPr>
                <w:sz w:val="20"/>
              </w:rPr>
            </w:pPr>
            <w:r>
              <w:rPr>
                <w:sz w:val="20"/>
              </w:rPr>
              <w:t>Brian Redmond</w:t>
            </w:r>
          </w:p>
        </w:tc>
        <w:tc>
          <w:tcPr>
            <w:tcW w:w="2300" w:type="dxa"/>
            <w:gridSpan w:val="2"/>
            <w:tcBorders/>
          </w:tcPr>
          <w:p>
            <w:pPr>
              <w:pStyle w:val="Normal"/>
              <w:snapToGrid w:val="false"/>
              <w:ind w:start="-378" w:end="306"/>
              <w:jc w:val="end"/>
              <w:rPr>
                <w:b/>
                <w:sz w:val="20"/>
              </w:rPr>
            </w:pPr>
            <w:r>
              <w:rPr>
                <w:b/>
                <w:sz w:val="20"/>
              </w:rPr>
            </w:r>
          </w:p>
        </w:tc>
        <w:tc>
          <w:tcPr>
            <w:tcW w:w="3112" w:type="dxa"/>
            <w:gridSpan w:val="2"/>
            <w:tcBorders/>
          </w:tcPr>
          <w:p>
            <w:pPr>
              <w:pStyle w:val="Normal"/>
              <w:snapToGrid w:val="false"/>
              <w:rPr>
                <w:b/>
                <w:sz w:val="20"/>
              </w:rPr>
            </w:pPr>
            <w:r>
              <w:rPr>
                <w:b/>
                <w:sz w:val="20"/>
              </w:rPr>
            </w:r>
          </w:p>
        </w:tc>
      </w:tr>
      <w:tr>
        <w:trPr/>
        <w:tc>
          <w:tcPr>
            <w:tcW w:w="1458" w:type="dxa"/>
            <w:tcBorders/>
          </w:tcPr>
          <w:p>
            <w:pPr>
              <w:pStyle w:val="Normal"/>
              <w:snapToGrid w:val="false"/>
              <w:ind w:end="378"/>
              <w:rPr>
                <w:b/>
                <w:sz w:val="20"/>
              </w:rPr>
            </w:pPr>
            <w:r>
              <w:rPr>
                <w:b/>
                <w:sz w:val="20"/>
              </w:rPr>
            </w:r>
          </w:p>
        </w:tc>
        <w:tc>
          <w:tcPr>
            <w:tcW w:w="2706" w:type="dxa"/>
            <w:tcBorders/>
          </w:tcPr>
          <w:p>
            <w:pPr>
              <w:pStyle w:val="Normal"/>
              <w:snapToGrid w:val="false"/>
              <w:rPr>
                <w:b/>
                <w:sz w:val="20"/>
              </w:rPr>
            </w:pPr>
            <w:r>
              <w:rPr>
                <w:b/>
                <w:sz w:val="20"/>
              </w:rPr>
            </w:r>
          </w:p>
        </w:tc>
        <w:tc>
          <w:tcPr>
            <w:tcW w:w="2300" w:type="dxa"/>
            <w:gridSpan w:val="2"/>
            <w:tcBorders/>
          </w:tcPr>
          <w:p>
            <w:pPr>
              <w:pStyle w:val="Normal"/>
              <w:snapToGrid w:val="false"/>
              <w:ind w:start="-378" w:end="306"/>
              <w:jc w:val="end"/>
              <w:rPr>
                <w:b/>
                <w:sz w:val="20"/>
              </w:rPr>
            </w:pPr>
            <w:r>
              <w:rPr>
                <w:b/>
                <w:sz w:val="20"/>
              </w:rPr>
            </w:r>
          </w:p>
        </w:tc>
        <w:tc>
          <w:tcPr>
            <w:tcW w:w="3112" w:type="dxa"/>
            <w:gridSpan w:val="2"/>
            <w:tcBorders/>
          </w:tcPr>
          <w:p>
            <w:pPr>
              <w:pStyle w:val="Normal"/>
              <w:snapToGrid w:val="false"/>
              <w:rPr>
                <w:b/>
                <w:sz w:val="20"/>
              </w:rPr>
            </w:pPr>
            <w:r>
              <w:rPr>
                <w:b/>
                <w:sz w:val="20"/>
              </w:rPr>
            </w:r>
          </w:p>
        </w:tc>
      </w:tr>
      <w:tr>
        <w:trPr/>
        <w:tc>
          <w:tcPr>
            <w:tcW w:w="1458" w:type="dxa"/>
            <w:tcBorders/>
          </w:tcPr>
          <w:p>
            <w:pPr>
              <w:pStyle w:val="Normal"/>
              <w:ind w:end="378"/>
              <w:rPr>
                <w:b/>
                <w:sz w:val="20"/>
              </w:rPr>
            </w:pPr>
            <w:r>
              <w:rPr>
                <w:b/>
                <w:sz w:val="20"/>
              </w:rPr>
              <w:t>Date:</w:t>
            </w:r>
          </w:p>
        </w:tc>
        <w:tc>
          <w:tcPr>
            <w:tcW w:w="4950" w:type="dxa"/>
            <w:gridSpan w:val="2"/>
            <w:tcBorders/>
          </w:tcPr>
          <w:p>
            <w:pPr>
              <w:pStyle w:val="Normal"/>
              <w:rPr>
                <w:sz w:val="20"/>
              </w:rPr>
            </w:pPr>
            <w:r>
              <w:rPr>
                <w:sz w:val="20"/>
              </w:rPr>
              <w:t>November 22, 1999</w:t>
            </w:r>
          </w:p>
        </w:tc>
        <w:tc>
          <w:tcPr>
            <w:tcW w:w="253" w:type="dxa"/>
            <w:gridSpan w:val="2"/>
            <w:tcBorders/>
          </w:tcPr>
          <w:p>
            <w:pPr>
              <w:pStyle w:val="Normal"/>
              <w:snapToGrid w:val="false"/>
              <w:ind w:start="-378" w:end="0"/>
              <w:jc w:val="end"/>
              <w:rPr>
                <w:b/>
                <w:sz w:val="20"/>
              </w:rPr>
            </w:pPr>
            <w:r>
              <w:rPr>
                <w:b/>
                <w:sz w:val="20"/>
              </w:rPr>
            </w:r>
          </w:p>
        </w:tc>
        <w:tc>
          <w:tcPr>
            <w:tcW w:w="2921" w:type="dxa"/>
            <w:tcBorders/>
          </w:tcPr>
          <w:p>
            <w:pPr>
              <w:pStyle w:val="Normal"/>
              <w:snapToGrid w:val="false"/>
              <w:rPr>
                <w:b/>
                <w:sz w:val="20"/>
              </w:rPr>
            </w:pPr>
            <w:r>
              <w:rPr>
                <w:b/>
                <w:sz w:val="20"/>
              </w:rPr>
            </w:r>
          </w:p>
        </w:tc>
      </w:tr>
      <w:tr>
        <w:trPr/>
        <w:tc>
          <w:tcPr>
            <w:tcW w:w="1458" w:type="dxa"/>
            <w:tcBorders/>
          </w:tcPr>
          <w:p>
            <w:pPr>
              <w:pStyle w:val="Normal"/>
              <w:snapToGrid w:val="false"/>
              <w:ind w:end="378"/>
              <w:rPr>
                <w:b/>
                <w:sz w:val="20"/>
              </w:rPr>
            </w:pPr>
            <w:r>
              <w:rPr>
                <w:b/>
                <w:sz w:val="20"/>
              </w:rPr>
            </w:r>
          </w:p>
        </w:tc>
        <w:tc>
          <w:tcPr>
            <w:tcW w:w="4950" w:type="dxa"/>
            <w:gridSpan w:val="2"/>
            <w:tcBorders/>
          </w:tcPr>
          <w:p>
            <w:pPr>
              <w:pStyle w:val="Normal"/>
              <w:snapToGrid w:val="false"/>
              <w:rPr>
                <w:b/>
                <w:sz w:val="20"/>
              </w:rPr>
            </w:pPr>
            <w:r>
              <w:rPr>
                <w:b/>
                <w:sz w:val="20"/>
              </w:rPr>
            </w:r>
          </w:p>
        </w:tc>
        <w:tc>
          <w:tcPr>
            <w:tcW w:w="253" w:type="dxa"/>
            <w:gridSpan w:val="2"/>
            <w:tcBorders/>
          </w:tcPr>
          <w:p>
            <w:pPr>
              <w:pStyle w:val="Normal"/>
              <w:snapToGrid w:val="false"/>
              <w:ind w:start="-378" w:end="0"/>
              <w:jc w:val="end"/>
              <w:rPr>
                <w:b/>
                <w:sz w:val="20"/>
              </w:rPr>
            </w:pPr>
            <w:r>
              <w:rPr>
                <w:b/>
                <w:sz w:val="20"/>
              </w:rPr>
            </w:r>
          </w:p>
        </w:tc>
        <w:tc>
          <w:tcPr>
            <w:tcW w:w="2921" w:type="dxa"/>
            <w:tcBorders/>
          </w:tcPr>
          <w:p>
            <w:pPr>
              <w:pStyle w:val="Normal"/>
              <w:snapToGrid w:val="false"/>
              <w:rPr>
                <w:b/>
                <w:sz w:val="20"/>
              </w:rPr>
            </w:pPr>
            <w:r>
              <w:rPr>
                <w:b/>
                <w:sz w:val="20"/>
              </w:rPr>
            </w:r>
          </w:p>
        </w:tc>
      </w:tr>
      <w:tr>
        <w:trPr/>
        <w:tc>
          <w:tcPr>
            <w:tcW w:w="1458" w:type="dxa"/>
            <w:tcBorders/>
          </w:tcPr>
          <w:p>
            <w:pPr>
              <w:pStyle w:val="Normal"/>
              <w:ind w:end="378"/>
              <w:rPr>
                <w:b/>
                <w:sz w:val="20"/>
              </w:rPr>
            </w:pPr>
            <w:r>
              <w:rPr>
                <w:b/>
                <w:sz w:val="20"/>
              </w:rPr>
              <w:t>Re:</w:t>
            </w:r>
          </w:p>
        </w:tc>
        <w:tc>
          <w:tcPr>
            <w:tcW w:w="4950" w:type="dxa"/>
            <w:gridSpan w:val="2"/>
            <w:tcBorders/>
          </w:tcPr>
          <w:p>
            <w:pPr>
              <w:pStyle w:val="Normal"/>
              <w:rPr>
                <w:sz w:val="20"/>
              </w:rPr>
            </w:pPr>
            <w:r>
              <w:rPr>
                <w:sz w:val="20"/>
              </w:rPr>
              <w:t>Organizational Changes – ENA Asset Group</w:t>
            </w:r>
          </w:p>
        </w:tc>
        <w:tc>
          <w:tcPr>
            <w:tcW w:w="253" w:type="dxa"/>
            <w:gridSpan w:val="2"/>
            <w:tcBorders/>
          </w:tcPr>
          <w:p>
            <w:pPr>
              <w:pStyle w:val="Normal"/>
              <w:snapToGrid w:val="false"/>
              <w:ind w:start="-378" w:end="0"/>
              <w:jc w:val="end"/>
              <w:rPr>
                <w:b/>
                <w:sz w:val="20"/>
              </w:rPr>
            </w:pPr>
            <w:r>
              <w:rPr>
                <w:b/>
                <w:sz w:val="20"/>
              </w:rPr>
            </w:r>
          </w:p>
        </w:tc>
        <w:tc>
          <w:tcPr>
            <w:tcW w:w="2921" w:type="dxa"/>
            <w:tcBorders/>
          </w:tcPr>
          <w:p>
            <w:pPr>
              <w:pStyle w:val="Normal"/>
              <w:snapToGrid w:val="false"/>
              <w:rPr>
                <w:b/>
                <w:sz w:val="20"/>
              </w:rPr>
            </w:pPr>
            <w:r>
              <w:rPr>
                <w:b/>
                <w:sz w:val="20"/>
              </w:rPr>
            </w:r>
          </w:p>
        </w:tc>
      </w:tr>
    </w:tbl>
    <w:p>
      <w:pPr>
        <w:pStyle w:val="Normal"/>
        <w:pBdr>
          <w:bottom w:val="single" w:sz="6" w:space="1" w:color="000000"/>
        </w:pBdr>
        <w:tabs>
          <w:tab w:val="clear" w:pos="720"/>
          <w:tab w:val="right" w:pos="6480" w:leader="none"/>
          <w:tab w:val="left" w:pos="6840" w:leader="none"/>
        </w:tabs>
        <w:rPr>
          <w:sz w:val="22"/>
        </w:rPr>
      </w:pPr>
      <w:r>
        <w:rPr>
          <w:sz w:val="22"/>
        </w:rPr>
      </w:r>
    </w:p>
    <w:p>
      <w:pPr>
        <w:pStyle w:val="Normal"/>
        <w:rPr>
          <w:sz w:val="20"/>
        </w:rPr>
      </w:pPr>
      <w:r>
        <w:rPr>
          <w:sz w:val="20"/>
        </w:rPr>
      </w:r>
    </w:p>
    <w:p>
      <w:pPr>
        <w:pStyle w:val="Normal"/>
        <w:jc w:val="both"/>
        <w:rPr>
          <w:sz w:val="20"/>
        </w:rPr>
      </w:pPr>
      <w:r>
        <w:rPr>
          <w:sz w:val="20"/>
        </w:rPr>
        <w:t xml:space="preserve">As part of our effort to improve our profitability and expand our asset position in North America, we are initiating several organizational changes that will increase our coordination and focus.  These changes will provide a platform for growth in the coming year and will enable us to establish a sustainable market position.   </w:t>
      </w:r>
    </w:p>
    <w:p>
      <w:pPr>
        <w:pStyle w:val="Normal"/>
        <w:jc w:val="both"/>
        <w:rPr>
          <w:sz w:val="20"/>
        </w:rPr>
      </w:pPr>
      <w:r>
        <w:rPr>
          <w:sz w:val="20"/>
        </w:rPr>
      </w:r>
    </w:p>
    <w:p>
      <w:pPr>
        <w:pStyle w:val="Heading2"/>
        <w:ind w:hanging="0" w:start="0"/>
        <w:jc w:val="both"/>
        <w:rPr/>
      </w:pPr>
      <w:r>
        <w:rPr/>
        <w:t>Rocky Mountain Gas Assets</w:t>
      </w:r>
    </w:p>
    <w:p>
      <w:pPr>
        <w:pStyle w:val="Normal"/>
        <w:jc w:val="both"/>
        <w:rPr>
          <w:sz w:val="20"/>
        </w:rPr>
      </w:pPr>
      <w:r>
        <w:rPr>
          <w:sz w:val="20"/>
        </w:rPr>
      </w:r>
    </w:p>
    <w:p>
      <w:pPr>
        <w:pStyle w:val="BodyText"/>
        <w:jc w:val="both"/>
        <w:rPr/>
      </w:pPr>
      <w:r>
        <w:rPr/>
        <w:t>The combined efforts of Brian Bierbach’s Denver team and our asset group in Houston have created a valuable pipeline position serving the largest undeveloped gas reserves in the US.  As the Fort Union and Lost Creek gathering systems begin to operate, we will need to work closely to leverage our core asset management skills to extract additional value from our investment.  Therefore, the Denver office will now be part of the ENA Asset Group and will continue to manage and develop our Wyoming gas assets. Functional resources located in Denver (e.g. engineering, operations, accounting, etc.) will have dual reporting relationships to Brian and to the respective functional groups here in Houston.  This reporting arrangement will enable us to leverage and transfer our Houston skills to Denver, while allowing the Denver office to operate as a separate business.  Please join me in welcoming the Denver team into the ENA Asset Group and please continue to support their efforts.</w:t>
      </w:r>
    </w:p>
    <w:p>
      <w:pPr>
        <w:pStyle w:val="Normal"/>
        <w:jc w:val="both"/>
        <w:rPr>
          <w:sz w:val="20"/>
        </w:rPr>
      </w:pPr>
      <w:r>
        <w:rPr>
          <w:sz w:val="20"/>
        </w:rPr>
      </w:r>
    </w:p>
    <w:p>
      <w:pPr>
        <w:pStyle w:val="Normal"/>
        <w:jc w:val="both"/>
        <w:rPr>
          <w:b/>
          <w:sz w:val="20"/>
        </w:rPr>
      </w:pPr>
      <w:r>
        <w:rPr>
          <w:b/>
          <w:sz w:val="20"/>
        </w:rPr>
        <w:t>Enron Storage Development (ESD), Enron Offshore Services (EOS)</w:t>
      </w:r>
    </w:p>
    <w:p>
      <w:pPr>
        <w:pStyle w:val="Normal"/>
        <w:jc w:val="both"/>
        <w:rPr>
          <w:b/>
          <w:sz w:val="20"/>
        </w:rPr>
      </w:pPr>
      <w:r>
        <w:rPr>
          <w:b/>
          <w:sz w:val="20"/>
        </w:rPr>
      </w:r>
    </w:p>
    <w:p>
      <w:pPr>
        <w:pStyle w:val="Normal"/>
        <w:jc w:val="both"/>
        <w:rPr>
          <w:sz w:val="20"/>
        </w:rPr>
      </w:pPr>
      <w:r>
        <w:rPr>
          <w:sz w:val="20"/>
        </w:rPr>
        <w:t>A key part of our 2000 plan is to create value by completing asset based transactions that support our trading business or enhance our current pipeline positions.   To achieve this objective we are establishing two new origination groups under the direction of Randy Maffett:</w:t>
      </w:r>
    </w:p>
    <w:p>
      <w:pPr>
        <w:pStyle w:val="Normal"/>
        <w:jc w:val="both"/>
        <w:rPr>
          <w:sz w:val="20"/>
        </w:rPr>
      </w:pPr>
      <w:r>
        <w:rPr>
          <w:sz w:val="20"/>
        </w:rPr>
        <w:t xml:space="preserve">  </w:t>
      </w:r>
    </w:p>
    <w:p>
      <w:pPr>
        <w:pStyle w:val="Heading1"/>
        <w:numPr>
          <w:ilvl w:val="0"/>
          <w:numId w:val="2"/>
        </w:numPr>
        <w:jc w:val="both"/>
        <w:rPr>
          <w:b w:val="false"/>
          <w:u w:val="none"/>
        </w:rPr>
      </w:pPr>
      <w:r>
        <w:rPr>
          <w:b w:val="false"/>
        </w:rPr>
        <w:t>Enron Offshore Services (EOS):</w:t>
      </w:r>
      <w:r>
        <w:rPr>
          <w:b w:val="false"/>
          <w:u w:val="none"/>
        </w:rPr>
        <w:t xml:space="preserve"> EOS will focus on servicing the growing list of producers in the Gulf of Mexico.  EOS’ strategy will be to deliver the full slate of ENA products to those producers that are focusing their management time and operating capital at the wellhead.  As the trend towards high-cost offshore exploration continues, we believe there is a valuable opportunity to secure and then syndicate asset positions that will provide ENA with access to strategic gas reserves and pipeline capacity that support our downstream businesses.  Tom Byargeon will assume the role as team leader in this effort reporting to Randy Maffett.  John Peyton and Ted Bland will join Tom to build this new business.</w:t>
      </w:r>
    </w:p>
    <w:p>
      <w:pPr>
        <w:pStyle w:val="Normal"/>
        <w:rPr>
          <w:b/>
          <w:u w:val="none"/>
        </w:rPr>
      </w:pPr>
      <w:r>
        <w:rPr>
          <w:b/>
          <w:u w:val="none"/>
        </w:rPr>
      </w:r>
    </w:p>
    <w:p>
      <w:pPr>
        <w:pStyle w:val="Heading1"/>
        <w:ind w:hanging="720" w:start="720" w:end="0"/>
        <w:jc w:val="both"/>
        <w:rPr/>
      </w:pPr>
      <w:r>
        <w:rPr>
          <w:b w:val="false"/>
          <w:u w:val="none"/>
        </w:rPr>
        <w:t>2.</w:t>
        <w:tab/>
      </w:r>
      <w:r>
        <w:rPr>
          <w:b w:val="false"/>
        </w:rPr>
        <w:t>Enron Storage Development (ESD):</w:t>
      </w:r>
      <w:r>
        <w:rPr>
          <w:b w:val="false"/>
          <w:u w:val="none"/>
        </w:rPr>
        <w:t xml:space="preserve"> ESD will focus on asset-based storage opportunities (acquisitions, joint venture partnerships, and greenfield developments) across North America with an emphasis placed on market-area facilities.  ESD’s strategy is to obtain asset positions that will enable ENA to capture trading and origination margins for both gas and power.  In addition to the traditional asset approach, ESD will also focus on new technology applications such as lined-rock caverns, chilled gas and compressed air (for peaking power applications).  A specific team leader has yet to be named but we expect to fill this spot as soon as possible.  John Allario will be a core member of this group and will coordinate and work with the various groups within ENA to maximize the potential of this new business focus.</w:t>
      </w:r>
    </w:p>
    <w:p>
      <w:pPr>
        <w:pStyle w:val="Normal"/>
        <w:jc w:val="both"/>
        <w:rPr>
          <w:b/>
          <w:sz w:val="20"/>
          <w:u w:val="none"/>
        </w:rPr>
      </w:pPr>
      <w:r>
        <w:rPr>
          <w:b/>
          <w:sz w:val="20"/>
          <w:u w:val="none"/>
        </w:rPr>
      </w:r>
    </w:p>
    <w:p>
      <w:pPr>
        <w:pStyle w:val="Normal"/>
        <w:jc w:val="both"/>
        <w:rPr>
          <w:sz w:val="20"/>
        </w:rPr>
      </w:pPr>
      <w:r>
        <w:rPr>
          <w:sz w:val="20"/>
        </w:rPr>
        <w:t>In addition to these new responsibilities, Randy will also continue to manage our efforts in Power Transmission (EPT).  Effective immediately, Ron Tapscott will assume the role as team leader for EPT.</w:t>
      </w:r>
    </w:p>
    <w:p>
      <w:pPr>
        <w:pStyle w:val="Normal"/>
        <w:jc w:val="both"/>
        <w:rPr>
          <w:sz w:val="20"/>
        </w:rPr>
      </w:pPr>
      <w:r>
        <w:rPr>
          <w:sz w:val="20"/>
        </w:rPr>
      </w:r>
    </w:p>
    <w:p>
      <w:pPr>
        <w:pStyle w:val="Normal"/>
        <w:jc w:val="both"/>
        <w:rPr>
          <w:sz w:val="20"/>
        </w:rPr>
      </w:pPr>
      <w:r>
        <w:rPr>
          <w:sz w:val="20"/>
        </w:rPr>
      </w:r>
    </w:p>
    <w:p>
      <w:pPr>
        <w:pStyle w:val="Heading4"/>
        <w:ind w:hanging="0" w:start="0"/>
        <w:rPr/>
      </w:pPr>
      <w:r>
        <w:rPr/>
        <w:t>Gas Network Development</w:t>
      </w:r>
    </w:p>
    <w:p>
      <w:pPr>
        <w:pStyle w:val="Normal"/>
        <w:jc w:val="both"/>
        <w:rPr>
          <w:sz w:val="20"/>
        </w:rPr>
      </w:pPr>
      <w:r>
        <w:rPr>
          <w:sz w:val="20"/>
        </w:rPr>
      </w:r>
    </w:p>
    <w:p>
      <w:pPr>
        <w:pStyle w:val="BodyText2"/>
        <w:rPr/>
      </w:pPr>
      <w:r>
        <w:rPr/>
        <w:t>The past success of the Gas Network Development group in monetizing and restructuring our assets allows us to now focus on establishing and maintaining a competitive asset position in the Gulf Coast region. To help carry out this new focus Mike Bilberry and Hal Bertram will join the Gas Network Development group.  The trading, marketing and supply experience of Mike and Hal combined with the finance expertise of Patrick Wade, and operational asset knowledge of Tom Liewer and Ken Kaase provide a strong foundation for establishing and maintaining a competitive asset position.  This group will function as an integrated team with the following assignment of responsibilities:</w:t>
      </w:r>
    </w:p>
    <w:p>
      <w:pPr>
        <w:pStyle w:val="BodyText2"/>
        <w:rPr/>
      </w:pPr>
      <w:r>
        <w:rPr/>
      </w:r>
    </w:p>
    <w:p>
      <w:pPr>
        <w:pStyle w:val="BodyText2"/>
        <w:numPr>
          <w:ilvl w:val="0"/>
          <w:numId w:val="3"/>
        </w:numPr>
        <w:rPr/>
      </w:pPr>
      <w:r>
        <w:rPr/>
        <w:t>Coordinating the implementation of Project Torque by developing and implementing HPL system-wide strategies based on recommendations from the Project Torque Regional Teams.  Hal Bertram will lead this effort with the support of Johnnie Williams.</w:t>
      </w:r>
    </w:p>
    <w:p>
      <w:pPr>
        <w:pStyle w:val="BodyText2"/>
        <w:rPr/>
      </w:pPr>
      <w:r>
        <w:rPr/>
      </w:r>
    </w:p>
    <w:p>
      <w:pPr>
        <w:pStyle w:val="BodyText2"/>
        <w:numPr>
          <w:ilvl w:val="0"/>
          <w:numId w:val="3"/>
        </w:numPr>
        <w:rPr/>
      </w:pPr>
      <w:r>
        <w:rPr/>
        <w:t>Interfacing with other pipelines and gas processors to obtain market intelligence and to identify opportunities to optimize and leverage ENA’s asset positions.  Mike Bilberry will lead this effort with the support of Patrick Wade.</w:t>
      </w:r>
    </w:p>
    <w:p>
      <w:pPr>
        <w:pStyle w:val="BodyText2"/>
        <w:rPr/>
      </w:pPr>
      <w:r>
        <w:rPr/>
      </w:r>
    </w:p>
    <w:p>
      <w:pPr>
        <w:pStyle w:val="BodyText2"/>
        <w:numPr>
          <w:ilvl w:val="0"/>
          <w:numId w:val="3"/>
        </w:numPr>
        <w:rPr/>
      </w:pPr>
      <w:r>
        <w:rPr/>
        <w:t xml:space="preserve">Managing the commercial aspects of our current joint venture and contract capacity positions to ensure we are optimizing the value of our investment positions.  These positions will be managed as follows: Hannover Measurement Services (Tom Liewer/Ken Kaase), Project Hurricane (Hal Bertram), A/S Pipeline (Tom Liewer/Ken Kaase), Mid Texas Pipeline (Tom Liewer/Ken Kaase), King Ranch Gas Processing (Mike Bilberry) and Duke Gulf Plains (Mike Bilberry). </w:t>
      </w:r>
    </w:p>
    <w:p>
      <w:pPr>
        <w:pStyle w:val="BodyText2"/>
        <w:rPr/>
      </w:pPr>
      <w:r>
        <w:rPr/>
      </w:r>
    </w:p>
    <w:p>
      <w:pPr>
        <w:pStyle w:val="BodyText2"/>
        <w:numPr>
          <w:ilvl w:val="0"/>
          <w:numId w:val="3"/>
        </w:numPr>
        <w:rPr/>
      </w:pPr>
      <w:r>
        <w:rPr/>
        <w:t>Optimizing the return on HPL assets through additional monetizations, tax structures, partnerships, etc..  Patrick Wade will lead this effort.</w:t>
      </w:r>
    </w:p>
    <w:p>
      <w:pPr>
        <w:pStyle w:val="BodyText2"/>
        <w:rPr/>
      </w:pPr>
      <w:r>
        <w:rPr/>
      </w:r>
    </w:p>
    <w:p>
      <w:pPr>
        <w:pStyle w:val="BodyText2"/>
        <w:rPr/>
      </w:pPr>
      <w:r>
        <w:rPr/>
      </w:r>
    </w:p>
    <w:p>
      <w:pPr>
        <w:pStyle w:val="Heading4"/>
        <w:ind w:hanging="0" w:start="0"/>
        <w:rPr/>
      </w:pPr>
      <w:r>
        <w:rPr/>
        <w:t>Gas Network Services</w:t>
      </w:r>
    </w:p>
    <w:p>
      <w:pPr>
        <w:pStyle w:val="Normal"/>
        <w:jc w:val="both"/>
        <w:rPr>
          <w:sz w:val="20"/>
        </w:rPr>
      </w:pPr>
      <w:r>
        <w:rPr>
          <w:sz w:val="20"/>
        </w:rPr>
      </w:r>
    </w:p>
    <w:p>
      <w:pPr>
        <w:pStyle w:val="Normal"/>
        <w:jc w:val="both"/>
        <w:rPr>
          <w:sz w:val="20"/>
        </w:rPr>
      </w:pPr>
      <w:r>
        <w:rPr>
          <w:sz w:val="20"/>
        </w:rPr>
        <w:t>The Gas Network Services group under the direction of Greg Sharp continues to grow earnings and expand its new businesses.  The highly successful producer services group led by Jill Zivley has added significant volumes to HPL’s throughput over the past two years.  As we develop our offshore asset business, the producer services team will expand their scope to secure offshore gas supplies to support our asset positions.  The Generation Marketing and Industrial Marketing groups have been formed to focus on these two customer segments in coordination with the other origination groups in ENA.  The Compression Services Group under the direction of Mark Courtney continues to create value in providing services to affiliate companies and is now focused on developing business with third party pipeline companies.</w:t>
      </w:r>
    </w:p>
    <w:p>
      <w:pPr>
        <w:pStyle w:val="Normal"/>
        <w:jc w:val="both"/>
        <w:rPr>
          <w:sz w:val="20"/>
        </w:rPr>
      </w:pPr>
      <w:r>
        <w:rPr>
          <w:sz w:val="20"/>
        </w:rPr>
      </w:r>
    </w:p>
    <w:p>
      <w:pPr>
        <w:pStyle w:val="Heading4"/>
        <w:ind w:hanging="0" w:start="0"/>
        <w:rPr/>
      </w:pPr>
      <w:r>
        <w:rPr/>
        <w:t>Gas Network Trading</w:t>
      </w:r>
    </w:p>
    <w:p>
      <w:pPr>
        <w:pStyle w:val="Normal"/>
        <w:jc w:val="both"/>
        <w:rPr>
          <w:sz w:val="20"/>
        </w:rPr>
      </w:pPr>
      <w:r>
        <w:rPr>
          <w:sz w:val="20"/>
        </w:rPr>
      </w:r>
    </w:p>
    <w:p>
      <w:pPr>
        <w:pStyle w:val="Normal"/>
        <w:jc w:val="both"/>
        <w:rPr>
          <w:sz w:val="20"/>
        </w:rPr>
      </w:pPr>
      <w:r>
        <w:rPr>
          <w:sz w:val="20"/>
        </w:rPr>
        <w:t xml:space="preserve">The Texas Trading Desk headed by Tom Martin is integral to providing “total gas solutions” that are responsive to the needs of the market.  As part of Project Torque, Ed Gottlob and Jim Schwieger will be closely involved in shaping our asset, transportation and storage strategy to increase the profitability of HPL.   Next year, Tom’s group will begin developing an Internet based bulletin board that will provide our customers with indicative pricing for certain unbundled products and services.  This initial system will lay the foundation for introducing the Enron Online trading system as the Texas market develops.  In addition, we will work to integrate our origination and trading activities to ensure we are capitalizing on customer relationships and new business opportunities. </w:t>
      </w:r>
    </w:p>
    <w:p>
      <w:pPr>
        <w:pStyle w:val="Normal"/>
        <w:jc w:val="both"/>
        <w:rPr>
          <w:sz w:val="20"/>
        </w:rPr>
      </w:pPr>
      <w:r>
        <w:rPr>
          <w:sz w:val="20"/>
        </w:rPr>
      </w:r>
    </w:p>
    <w:p>
      <w:pPr>
        <w:pStyle w:val="Heading4"/>
        <w:ind w:hanging="0" w:start="0"/>
        <w:rPr/>
      </w:pPr>
      <w:r>
        <w:rPr/>
        <w:t>Gas Network Engineering</w:t>
      </w:r>
    </w:p>
    <w:p>
      <w:pPr>
        <w:pStyle w:val="Normal"/>
        <w:jc w:val="both"/>
        <w:rPr>
          <w:sz w:val="20"/>
        </w:rPr>
      </w:pPr>
      <w:r>
        <w:rPr>
          <w:sz w:val="20"/>
        </w:rPr>
      </w:r>
    </w:p>
    <w:p>
      <w:pPr>
        <w:pStyle w:val="Normal"/>
        <w:jc w:val="both"/>
        <w:rPr>
          <w:sz w:val="20"/>
        </w:rPr>
      </w:pPr>
      <w:r>
        <w:rPr>
          <w:sz w:val="20"/>
        </w:rPr>
        <w:t>As you know Andy Unverzagt will be joining Enron Communications to apply his technical skills in this new Enron business.  Our engineering group is the determining factor in our ability to locate and qualify gas supply and to plan and execute asset projects that meet our customers needs in the most economical way possible.  Garry Wilson’s planning unit will continue to provide technical solutions for the various gas and storage efforts we undertake, and Robert Cook’s reservoir unit will continue with their supply evaluation and technical support activities.  As we expand our Rocky Mountain and Offshore Gulf of Mexico businesses, our engineering team will play an even larger role in expanding our resources and pipeline system.  We are currently interviewing several candidates for Andy’s position and we expect to have a replacement shortly.</w:t>
      </w:r>
    </w:p>
    <w:p>
      <w:pPr>
        <w:pStyle w:val="Normal"/>
        <w:jc w:val="both"/>
        <w:rPr>
          <w:sz w:val="20"/>
        </w:rPr>
      </w:pPr>
      <w:r>
        <w:rPr>
          <w:sz w:val="20"/>
        </w:rPr>
      </w:r>
    </w:p>
    <w:p>
      <w:pPr>
        <w:pStyle w:val="Heading4"/>
        <w:ind w:hanging="0" w:start="0"/>
        <w:rPr/>
      </w:pPr>
      <w:r>
        <w:rPr/>
        <w:t>Gas Network Operations</w:t>
      </w:r>
    </w:p>
    <w:p>
      <w:pPr>
        <w:pStyle w:val="Normal"/>
        <w:jc w:val="both"/>
        <w:rPr>
          <w:sz w:val="20"/>
        </w:rPr>
      </w:pPr>
      <w:r>
        <w:rPr>
          <w:sz w:val="20"/>
        </w:rPr>
      </w:r>
    </w:p>
    <w:p>
      <w:pPr>
        <w:pStyle w:val="Normal"/>
        <w:jc w:val="both"/>
        <w:rPr>
          <w:sz w:val="20"/>
        </w:rPr>
      </w:pPr>
      <w:r>
        <w:rPr>
          <w:sz w:val="20"/>
        </w:rPr>
        <w:t xml:space="preserve">Steve Schneider’s group will continue to manage the operational integrity, cost structure, ROWs, and cost accounting activities of ENA Gas Assets.  A key activity for Network Operations in the coming year will be to transfer the systems, processes and procedures to the Denver office necessary to support the smooth operation of the Wyoming assets.  The Network Operations group will continue to coordinate the structuring and analysis of capital investment decisions primarily as they relate the Project Approval Signoff Sheet (PASS), and as required for transactions requiring a Deal Approval Sheet (DASH).  We will be adding an additional analyst to assist Johnnie Williams and Will Chen in this effort.  Steve will also be adding a new position responsible for defining and managing our “operational agreements” with affiliates and third parties including HMS, EOC, OTS and others.  This new focus on operations will ensure we are managing our assets in the safest and most cost-effective manner possible. </w:t>
      </w:r>
    </w:p>
    <w:p>
      <w:pPr>
        <w:pStyle w:val="Normal"/>
        <w:jc w:val="both"/>
        <w:rPr>
          <w:sz w:val="20"/>
        </w:rPr>
      </w:pPr>
      <w:r>
        <w:rPr>
          <w:sz w:val="20"/>
        </w:rPr>
      </w:r>
    </w:p>
    <w:p>
      <w:pPr>
        <w:pStyle w:val="BodyText2"/>
        <w:rPr/>
      </w:pPr>
      <w:r>
        <w:rPr/>
        <w:t>These are exciting times for the Asset Group as we strive to find new and innovative opportunities to add value to ENA.   I believe these changes will increase our coordination and focus and will provide new opportunities for ongoing business.  The new origination groups will also leverage the resources of the ENA Transaction Group headed by Jeff Donahue and Ray Bowen, allowing us to increase our deal flow and efficiently structure and close transactions.  As always, I welcome your suggestions and I challenge you to find new ways to enhance the performance of the ENA Asset Group.</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sectPr>
      <w:type w:val="nextPage"/>
      <w:pgSz w:w="12240" w:h="15840"/>
      <w:pgMar w:left="1440" w:right="144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0"/>
      <w:u w:val="single"/>
    </w:rPr>
  </w:style>
  <w:style w:type="paragraph" w:styleId="Heading2">
    <w:name w:val="heading 2"/>
    <w:basedOn w:val="Normal"/>
    <w:next w:val="Normal"/>
    <w:qFormat/>
    <w:pPr>
      <w:keepNext w:val="true"/>
      <w:numPr>
        <w:ilvl w:val="1"/>
        <w:numId w:val="1"/>
      </w:numPr>
      <w:outlineLvl w:val="1"/>
    </w:pPr>
    <w:rPr>
      <w:b/>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rPr>
      <w:rFonts w:ascii="Arial" w:hAnsi="Arial" w:cs="Arial"/>
      <w:b/>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Label">
    <w:name w:val="Document Label"/>
    <w:basedOn w:val="Normal"/>
    <w:qFormat/>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2000-01-14T19:12:00Z</dcterms:created>
  <dc:creator>r m</dc:creator>
  <dc:description/>
  <dc:language>en-CA</dc:language>
  <cp:lastModifiedBy>kbenedi</cp:lastModifiedBy>
  <cp:lastPrinted>2000-01-14T16:04:00Z</cp:lastPrinted>
  <dcterms:modified xsi:type="dcterms:W3CDTF">2000-01-14T19:46:00Z</dcterms:modified>
  <cp:revision>6</cp:revision>
  <dc:subject/>
  <dc:title> 																			INTEROFFICE</dc:title>
</cp:coreProperties>
</file>