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360"/>
        <w:rPr>
          <w:sz w:val="24"/>
        </w:rPr>
      </w:pPr>
      <w:r>
        <w:rPr>
          <w:sz w:val="24"/>
        </w:rPr>
        <w:t>ORDER FLOW AGREEMENT</w:t>
      </w:r>
    </w:p>
    <w:p>
      <w:pPr>
        <w:pStyle w:val="BodyText"/>
        <w:rPr/>
      </w:pPr>
      <w:r>
        <w:rPr/>
        <w:t>This Order Flow Agreement (the “</w:t>
      </w:r>
      <w:r>
        <w:rPr>
          <w:u w:val="single"/>
        </w:rPr>
        <w:t>Agreement</w:t>
      </w:r>
      <w:r>
        <w:rPr/>
        <w:t>”) is entered into as of May __, 2000 by and between Morgan Stanley Capital Group Inc., a Delaware corporation (“</w:t>
      </w:r>
      <w:r>
        <w:rPr>
          <w:u w:val="single"/>
        </w:rPr>
        <w:t>Order Flow Provider</w:t>
      </w:r>
      <w:r>
        <w:rPr/>
        <w:t>”) and IntercontinentalExchange, LLC, a Delaware limited liability company (“ICEX”).</w:t>
      </w:r>
    </w:p>
    <w:p>
      <w:pPr>
        <w:pStyle w:val="BodyText"/>
        <w:rPr/>
      </w:pPr>
      <w:r>
        <w:rPr/>
        <w:t>WHEREAS, ICEX owns and operates an electronic platform for the trading of commodities and derivative products on commodities (the “</w:t>
      </w:r>
      <w:r>
        <w:rPr>
          <w:u w:val="single"/>
        </w:rPr>
        <w:t>Exchange</w:t>
      </w:r>
      <w:r>
        <w:rPr/>
        <w:t xml:space="preserve">”); </w:t>
      </w:r>
    </w:p>
    <w:p>
      <w:pPr>
        <w:pStyle w:val="BodyText"/>
        <w:rPr/>
      </w:pPr>
      <w:r>
        <w:rPr/>
        <w:t xml:space="preserve">WHEREAS, ICEX wishes to have Order Flow Provider enter into transactions through the Exchange and has requested that the Order Flow Provider agree to execute a specified volume of such transactions through the Exchange; </w:t>
      </w:r>
    </w:p>
    <w:p>
      <w:pPr>
        <w:pStyle w:val="BodyText"/>
        <w:rPr/>
      </w:pPr>
      <w:r>
        <w:rPr/>
        <w:t>WHEREAS, Order Flow Provider has agreed to execute such specified volume of transactions through the Exchange on the terms and subject to the conditions set forth herein;</w:t>
      </w:r>
    </w:p>
    <w:p>
      <w:pPr>
        <w:pStyle w:val="BodyText"/>
        <w:rPr/>
      </w:pPr>
      <w:r>
        <w:rPr/>
        <w:t>WHEREAS, the parties wish to set forth the terms and conditions of their agreement.</w:t>
      </w:r>
    </w:p>
    <w:p>
      <w:pPr>
        <w:pStyle w:val="BodyText"/>
        <w:rPr/>
      </w:pPr>
      <w:r>
        <w:rPr/>
        <w:t>NOW, THEREFORE, for good and valuable consideration, the receipt and adequacy of which are hereby acknowledged, the parties hereby agree as follows:</w:t>
      </w:r>
    </w:p>
    <w:p>
      <w:pPr>
        <w:pStyle w:val="Heading1"/>
        <w:ind w:hanging="0" w:start="0"/>
        <w:rPr/>
      </w:pPr>
      <w:r>
        <w:rPr/>
        <w:tab/>
      </w:r>
      <w:r>
        <w:rPr>
          <w:u w:val="single"/>
        </w:rPr>
        <w:t>Definitions</w:t>
      </w:r>
    </w:p>
    <w:p>
      <w:pPr>
        <w:pStyle w:val="BodyText"/>
        <w:rPr/>
      </w:pPr>
      <w:r>
        <w:rPr/>
        <w:t>“</w:t>
      </w:r>
      <w:r>
        <w:rPr>
          <w:u w:val="single"/>
        </w:rPr>
        <w:t>Affiliate</w:t>
      </w:r>
      <w:r>
        <w:rPr/>
        <w:t xml:space="preserve">” (i) means, with respect to Order Flow Provider, any Person that wholly owns, is wholly owned by or that is directly or indirectly wholly owned by the same ultimate parent company; and (ii) the term “wholly owned” shall mean ownership of all or substantially all of the voting securities or voting interest of a Person; </w:t>
      </w:r>
      <w:r>
        <w:rPr>
          <w:u w:val="single"/>
        </w:rPr>
        <w:t>provided</w:t>
      </w:r>
      <w:r>
        <w:rPr/>
        <w:t>, that if an Order Flow Provider has two ultimate parent entities at the time of its execution of this Agreement “ultimate parent company”, as used in this sentence shall refer to each such parent entity, or both.</w:t>
      </w:r>
    </w:p>
    <w:p>
      <w:pPr>
        <w:pStyle w:val="BodyText"/>
        <w:rPr/>
      </w:pPr>
      <w:r>
        <w:rPr/>
        <w:t>“</w:t>
      </w:r>
      <w:r>
        <w:rPr>
          <w:u w:val="single"/>
        </w:rPr>
        <w:t>Annual Order Flow Commitment</w:t>
      </w:r>
      <w:r>
        <w:rPr/>
        <w:t>” means the portion of the Order Flow Commitment required to be transacted during an Annual Order Flow Commitment Period.</w:t>
      </w:r>
    </w:p>
    <w:p>
      <w:pPr>
        <w:pStyle w:val="BodyText"/>
        <w:rPr/>
      </w:pPr>
      <w:r>
        <w:rPr/>
        <w:t>“</w:t>
      </w:r>
      <w:r>
        <w:rPr>
          <w:u w:val="single"/>
        </w:rPr>
        <w:t>Annual Order Flow Commitment Period</w:t>
      </w:r>
      <w:r>
        <w:rPr/>
        <w:t>” means, in connection with the Order Flow Commitment with respect to a given Product Group, each of (i) the period beginning on the Product Group Commencement Date and ending on the first anniversary of such Date and (ii) the period beginning on the next succeeding day and ending on the last day of the Order Flow Commitment Period, subject in each case to such adjustment as the Board of Managers of ICEX may in its reasonable judgment determine to be necessary as a result of any period of time during which the Exchange is not Substantially Operational with respect to such Product Group.</w:t>
      </w:r>
    </w:p>
    <w:p>
      <w:pPr>
        <w:pStyle w:val="BodyText"/>
        <w:rPr/>
      </w:pPr>
      <w:r>
        <w:rPr/>
        <w:t>“</w:t>
      </w:r>
      <w:r>
        <w:rPr>
          <w:u w:val="single"/>
        </w:rPr>
        <w:t>Back Office Services</w:t>
      </w:r>
      <w:r>
        <w:rPr/>
        <w:t>” means the provision of services, including but not limited to operational, processing and related support services, by an Electronic Facility (or any affiliated or related entity) in connection with transactions in Traded Forward Products or Physical Products in a manner that integrates additional functionalities with the execution process and that provides significant enhancement to the overall operation of a business in Traded Forward Products or Physical Products (which may include, without limitation and as appropriate to the Products involved, with respect to scheduling, nomination processes, delivery, transportation, storage and/or bookout).</w:t>
      </w:r>
    </w:p>
    <w:p>
      <w:pPr>
        <w:pStyle w:val="BodyText"/>
        <w:rPr/>
      </w:pPr>
      <w:r>
        <w:rPr/>
        <w:t>“</w:t>
      </w:r>
      <w:r>
        <w:rPr>
          <w:u w:val="single"/>
        </w:rPr>
        <w:t>Barrel Equivalents</w:t>
      </w:r>
      <w:r>
        <w:rPr/>
        <w:t>” means, with respect to Transactions in the Petroleum Products Group involving Products the quantities of which are expressed in barrels, the actual number of barrels underlying such Transactions (or the notional quantity thereof) and, with respect to Transactions in or involving other Products in the Petroleum Products Group (or the prices thereof), the Volumes underlying such Transactions converted into barrels in accordance with the conversion factors set forth in Schedule A appended hereto, subject to such adjustments as ICEX deems reasonably necessary to take into account the types of Transactions effected through the Exchange, market conventions and the purposes of this Agreement.</w:t>
      </w:r>
    </w:p>
    <w:p>
      <w:pPr>
        <w:pStyle w:val="BodyText"/>
        <w:rPr/>
      </w:pPr>
      <w:r>
        <w:rPr/>
        <w:t>“</w:t>
      </w:r>
      <w:r>
        <w:rPr>
          <w:u w:val="single"/>
        </w:rPr>
        <w:t>Designated Product</w:t>
      </w:r>
      <w:r>
        <w:rPr/>
        <w:t xml:space="preserve">” means any swap, cap, floor, collar, option or other derivative instrument or contract that is based on one or more physical commodities (or the prices of such commodities), or any combination thereof, in the Product Group(s) in which Order Flow Provider has made its Order Flow Commitment and, in the case of the Petroleum Products Group, any other Products listed under “Petroleum Products” on Schedule D appended hereto and, in the case of the Precious Metals Group, any other Products listed under “Precious Metals” on Schedule D appended hereto. </w:t>
      </w:r>
    </w:p>
    <w:p>
      <w:pPr>
        <w:pStyle w:val="BodyText"/>
        <w:rPr/>
      </w:pPr>
      <w:r>
        <w:rPr/>
        <w:t>“</w:t>
      </w:r>
      <w:r>
        <w:rPr>
          <w:u w:val="single"/>
        </w:rPr>
        <w:t>Electronic Facility</w:t>
      </w:r>
      <w:r>
        <w:rPr/>
        <w:t>” means any electronic facility, platform or system for the execution of transactions in Designated Products, Traded Forward Products or Physical Products between or among multiple participants.</w:t>
      </w:r>
    </w:p>
    <w:p>
      <w:pPr>
        <w:pStyle w:val="BodyText"/>
        <w:rPr/>
      </w:pPr>
      <w:r>
        <w:rPr/>
        <w:t>“</w:t>
      </w:r>
      <w:r>
        <w:rPr>
          <w:u w:val="single"/>
        </w:rPr>
        <w:t>Exchange</w:t>
      </w:r>
      <w:r>
        <w:rPr/>
        <w:t>” has the meaning given to such term in the preamble to this Agreement.</w:t>
      </w:r>
    </w:p>
    <w:p>
      <w:pPr>
        <w:pStyle w:val="BodyText"/>
        <w:rPr/>
      </w:pPr>
      <w:r>
        <w:rPr/>
        <w:t>“</w:t>
      </w:r>
      <w:r>
        <w:rPr>
          <w:u w:val="single"/>
        </w:rPr>
        <w:t>Executed Transaction</w:t>
      </w:r>
      <w:r>
        <w:rPr/>
        <w:t>” means a Transaction that has been executed through the Exchange in accordance with the terms and conditions established by ICEX and with respect to which Order Flow Provider has paid or is obligated to pay to ICEX the commission required to be paid in connection with such Transaction in accordance with the ICEX Commission Schedule then in effect.  A Transaction that satisfies the foregoing requirements shall be considered an Executed Transaction regardless of whether, subsequent to the execution of the Transaction through ICEX, such Transaction is not settled between Order Flow Provider and the other party to such Transaction.</w:t>
      </w:r>
    </w:p>
    <w:p>
      <w:pPr>
        <w:pStyle w:val="BodyText"/>
        <w:rPr/>
      </w:pPr>
      <w:r>
        <w:rPr/>
        <w:t>“</w:t>
      </w:r>
      <w:r>
        <w:rPr>
          <w:u w:val="single"/>
        </w:rPr>
        <w:t>Executed Volumes</w:t>
      </w:r>
      <w:r>
        <w:rPr/>
        <w:t>” means the Volumes underlying Executed Transactions.</w:t>
      </w:r>
    </w:p>
    <w:p>
      <w:pPr>
        <w:pStyle w:val="BodyText"/>
        <w:rPr/>
      </w:pPr>
      <w:r>
        <w:rPr/>
        <w:t>“</w:t>
      </w:r>
      <w:r>
        <w:rPr>
          <w:u w:val="single"/>
        </w:rPr>
        <w:t>Gold-Equivalent Ounces</w:t>
      </w:r>
      <w:r>
        <w:rPr/>
        <w:t>” means, with respect to Transactions in Products involving or based on gold, platinum or palladium (or the prices thereof), the actual number of ounces underlying such Transaction (or the notional quantity thereof) and, with respect to Transactions in Products involving or based on silver (or the prices thereof), the actual number of ounces underlying such Transaction (or the notional quantity thereof), multiplied by 50.</w:t>
      </w:r>
    </w:p>
    <w:p>
      <w:pPr>
        <w:pStyle w:val="BodyText"/>
        <w:rPr/>
      </w:pPr>
      <w:r>
        <w:rPr/>
        <w:t>“</w:t>
      </w:r>
      <w:r>
        <w:rPr>
          <w:u w:val="single"/>
        </w:rPr>
        <w:t>ICEX Commission Schedule</w:t>
      </w:r>
      <w:r>
        <w:rPr/>
        <w:t>” means the schedule of commissions for Executed Transactions established by ICEX from time to time, provided only that commissions shall be established at such levels as shall be competitive with the then current market rate for services the same or similar to the services provided by ICEX.</w:t>
      </w:r>
    </w:p>
    <w:p>
      <w:pPr>
        <w:pStyle w:val="BodyText"/>
        <w:rPr/>
      </w:pPr>
      <w:r>
        <w:rPr/>
        <w:t>“</w:t>
      </w:r>
      <w:r>
        <w:rPr>
          <w:u w:val="single"/>
        </w:rPr>
        <w:t>Imputed Commissions</w:t>
      </w:r>
      <w:r>
        <w:rPr/>
        <w:t>” means, with respect to any Year-to-Date Shortfall, an amount equal to (i) the number barrels in the Year-to-Date Shortfall (calculated in accordance with Section 2(a) hereof), multiplied by the Imputed Commission Rate for the Petroleum Product Group, in the case of a Shortfall in the Petroleum Products Group, and (ii) the number of Gold-Equivalent Ounces in the Year-to-Date Shortfall, multiplied by the Imputed Commission Rate for the Precious Metals Product Group, in the case of a Shortfall in the Precious Metals Product Group.</w:t>
      </w:r>
    </w:p>
    <w:p>
      <w:pPr>
        <w:pStyle w:val="BodyText"/>
        <w:rPr/>
      </w:pPr>
      <w:r>
        <w:rPr/>
        <w:t>“</w:t>
      </w:r>
      <w:r>
        <w:rPr>
          <w:u w:val="single"/>
        </w:rPr>
        <w:t>Imputed Commission Rate</w:t>
      </w:r>
      <w:r>
        <w:rPr/>
        <w:t>” means, for a Year-to-Date Order Flow Commitment Period, (i) with respect to the Petroleum Products Group, the actual total amount of commissions received by or due to ICEX for Transactions in such Product Group during such Period, divided by the total Volume underlying such Transactions, expressed in Barrel Equivalents, and (ii) with respect to the Precious Metals Product Group, the actual total amount of commissions received by or due to ICEX for Transactions in such Product Group during such Period, divided by the total Volume of such Transactions, expressed in Gold-Equivalent Ounces.  In determining the Imputed Commission Rate, ICEX shall make such adjustments to the Volumes underlying Transactions as it deems reasonably necessary to take into account the types of Transactions effected through the Exchange and to effectuate the purposes of this Agreement.</w:t>
      </w:r>
    </w:p>
    <w:p>
      <w:pPr>
        <w:pStyle w:val="BodyText"/>
        <w:rPr/>
      </w:pPr>
      <w:r>
        <w:rPr/>
        <w:t>“</w:t>
      </w:r>
      <w:r>
        <w:rPr>
          <w:u w:val="single"/>
        </w:rPr>
        <w:t>Member</w:t>
      </w:r>
      <w:r>
        <w:rPr/>
        <w:t xml:space="preserve">” means a Member of ICEX, as defined in the First Amended and Restated Limited Liability Company Operating Agreement of ICEX, dated May __, 2000.  </w:t>
      </w:r>
    </w:p>
    <w:p>
      <w:pPr>
        <w:pStyle w:val="BodyText"/>
        <w:rPr/>
      </w:pPr>
      <w:r>
        <w:rPr/>
        <w:t>“</w:t>
      </w:r>
      <w:r>
        <w:rPr>
          <w:u w:val="single"/>
        </w:rPr>
        <w:t>Order Flow Affiliate</w:t>
      </w:r>
      <w:r>
        <w:rPr/>
        <w:t xml:space="preserve">” means any Affiliate of Order Flow Provider and any entity at least 40% of the voting securities or other voting interests of which are owned by Order Flow Provider or any Affiliate of Order Flow Provider. </w:t>
      </w:r>
    </w:p>
    <w:p>
      <w:pPr>
        <w:pStyle w:val="BodyText"/>
        <w:rPr/>
      </w:pPr>
      <w:r>
        <w:rPr/>
        <w:t>“</w:t>
      </w:r>
      <w:r>
        <w:rPr>
          <w:u w:val="single"/>
        </w:rPr>
        <w:t>Order Flow Commitment</w:t>
      </w:r>
      <w:r>
        <w:rPr/>
        <w:t>” means the volume of Transactions in a given Product Group that the Order Flow Provider is obligated to enter into through the Exchange in accordance with the terms and conditions of this Agreement.</w:t>
      </w:r>
    </w:p>
    <w:p>
      <w:pPr>
        <w:pStyle w:val="BodyText"/>
        <w:rPr/>
      </w:pPr>
      <w:r>
        <w:rPr/>
        <w:t>“</w:t>
      </w:r>
      <w:r>
        <w:rPr>
          <w:u w:val="single"/>
        </w:rPr>
        <w:t>Order Flow Commitment Period</w:t>
      </w:r>
      <w:r>
        <w:rPr/>
        <w:t>” means, in connection with the Order Flow Commitment with respect to any Product Group, the period beginning on the Product Group Commencement Date and ending on the second anniversary of the Product Group Commencement Date, subject to such adjustment as the Board of Managers of ICEX may in its reasonable judgment determines to be necessary as a result of any period of time during which the Exchange is not Substantially Operational with respect to such Product Group.</w:t>
      </w:r>
    </w:p>
    <w:p>
      <w:pPr>
        <w:pStyle w:val="BodyText"/>
        <w:rPr/>
      </w:pPr>
      <w:r>
        <w:rPr/>
        <w:t>“</w:t>
      </w:r>
      <w:r>
        <w:rPr>
          <w:u w:val="single"/>
        </w:rPr>
        <w:t>Other Order Flow Commitment</w:t>
      </w:r>
      <w:r>
        <w:rPr/>
        <w:t xml:space="preserve">” means any agreement pursuant to which Order Flow Provider or, subject to the terms of Section 5 hereof, any Affiliate, becomes obligated to execute any specific volumes or quantities of transactions in one or more Designated Products, Traded Forward Products or Physical Products, as the case may be, through an Electronic Facility (other than the Exchange). </w:t>
      </w:r>
    </w:p>
    <w:p>
      <w:pPr>
        <w:pStyle w:val="BodyText"/>
        <w:rPr/>
      </w:pPr>
      <w:r>
        <w:rPr/>
        <w:t>“</w:t>
      </w:r>
      <w:r>
        <w:rPr>
          <w:u w:val="single"/>
        </w:rPr>
        <w:t>Person</w:t>
      </w:r>
      <w:r>
        <w:rPr/>
        <w:t>” means an individual, corporation (including any non-profit corporation), association, general or limited partnership, organization, business, firm, limited liability company, joint venture, trust, estate, or other entity, association or organization, whether constituting a separate legal entity or not.</w:t>
      </w:r>
    </w:p>
    <w:p>
      <w:pPr>
        <w:pStyle w:val="BodyText"/>
        <w:rPr/>
      </w:pPr>
      <w:r>
        <w:rPr/>
        <w:t>“</w:t>
      </w:r>
      <w:r>
        <w:rPr>
          <w:u w:val="single"/>
        </w:rPr>
        <w:t>Petroleum Products Group</w:t>
      </w:r>
      <w:r>
        <w:rPr/>
        <w:t>” means all Products involving the purchase or sale of, or that are otherwise based on or involving (i) any grade or quality of crude oil for delivery at any delivery point, (ii) gasoline, heating oil, gasoil, jet fuel or any other commodity that is produced through the refining of Crude Oil, of any grade or quality and for delivery at any delivery point, or (iii) the prices of any of the foregoing.</w:t>
      </w:r>
    </w:p>
    <w:p>
      <w:pPr>
        <w:pStyle w:val="BodyText"/>
        <w:rPr/>
      </w:pPr>
      <w:r>
        <w:rPr/>
        <w:t>“</w:t>
      </w:r>
      <w:r>
        <w:rPr>
          <w:u w:val="single"/>
        </w:rPr>
        <w:t>Physical Product</w:t>
      </w:r>
      <w:r>
        <w:rPr/>
        <w:t>” means any contract or instrument, other than a Designated Product or Traded Forward Product, pursuant to which the parties purchase and sell those physical products listed on Schedule C appended hereto.</w:t>
      </w:r>
    </w:p>
    <w:p>
      <w:pPr>
        <w:pStyle w:val="BodyText"/>
        <w:rPr/>
      </w:pPr>
      <w:r>
        <w:rPr/>
        <w:t>“</w:t>
      </w:r>
      <w:r>
        <w:rPr>
          <w:u w:val="single"/>
        </w:rPr>
        <w:t>Precious Metals Product Group</w:t>
      </w:r>
      <w:r>
        <w:rPr/>
        <w:t>” means all Products involving the purchase or sale of, or that are otherwise based on or involving, gold, silver, platinum or palladium.</w:t>
      </w:r>
    </w:p>
    <w:p>
      <w:pPr>
        <w:pStyle w:val="BodyText"/>
        <w:rPr/>
      </w:pPr>
      <w:r>
        <w:rPr/>
        <w:t>“</w:t>
      </w:r>
      <w:r>
        <w:rPr>
          <w:u w:val="single"/>
        </w:rPr>
        <w:t>Product</w:t>
      </w:r>
      <w:r>
        <w:rPr/>
        <w:t xml:space="preserve">” means a Designated Product, a Traded Forward Product or a Physical Product.  </w:t>
      </w:r>
    </w:p>
    <w:p>
      <w:pPr>
        <w:pStyle w:val="BodyText"/>
        <w:rPr/>
      </w:pPr>
      <w:r>
        <w:rPr/>
        <w:t>“</w:t>
      </w:r>
      <w:r>
        <w:rPr>
          <w:u w:val="single"/>
        </w:rPr>
        <w:t>Product Group</w:t>
      </w:r>
      <w:r>
        <w:rPr/>
        <w:t xml:space="preserve">” means (i) the Petroleum Products Group, or (ii) the Precious Metals Product Group, as the case may be.  </w:t>
      </w:r>
    </w:p>
    <w:p>
      <w:pPr>
        <w:pStyle w:val="BodyText"/>
        <w:rPr/>
      </w:pPr>
      <w:r>
        <w:rPr/>
        <w:t>“</w:t>
      </w:r>
      <w:r>
        <w:rPr>
          <w:u w:val="single"/>
        </w:rPr>
        <w:t>Product Group Commencement Date</w:t>
      </w:r>
      <w:r>
        <w:rPr/>
        <w:t>” means, with respect to any Product Group, the date on which the Exchange is Substantially Operational with respect to Transactions in such Product Group.</w:t>
      </w:r>
    </w:p>
    <w:p>
      <w:pPr>
        <w:pStyle w:val="BodyText"/>
        <w:rPr/>
      </w:pPr>
      <w:r>
        <w:rPr/>
        <w:t>“</w:t>
      </w:r>
      <w:r>
        <w:rPr>
          <w:u w:val="single"/>
        </w:rPr>
        <w:t>Related Parent</w:t>
      </w:r>
      <w:r>
        <w:rPr/>
        <w:t>” means the entity that owns or controls, directly or indirectly, more than 50 % of the outstanding voting securities of Order Flow Provider.</w:t>
      </w:r>
    </w:p>
    <w:p>
      <w:pPr>
        <w:pStyle w:val="BodyText"/>
        <w:rPr/>
      </w:pPr>
      <w:r>
        <w:rPr/>
        <w:t>“</w:t>
      </w:r>
      <w:r>
        <w:rPr>
          <w:u w:val="single"/>
        </w:rPr>
        <w:t>Substantially Operational</w:t>
      </w:r>
      <w:r>
        <w:rPr/>
        <w:t>” means, with respect to any Product Group, that the Exchange, in the reasonable determination of the Board of Managers of ICEX, (i) is functioning substantially in accordance with its intended mode of operation, as specified in ICEX’s business plan, and in a manner consistent with reasonable commercial standards, and (ii) is generally available for the execution of Transactions in such Product Group in accordance with the terms and conditions of trading in such Product Group and is capable of executing such Transactions.</w:t>
      </w:r>
    </w:p>
    <w:p>
      <w:pPr>
        <w:pStyle w:val="BodyText"/>
        <w:rPr/>
      </w:pPr>
      <w:r>
        <w:rPr/>
        <w:t>“</w:t>
      </w:r>
      <w:r>
        <w:rPr>
          <w:u w:val="single"/>
        </w:rPr>
        <w:t>Traded Forward Product</w:t>
      </w:r>
      <w:r>
        <w:rPr/>
        <w:t>” means any forward contract or similar type of contract or instrument (other than a Physical Product or a Designated Product) that (i) provides for delivery of a commodity within the Petroleum Products Group but does not by its terms at the time it is entered into provide for delivery of a specific physical cargo (e.g., that is identified by a parcel number or specified vessels); (ii) is the subject of an active and liquid over-the-counter trading market; and (iii) is generally known in the industry as a forward contract; provided that, for the avoidance of doubt, and without limitation, Traded Forward Products shall include those products listed on Schedule B appended hereto, and provided further, that ICEX may (by decision of the Board of Managers) from time to time add other Traded Forward Products to such Schedule which, upon such inclusion, shall become Traded Forward Products for all purposes hereunder.</w:t>
      </w:r>
    </w:p>
    <w:p>
      <w:pPr>
        <w:pStyle w:val="BodyText"/>
        <w:rPr/>
      </w:pPr>
      <w:r>
        <w:rPr/>
        <w:t>“</w:t>
      </w:r>
      <w:r>
        <w:rPr>
          <w:u w:val="single"/>
        </w:rPr>
        <w:t>Transaction</w:t>
      </w:r>
      <w:r>
        <w:rPr/>
        <w:t>” means the purchase or sale of a Product through the Exchange.</w:t>
      </w:r>
    </w:p>
    <w:p>
      <w:pPr>
        <w:pStyle w:val="BodyText"/>
        <w:rPr/>
      </w:pPr>
      <w:r>
        <w:rPr/>
        <w:t>“</w:t>
      </w:r>
      <w:r>
        <w:rPr>
          <w:u w:val="single"/>
        </w:rPr>
        <w:t>Volume</w:t>
      </w:r>
      <w:r>
        <w:rPr/>
        <w:t>” means, as the case may be, the quantity underlying a Transaction.</w:t>
      </w:r>
    </w:p>
    <w:p>
      <w:pPr>
        <w:pStyle w:val="BodyText"/>
        <w:rPr/>
      </w:pPr>
      <w:r>
        <w:rPr/>
        <w:t>“</w:t>
      </w:r>
      <w:r>
        <w:rPr>
          <w:u w:val="single"/>
        </w:rPr>
        <w:t>Year-to-Date Order Flow Commitment</w:t>
      </w:r>
      <w:r>
        <w:rPr/>
        <w:t>” means the portion of the Order Flow Commitment equal to (i) the Order Flow Commitment, multiplied by (ii) a fraction, the numerator of which is the number of days in the relevant Year-to-Date Order Flow Commitment Period and the denominator of which is the number of days in the relevant Annual Order Flow Commitment Period.</w:t>
      </w:r>
    </w:p>
    <w:p>
      <w:pPr>
        <w:pStyle w:val="BodyText"/>
        <w:rPr/>
      </w:pPr>
      <w:r>
        <w:rPr/>
        <w:t>“</w:t>
      </w:r>
      <w:r>
        <w:rPr>
          <w:u w:val="single"/>
        </w:rPr>
        <w:t>Year-to-Date Order Flow Commitment Period</w:t>
      </w:r>
      <w:r>
        <w:rPr/>
        <w:t>” means, on any date, the period from the beginning of the Annual Order Flow Commitment Period in which such date occurs through such date, subject to such adjustment as the Board of Managers of ICEX may in its reasonable judgment determine to be necessary as a result of any period of time during which the Exchange is not Substantially Operational with respect to a given Product Group.</w:t>
      </w:r>
    </w:p>
    <w:p>
      <w:pPr>
        <w:pStyle w:val="BodyText"/>
        <w:rPr/>
      </w:pPr>
      <w:r>
        <w:rPr/>
        <w:t>“</w:t>
      </w:r>
      <w:r>
        <w:rPr>
          <w:u w:val="single"/>
        </w:rPr>
        <w:t>Year-to-Date Shortfall</w:t>
      </w:r>
      <w:r>
        <w:rPr/>
        <w:t>” means, on any date and with respect to any Product Group, the excess, if any, of the Year-to-Date Order Flow Commitment over the aggregate Executed Volumes for such Product Group in the Year-to-Date Order Flow Commitment Period.</w:t>
      </w:r>
    </w:p>
    <w:p>
      <w:pPr>
        <w:pStyle w:val="Heading1"/>
        <w:ind w:hanging="0" w:start="0"/>
        <w:rPr/>
      </w:pPr>
      <w:r>
        <w:rPr/>
        <w:tab/>
      </w:r>
      <w:r>
        <w:rPr>
          <w:u w:val="single"/>
        </w:rPr>
        <w:t>Order Flow Commitment</w:t>
      </w:r>
    </w:p>
    <w:p>
      <w:pPr>
        <w:pStyle w:val="Heading2"/>
        <w:keepLines/>
        <w:ind w:hanging="0" w:start="0"/>
        <w:rPr/>
      </w:pPr>
      <w:r>
        <w:rPr/>
        <w:tab/>
        <w:t>Order Flow Provider agrees, subject to the terms and conditions set forth herein, that it will enter into Executed Transactions through the Exchange, during each Annual Order Flow Commitment Period, in the following Volumes:</w:t>
      </w:r>
    </w:p>
    <w:p>
      <w:pPr>
        <w:pStyle w:val="ListBullet"/>
        <w:numPr>
          <w:ilvl w:val="0"/>
          <w:numId w:val="2"/>
        </w:numPr>
        <w:rPr/>
      </w:pPr>
      <w:r>
        <w:rPr/>
        <w:t xml:space="preserve">Petroleum Products Group – </w:t>
      </w:r>
    </w:p>
    <w:p>
      <w:pPr>
        <w:pStyle w:val="ListBullet"/>
        <w:numPr>
          <w:ilvl w:val="0"/>
          <w:numId w:val="2"/>
        </w:numPr>
        <w:rPr/>
      </w:pPr>
      <w:r>
        <w:rPr/>
        <w:t>US Gas Products Group-</w:t>
      </w:r>
    </w:p>
    <w:p>
      <w:pPr>
        <w:pStyle w:val="ListBullet"/>
        <w:numPr>
          <w:ilvl w:val="0"/>
          <w:numId w:val="2"/>
        </w:numPr>
        <w:rPr/>
      </w:pPr>
      <w:r>
        <w:rPr/>
        <w:t>US Electricity Products Group-</w:t>
      </w:r>
    </w:p>
    <w:p>
      <w:pPr>
        <w:pStyle w:val="Heading2"/>
        <w:ind w:hanging="0" w:start="0"/>
        <w:rPr/>
      </w:pPr>
      <w:r>
        <w:rPr/>
        <w:tab/>
        <w:t>In determining Order Flow Provider’s compliance with the requirements of Section 2(a) of this Agreement:</w:t>
      </w:r>
    </w:p>
    <w:p>
      <w:pPr>
        <w:pStyle w:val="Heading3"/>
        <w:ind w:hanging="0" w:start="0"/>
        <w:rPr/>
      </w:pPr>
      <w:r>
        <w:rPr/>
        <w:tab/>
        <w:t>Only Executed Transactions will be included;</w:t>
      </w:r>
    </w:p>
    <w:p>
      <w:pPr>
        <w:pStyle w:val="Heading3"/>
        <w:ind w:hanging="0" w:start="0"/>
        <w:rPr/>
      </w:pPr>
      <w:r>
        <w:rPr/>
        <w:tab/>
        <w:t>Each purchase and each sale of a Product shall constitute a separate Transaction;</w:t>
      </w:r>
    </w:p>
    <w:p>
      <w:pPr>
        <w:pStyle w:val="Heading3"/>
        <w:ind w:hanging="0" w:start="0"/>
        <w:rPr/>
      </w:pPr>
      <w:r>
        <w:rPr/>
        <w:tab/>
        <w:t>Any combination of Transactions in Products in the Petroleum Products Group and any combination of Transactions in Products in the Precious Metals Product Group, as the case may be, shall be included in determining Order Flow Provider’s compliance with its Order Flow Commitment with respect to each such Group;</w:t>
      </w:r>
    </w:p>
    <w:p>
      <w:pPr>
        <w:pStyle w:val="Heading3"/>
        <w:ind w:hanging="0" w:start="0"/>
        <w:rPr/>
      </w:pPr>
      <w:r>
        <w:rPr/>
        <w:tab/>
        <w:t>The Order Flow Commitment for each Product Group must be satisfied separately for each Annual Order Flow Commitment Period.  Any Transactions entered into by Order Flow Provider in the first Annual Order Flow Commitment Period that are in excess of the Annual Order Flow Commitment shall not be included in determining Order Flow Provider’s compliance with its Annual Order Flow Commitment  during the second Annual Order Flow Commitment Period;</w:t>
      </w:r>
    </w:p>
    <w:p>
      <w:pPr>
        <w:pStyle w:val="Heading3"/>
        <w:ind w:hanging="0" w:start="0"/>
        <w:rPr/>
      </w:pPr>
      <w:r>
        <w:rPr/>
        <w:tab/>
        <w:t>Executed Transactions entered into prior to the Product Group Commencement Date shall be included in determining Order Flow Provider’s compliance with the Order Flow Commitment;</w:t>
      </w:r>
    </w:p>
    <w:p>
      <w:pPr>
        <w:pStyle w:val="Heading3"/>
        <w:ind w:hanging="0" w:start="0"/>
        <w:rPr/>
      </w:pPr>
      <w:r>
        <w:rPr/>
        <w:tab/>
        <w:t>A Transaction shall be deemed to have been entered into on the date on which the Transaction is executed through the Exchange, as reflected on the notification provided by ICEX with respect to such Transaction; and</w:t>
      </w:r>
    </w:p>
    <w:p>
      <w:pPr>
        <w:pStyle w:val="Heading3"/>
        <w:ind w:hanging="0" w:start="0"/>
        <w:rPr/>
      </w:pPr>
      <w:r>
        <w:rPr/>
        <w:tab/>
        <w:t xml:space="preserve">Any Executed Volumes transacted by any Order Flow Affiliate of an Order Flow Provider, or by such Order Flow Provider on behalf of any Order Flow Affiliate, shall be included in determining Order Flow Provider’s compliance with the requirements of Section 2(a) of this Agreement. </w:t>
      </w:r>
    </w:p>
    <w:p>
      <w:pPr>
        <w:pStyle w:val="Heading2"/>
        <w:ind w:hanging="0" w:start="0"/>
        <w:rPr/>
      </w:pPr>
      <w:r>
        <w:rPr/>
        <w:tab/>
        <w:t xml:space="preserve">In the event that, as of the last day of any calendar month during the Order Flow Commitment Period, Order Flow Provider has not entered into Executed Transactions during the Year-to-Date Order Flow Commitment Period in an amount equal to its Year-to-Date Order Flow Commitment, it shall, within 15 days of the end of such month, pay to ICEX an amount equal to the Imputed Commissions on the Year-to-Date Shortfall.  If at the conclusion of the Annual Order Flow Commitment Period in which such month occurs, Order Flow Provider has satisfied or exceeded its Annual Order Flow Commitment, it shall be repaid any amounts paid to ICEX during such Annual Order Flow Commitment Period pursuant to this Section 2(c), within 30 days of the end of such Period. </w:t>
      </w:r>
    </w:p>
    <w:p>
      <w:pPr>
        <w:pStyle w:val="Heading1"/>
        <w:keepNext w:val="false"/>
        <w:keepLines/>
        <w:ind w:hanging="0" w:start="0"/>
        <w:rPr/>
      </w:pPr>
      <w:r>
        <w:rPr/>
        <w:tab/>
      </w:r>
      <w:r>
        <w:rPr>
          <w:u w:val="single"/>
        </w:rPr>
        <w:t>Other Obligations of Order Flow Provider</w:t>
      </w:r>
    </w:p>
    <w:p>
      <w:pPr>
        <w:pStyle w:val="BodyText"/>
        <w:rPr/>
      </w:pPr>
      <w:r>
        <w:rPr/>
        <w:t>Order Flow Provider agrees that it will attempt in good faith to assist in the development of the Exchange and to promote and develop interest in the Exchange among existing and prospective users of the Exchange (other than existing participants that have entered into order flow agreements with ICEX).  Without limitation of the foregoing, Order Flow Provider agrees that it will (i) assist ICEX in identifying key market participants; and (ii) generally endorse the Exchange in the marketplace.</w:t>
      </w:r>
      <w:r>
        <w:rPr>
          <w:b/>
        </w:rPr>
        <w:t xml:space="preserve"> </w:t>
      </w:r>
    </w:p>
    <w:p>
      <w:pPr>
        <w:pStyle w:val="Heading1"/>
        <w:ind w:hanging="0" w:start="0"/>
        <w:rPr/>
      </w:pPr>
      <w:r>
        <w:rPr/>
        <w:tab/>
      </w:r>
      <w:r>
        <w:rPr>
          <w:u w:val="single"/>
        </w:rPr>
        <w:t>Representations and Warranties</w:t>
      </w:r>
    </w:p>
    <w:p>
      <w:pPr>
        <w:pStyle w:val="BodyText"/>
        <w:rPr/>
      </w:pPr>
      <w:r>
        <w:rPr/>
        <w:t>(a)</w:t>
        <w:tab/>
        <w:t>Order Flow Provider hereby represents and warrants that:</w:t>
      </w:r>
    </w:p>
    <w:p>
      <w:pPr>
        <w:pStyle w:val="Heading3"/>
        <w:ind w:hanging="0" w:start="0"/>
        <w:rPr/>
      </w:pPr>
      <w:r>
        <w:rPr/>
        <w:tab/>
        <w:t xml:space="preserve">It has been duly organized and is validly existing and in good standing under the laws of the jurisdiction of its organization and  has all requisite corporate power and authority to own its assets and to carry on its business as it is now being conducted. </w:t>
      </w:r>
    </w:p>
    <w:p>
      <w:pPr>
        <w:pStyle w:val="Heading3"/>
        <w:ind w:hanging="0" w:start="0"/>
        <w:rPr/>
      </w:pPr>
      <w:r>
        <w:rPr/>
        <w:tab/>
        <w:t>It  has all requisite corporate or other power and authority to execute and deliver this Agreement and to perform its obligations hereunder.</w:t>
      </w:r>
    </w:p>
    <w:p>
      <w:pPr>
        <w:pStyle w:val="Heading3"/>
        <w:ind w:hanging="0" w:start="0"/>
        <w:rPr/>
      </w:pPr>
      <w:r>
        <w:rPr/>
        <w:tab/>
        <w:t>The execution, delivery and performance of this Agreement by Order Flow Provider have been duly and validly authorized on behalf of Order Flow Provider, and no other corporate or other proceedings or action on the part of Order Flow Provider, its board of directors or its stockholders or (other governing body or equity owners) are necessary therefor.</w:t>
      </w:r>
    </w:p>
    <w:p>
      <w:pPr>
        <w:pStyle w:val="Heading3"/>
        <w:ind w:hanging="0" w:start="0"/>
        <w:rPr/>
      </w:pPr>
      <w:r>
        <w:rPr/>
        <w:tab/>
        <w:t xml:space="preserve">The execution, delivery and performance of this Agreement do not (A) violate or conflict with any provision of its certificate of incorporation, by-laws or other governing or constituent documents, (B) whether after the giving of notice or lapse of time or both, violate or conflict with any provision of, or result in the modification, cancellation, termination or acceleration of, any obligation, under any contract, agreement or other instrument or document to which it is a party or by which it is bound, (C) violate or conflict with any applicable laws, regulations or orders of a court or regulatory or self-regulatory authority applicable to Order Flow Provider or any other material restriction of any kind or character to which Order Flow Provider is subject, or (D) require any authorization, consent, order, permit or approval of, or notice to, or filing, registration or qualification with, any governmental, regulatory or self-regulatory authority or any other Person, except for such consents or waivers which have been obtained. </w:t>
      </w:r>
    </w:p>
    <w:p>
      <w:pPr>
        <w:pStyle w:val="Heading3"/>
        <w:ind w:hanging="0" w:start="0"/>
        <w:rPr/>
      </w:pPr>
      <w:r>
        <w:rPr/>
        <w:tab/>
        <w:t>This Agreement has been duly executed and delivered by Order Flow Provider and constitutes the legal, valid and binding obligation of Order Flow Provider, enforceable against it in accordance with its terms, except as enforceability may be limited by applicable bankruptcy, insolvency, reorganization, moratorium or other laws relating to or affecting the rights and remedies of creditors generally and to general principles of equity (regardless of whether in equity or at law), authorized and otherwise duly qualified, and is legally capable of executing and delivering this Agreement and undertaking and performing its obligations hereunder.</w:t>
      </w:r>
    </w:p>
    <w:p>
      <w:pPr>
        <w:pStyle w:val="Heading2"/>
        <w:ind w:hanging="0" w:start="0"/>
        <w:rPr/>
      </w:pPr>
      <w:r>
        <w:rPr/>
        <w:tab/>
        <w:t>ICEX hereby represents and warrants that:</w:t>
      </w:r>
    </w:p>
    <w:p>
      <w:pPr>
        <w:pStyle w:val="Heading3"/>
        <w:ind w:hanging="0" w:start="0"/>
        <w:rPr/>
      </w:pPr>
      <w:r>
        <w:rPr/>
        <w:tab/>
        <w:t xml:space="preserve">It has been duly organized and is validly existing and in good standing under the laws of the jurisdiction of its organization and has all requisite corporate power and authority to own its assets and to carry on its business as it is now being conducted. </w:t>
      </w:r>
    </w:p>
    <w:p>
      <w:pPr>
        <w:pStyle w:val="Heading3"/>
        <w:ind w:hanging="0" w:start="0"/>
        <w:rPr/>
      </w:pPr>
      <w:r>
        <w:rPr/>
        <w:tab/>
        <w:t>It  has all requisite corporate or other power and authority to execute and deliver this Agreement and to perform its obligations hereunder.</w:t>
      </w:r>
    </w:p>
    <w:p>
      <w:pPr>
        <w:pStyle w:val="Heading3"/>
        <w:ind w:hanging="0" w:start="0"/>
        <w:rPr/>
      </w:pPr>
      <w:r>
        <w:rPr/>
        <w:tab/>
        <w:t>The execution, delivery and performance of this Agreement and the consummation of the transactions contemplated hereby by ICEX have been duly and validly authorized on behalf of ICEX, and no other corporate or other proceedings or action on the part of ICEX, its Board of Managers or its Members are necessary therefor.</w:t>
      </w:r>
    </w:p>
    <w:p>
      <w:pPr>
        <w:pStyle w:val="Heading3"/>
        <w:ind w:hanging="0" w:start="0"/>
        <w:rPr/>
      </w:pPr>
      <w:r>
        <w:rPr/>
        <w:tab/>
        <w:t>The execution, delivery and performance of this Agreement do not (A) violate or conflict with any provision of its Certificate of Formation, Limited Liability Company Operating Agreement or other governing or constituent documents, (B) whether after the giving of notice or lapse of time or both, violate or conflict with any provision of, or result in the modification, cancellation, termination or acceleration of, any obligation, under any contract, agreement or other instrument or document to which it is a party or by which it is bound, (C) violate or conflict with any applicable laws, regulations or orders of a court or regulatory or self-regulatory authority applicable to ICEX or any other material restriction of any kind or character to which ICEX is subject, or (D) require any authorization, consent, order, permit or approval of, or notice to, or filing, registration or qualification with, any governmental, regulatory or self-regulatory authority or any other Person, except for such consents or waivers which have been obtained.</w:t>
      </w:r>
    </w:p>
    <w:p>
      <w:pPr>
        <w:pStyle w:val="Heading3"/>
        <w:ind w:hanging="0" w:start="0"/>
        <w:rPr/>
      </w:pPr>
      <w:r>
        <w:rPr/>
        <w:tab/>
        <w:t>This Agreement has been duly executed and delivered by ICEX and constitutes the legal, valid and binding obligation of ICEX, enforceable against it in accordance with its terms, except as enforceability may be limited by applicable bankruptcy, insolvency, reorganization, moratorium or other laws relating to or affecting the rights and remedies of creditors generally and to general principles of equity (regardless of whether in equity or at law), authorized and otherwise duly qualified, and is legally capable of executing and delivering this Agreement and undertaking and performing its obligations hereunder.</w:t>
      </w:r>
    </w:p>
    <w:p>
      <w:pPr>
        <w:pStyle w:val="Heading1"/>
        <w:ind w:hanging="0" w:start="0"/>
        <w:rPr/>
      </w:pPr>
      <w:r>
        <w:rPr/>
        <w:tab/>
      </w:r>
      <w:r>
        <w:rPr>
          <w:u w:val="single"/>
        </w:rPr>
        <w:t>Other Order Flow Commitments</w:t>
      </w:r>
    </w:p>
    <w:p>
      <w:pPr>
        <w:pStyle w:val="Heading2"/>
        <w:ind w:hanging="0" w:start="0"/>
        <w:rPr/>
      </w:pPr>
      <w:r>
        <w:rPr/>
        <w:tab/>
        <w:t>In order to promote the intent and goals of the Members of ICEX to develop an integrated electronic trading platform for each Product Group, Order Flow Provider agrees that, on or after the date hereof and until the conclusion of the Order Flow Commitment Period, it will not, and that it will cause its Affiliates not to, in each case with respect to the Products in the Product Group applicable to such Order Flow Provider as set forth in Section 2(a):</w:t>
      </w:r>
    </w:p>
    <w:p>
      <w:pPr>
        <w:pStyle w:val="Heading3"/>
        <w:ind w:hanging="0" w:start="0"/>
        <w:rPr/>
      </w:pPr>
      <w:r>
        <w:rPr/>
        <w:tab/>
        <w:t xml:space="preserve">Enter into any Other Order Flow Commitments with respect to any Designated Product; </w:t>
      </w:r>
    </w:p>
    <w:p>
      <w:pPr>
        <w:pStyle w:val="Heading3"/>
        <w:ind w:hanging="0" w:start="0"/>
        <w:rPr/>
      </w:pPr>
      <w:r>
        <w:rPr/>
        <w:tab/>
        <w:t xml:space="preserve">Enter into any Other Order Flow Commitments with respect to any Traded Forward Product, </w:t>
      </w:r>
      <w:r>
        <w:rPr>
          <w:u w:val="single"/>
        </w:rPr>
        <w:t>provided</w:t>
      </w:r>
      <w:r>
        <w:rPr/>
        <w:t xml:space="preserve"> </w:t>
      </w:r>
      <w:r>
        <w:rPr>
          <w:u w:val="single"/>
        </w:rPr>
        <w:t>that</w:t>
      </w:r>
      <w:r>
        <w:rPr/>
        <w:t>, if Order Flow Provider or any other Member that is a party to an order flow agreement substantially similar to this Agreement furnishes ICEX with a proposal for Order Flow Provider, such other Member or any Affiliate of Order Flow Provider or such other Member, to enter into an Other Order Flow Commitment with an Electronic Facility that provides or has an actual plan to provide Back Office Services with respect to one or more Traded Forward Products, the provisions of this Subsection (a)(ii) shall terminate with respect to the Traded Forward Product that is the subject of such proposal two months after the provision of such proposal to ICEX unless the Board of Managers of ICEX, within such two month period, approves a plan for ICEX to provide Back Office Services in the same Traded Forward Product which, in the reasonable judgment of the Board of Managers, will be implemented within a reasonable period of time and will have the capability to furnish Back Office Services with respect to such Traded Forward Product that provide substantially equivalent services and functionality.  For the avoidance of doubt, Order Flow Provider shall not be in violation of this Subsection (a)(ii) if it enters into an Other Order Flow Commitment with respect to a product, contract or instrument that is not a Traded Forward Product at the time such Other Order Flow Commitment is entered into but subsequently becomes a Traded Forward Product; or</w:t>
      </w:r>
    </w:p>
    <w:p>
      <w:pPr>
        <w:pStyle w:val="Heading3"/>
        <w:ind w:hanging="0" w:start="0"/>
        <w:rPr/>
      </w:pPr>
      <w:r>
        <w:rPr/>
        <w:tab/>
        <w:t>Enter into any Other Order Flow Commitments with respect to any Physical Product with any Electronic Facility that does not provide Back Office Services with respect to such Physical Product.</w:t>
      </w:r>
    </w:p>
    <w:p>
      <w:pPr>
        <w:pStyle w:val="Heading2"/>
        <w:ind w:hanging="0" w:start="0"/>
        <w:rPr/>
      </w:pPr>
      <w:r>
        <w:rPr/>
        <w:tab/>
        <w:t xml:space="preserve">Order Flow Provider agrees that, prior to it or any of its Affiliates entering into any Other Order Flow Commitments with respect to any Physical Product(s) with any Electronic Facility that provides or will provide Back Office Services, it (or such Affiliate, as the case may be) will attempt in good faith to provide ICEX with a reasonable opportunity to provide substantially equivalent Back Office Services. </w:t>
      </w:r>
    </w:p>
    <w:p>
      <w:pPr>
        <w:pStyle w:val="Heading2"/>
        <w:ind w:hanging="0" w:start="0"/>
        <w:rPr/>
      </w:pPr>
      <w:r>
        <w:rPr/>
        <w:tab/>
        <w:t xml:space="preserve">The provisions of Subsection (a) and (b) of this Section shall become effective on the date of this Agreement and shall remain in effect with respect to a Product Group until the conclusion of the Order Flow Commitment Period, </w:t>
      </w:r>
      <w:r>
        <w:rPr>
          <w:u w:val="single"/>
        </w:rPr>
        <w:t>provided</w:t>
      </w:r>
      <w:r>
        <w:rPr/>
        <w:t xml:space="preserve"> </w:t>
      </w:r>
      <w:r>
        <w:rPr>
          <w:u w:val="single"/>
        </w:rPr>
        <w:t>that</w:t>
      </w:r>
      <w:r>
        <w:rPr/>
        <w:t>, if the Exchange is not Substantially Operational with respect to a Product Group that is the subject of the Order Flow Commitment by November 1, 2000, such provisions shall terminate on such date with respect to such Product Group only.</w:t>
      </w:r>
    </w:p>
    <w:p>
      <w:pPr>
        <w:pStyle w:val="Heading2"/>
        <w:ind w:hanging="0" w:start="0"/>
        <w:rPr/>
      </w:pPr>
      <w:r>
        <w:rPr/>
        <w:tab/>
        <w:t>Nothing in this Section 5 shall prohibit Order Flow Provider or its Affiliates from entering into transactions in any Product Group that is the subject of this Agreement through any Electronic Facility, provided that such transactions are not entered into pursuant to an Other Order Flow Commitment.</w:t>
      </w:r>
    </w:p>
    <w:p>
      <w:pPr>
        <w:pStyle w:val="Heading2"/>
        <w:ind w:hanging="0" w:start="0"/>
        <w:rPr/>
      </w:pPr>
      <w:r>
        <w:rPr/>
        <w:tab/>
        <w:t>Any information provided to ICEX by Order Flow Provider or any Affiliate in connection with a proposal to enter into an Other Order Flow Commitment with another Electronic Facility, pursuant to Subsections (a)(ii) or (b) of this Section 5 shall be maintained by ICEX in confidence and shall not be disclosed or provided by ICEX to any Person, other than the Managers, officers or employees of ICEX, and ICEX shall advise such Managers, officers or employees not to disclose such proposal or any information related thereto to any other Person (other than, in the case of such Managers, the Appointing Member of such Manager, as defined in the  ICEX Limited Liability Company Operating Agreement, or an Affiliate of such Appointing Member).</w:t>
      </w:r>
    </w:p>
    <w:p>
      <w:pPr>
        <w:pStyle w:val="Heading1"/>
        <w:keepLines/>
        <w:ind w:hanging="0" w:start="0"/>
        <w:rPr/>
      </w:pPr>
      <w:r>
        <w:rPr/>
        <w:tab/>
      </w:r>
      <w:r>
        <w:rPr>
          <w:u w:val="single"/>
        </w:rPr>
        <w:t>Termination</w:t>
      </w:r>
    </w:p>
    <w:p>
      <w:pPr>
        <w:pStyle w:val="BodyText"/>
        <w:rPr/>
      </w:pPr>
      <w:r>
        <w:rPr/>
        <w:t>This Agreement, and the Order Flow Commitment of Order Flow Provider, shall terminate, with respect to a Product Group, on the date of the conclusion of the Order Flow Commitment Period.</w:t>
      </w:r>
    </w:p>
    <w:p>
      <w:pPr>
        <w:pStyle w:val="Heading1"/>
        <w:ind w:hanging="0" w:start="0"/>
        <w:rPr/>
      </w:pPr>
      <w:r>
        <w:rPr/>
        <w:tab/>
      </w:r>
      <w:r>
        <w:rPr>
          <w:u w:val="single"/>
        </w:rPr>
        <w:t>Miscellaneous</w:t>
      </w:r>
    </w:p>
    <w:p>
      <w:pPr>
        <w:pStyle w:val="Heading2"/>
        <w:ind w:hanging="0" w:start="0"/>
        <w:rPr/>
      </w:pPr>
      <w:r>
        <w:rPr/>
        <w:tab/>
        <w:t>This Agreement may be executed in one or more counterparts, all of which shall be considered one and the same agreement, and shall become effective when one or more counterparts have been signed by each of the parties and delivered to the other party.  Copies of executed counterparts transmitted by telecopy, telefax or other electronic transmission service shall be considered original executed counterparts for purposes of this Section, provided that receipt of copies of such counterparts is confirmed.</w:t>
      </w:r>
    </w:p>
    <w:p>
      <w:pPr>
        <w:pStyle w:val="Heading2"/>
        <w:ind w:hanging="0" w:start="0"/>
        <w:rPr/>
      </w:pPr>
      <w:r>
        <w:rPr/>
        <w:tab/>
        <w:t>This Agreement shall be governed by and construed in accordance with the laws of the State of New York.</w:t>
      </w:r>
    </w:p>
    <w:p>
      <w:pPr>
        <w:pStyle w:val="Heading2"/>
        <w:ind w:hanging="0" w:start="0"/>
        <w:rPr/>
      </w:pPr>
      <w:r>
        <w:rPr/>
        <w:tab/>
        <w:t>This Agreement contains the entire agreement between the parties with respect to the subject matter hereof and all prior negotiations, writings and understandings relating to the subject matter of this Agreement are merged herein and are superseded and canceled by this Agreement.  This Agreement is not intended to confer upon any Person not a party hereto (other than such Person’s successors and assigns permitted hereby) any rights or remedies.</w:t>
      </w:r>
    </w:p>
    <w:p>
      <w:pPr>
        <w:pStyle w:val="Heading2"/>
        <w:ind w:hanging="0" w:start="0"/>
        <w:rPr/>
      </w:pPr>
      <w:r>
        <w:rPr/>
        <w:tab/>
        <w:t>All notices and other communications hereunder shall be in writing and given by certified or registered mail, overnight delivery service, such as Federal Express, telecopy (or like transmission) or personal delivery against receipt to the party to whom it is given at such party’s address or telecopy number set forth on the signature page hereof or such other address or telecopier number as such party may hereafter specify by notice to the other parties hereto given in accordance herewith.  Any such notice or other communication shall be deemed to have been given as of the date so personally delivered or transmitted by telecopy or like transmission, on the next business day when sent by overnight delivery service or five days after the date so mailed.</w:t>
      </w:r>
    </w:p>
    <w:p>
      <w:pPr>
        <w:pStyle w:val="Heading2"/>
        <w:ind w:hanging="0" w:start="0"/>
        <w:rPr/>
      </w:pPr>
      <w:r>
        <w:rPr/>
        <w:tab/>
        <w:t xml:space="preserve">This Agreement shall be binding upon the parties hereto and their respective successors and permitted assigns; </w:t>
      </w:r>
      <w:r>
        <w:rPr>
          <w:u w:val="single"/>
        </w:rPr>
        <w:t>provided</w:t>
      </w:r>
      <w:r>
        <w:rPr/>
        <w:t xml:space="preserve"> </w:t>
      </w:r>
      <w:r>
        <w:rPr>
          <w:u w:val="single"/>
        </w:rPr>
        <w:t>that</w:t>
      </w:r>
      <w:r>
        <w:rPr/>
        <w:t xml:space="preserve"> neither party hereto may assign this Agreement or any of its rights hereunder, or create enforceable third-party rights herein, to or in any Person without the prior written consent of the other party.    </w:t>
      </w:r>
    </w:p>
    <w:p>
      <w:pPr>
        <w:pStyle w:val="Heading2"/>
        <w:ind w:hanging="0" w:start="0"/>
        <w:rPr/>
      </w:pPr>
      <w:r>
        <w:rPr/>
        <w:tab/>
        <w:t>The Section and other headings contained in this Agreement are inserted for convenience of reference only and shall not affect the meaning or interpretation of this Agreement.</w:t>
      </w:r>
    </w:p>
    <w:p>
      <w:pPr>
        <w:pStyle w:val="Heading2"/>
        <w:ind w:hanging="0" w:start="0"/>
        <w:rPr/>
      </w:pPr>
      <w:r>
        <w:rPr/>
        <w:tab/>
        <w:t>This Agreement may not be modified or amended except by an instrument or instruments in writing signed by each of the Parties and no provision of this Agreement may be waived except in a writing signed by the relevant Party.</w:t>
      </w:r>
    </w:p>
    <w:p>
      <w:pPr>
        <w:pStyle w:val="Heading2"/>
        <w:ind w:hanging="0" w:start="0"/>
        <w:rPr/>
      </w:pPr>
      <w:r>
        <w:rPr/>
        <w:tab/>
        <w:t>Any provision hereof which is invalid or unenforceable shall be ineffective only to the extent of such invalidity or unenforceability, without affecting in any way the remaining provisions hereof.</w:t>
      </w:r>
    </w:p>
    <w:p>
      <w:pPr>
        <w:pStyle w:val="Heading2"/>
        <w:ind w:hanging="0" w:start="0"/>
        <w:rPr/>
      </w:pPr>
      <w:r>
        <w:rPr/>
        <w:tab/>
        <w:t>Each of the parties hereto hereby irrevocably consents and agrees, for the benefit of each other party hereto, that any legal action, suit or processing against it with respect to any obligations, liabilities or any other matter under or arising out of or in connection with this Agreement may be brought in any Federal or state court in the Borough of Manhattan, The City of New York, and hereby irrevocably submits to the exclusive jurisdiction of each such court with respect to any such action, suit or proceeding.  Each of the parties hereto hereby waives any objection which it may now or hereafter have to the laying of venue of any such action, suit or proceeding in any such court and hereby further agrees not to plead or claim in any such court that any such action, suit or proceeding brought therein has been brought in an inconvenient forum.  EACH OF THE PARTIES HERETO HEREBY WAIVES, TO THE FULLEST EXTENT PERMITTED BY LAW, ANY AND ALL RIGHT TO TRIAL BY JURY IN ANY SUCH ACTION, SUIT OR PROCEEDING.</w:t>
      </w:r>
    </w:p>
    <w:p>
      <w:pPr>
        <w:pStyle w:val="Heading2"/>
        <w:ind w:hanging="0" w:start="0"/>
        <w:rPr/>
      </w:pPr>
      <w:r>
        <w:rPr/>
        <w:tab/>
        <w:t>Under no circumstances shall either party to this Agreement be liable for any punitive damages in connection with any breach or violation of this Agreement.</w:t>
      </w:r>
    </w:p>
    <w:p>
      <w:pPr>
        <w:pStyle w:val="Heading2"/>
        <w:ind w:hanging="0" w:start="0"/>
        <w:rPr/>
      </w:pPr>
      <w:r>
        <w:rPr/>
        <w:tab/>
        <w:t>Order Flow Provider hereby acknowledges that, in view of the uniqueness of the subject matter hereof, ICEX would not have an adequate remedy at law for money damages in the event that this Agreement were not performed in accordance with its terms, and therefore agrees that ICEX shall be entitled to specific enforcement of the terms hereof in addition to any other remedy to which the parties hereto may be entitled at law or in equity.</w:t>
      </w:r>
      <w:r>
        <w:br w:type="page"/>
      </w:r>
    </w:p>
    <w:p>
      <w:pPr>
        <w:pStyle w:val="BodyText"/>
        <w:rPr/>
      </w:pPr>
      <w:r>
        <w:rPr/>
        <w:t>IN WITNESS WHEREOF, this Agreement has been signed by or on behalf of each of the parties as of the day first above written.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248"/>
        <w:gridCol w:w="4608"/>
      </w:tblGrid>
      <w:tr>
        <w:trPr/>
        <w:tc>
          <w:tcPr>
            <w:tcW w:w="4248" w:type="dxa"/>
            <w:tcBorders/>
          </w:tcPr>
          <w:p>
            <w:pPr>
              <w:pStyle w:val="Normal"/>
              <w:snapToGrid w:val="false"/>
              <w:rPr/>
            </w:pPr>
            <w:r>
              <w:rPr/>
            </w:r>
          </w:p>
        </w:tc>
        <w:tc>
          <w:tcPr>
            <w:tcW w:w="4608" w:type="dxa"/>
            <w:tcBorders/>
          </w:tcPr>
          <w:p>
            <w:pPr>
              <w:pStyle w:val="Normal"/>
              <w:rPr/>
            </w:pPr>
            <w:r>
              <w:rPr/>
              <w:t>IntercontinentalExchange, LLC</w:t>
            </w:r>
          </w:p>
          <w:p>
            <w:pPr>
              <w:pStyle w:val="Normal"/>
              <w:rPr/>
            </w:pPr>
            <w:r>
              <w:rPr/>
            </w:r>
          </w:p>
          <w:p>
            <w:pPr>
              <w:pStyle w:val="Normal"/>
              <w:rPr/>
            </w:pPr>
            <w:r>
              <w:rPr/>
            </w:r>
          </w:p>
          <w:p>
            <w:pPr>
              <w:pStyle w:val="Normal"/>
              <w:rPr/>
            </w:pPr>
            <w:r>
              <w:rPr/>
            </w:r>
          </w:p>
          <w:p>
            <w:pPr>
              <w:pStyle w:val="Normal"/>
              <w:rPr/>
            </w:pPr>
            <w:r>
              <w:rPr/>
              <w:t>By:  ______________________________</w:t>
            </w:r>
          </w:p>
          <w:p>
            <w:pPr>
              <w:pStyle w:val="Normal"/>
              <w:tabs>
                <w:tab w:val="clear" w:pos="720"/>
                <w:tab w:val="left" w:pos="432" w:leader="none"/>
              </w:tabs>
              <w:rPr/>
            </w:pPr>
            <w:r>
              <w:rPr/>
              <w:tab/>
              <w:t>Jeffrey C. Sprecher</w:t>
            </w:r>
          </w:p>
          <w:p>
            <w:pPr>
              <w:pStyle w:val="Normal"/>
              <w:tabs>
                <w:tab w:val="clear" w:pos="720"/>
                <w:tab w:val="left" w:pos="432" w:leader="none"/>
              </w:tabs>
              <w:rPr/>
            </w:pPr>
            <w:r>
              <w:rPr/>
              <w:tab/>
              <w:t>Chief Executive Officer</w:t>
            </w:r>
          </w:p>
          <w:p>
            <w:pPr>
              <w:pStyle w:val="Normal"/>
              <w:tabs>
                <w:tab w:val="clear" w:pos="720"/>
                <w:tab w:val="left" w:pos="432" w:leader="none"/>
              </w:tabs>
              <w:rPr/>
            </w:pPr>
            <w:r>
              <w:rPr/>
            </w:r>
          </w:p>
          <w:p>
            <w:pPr>
              <w:pStyle w:val="Normal"/>
              <w:tabs>
                <w:tab w:val="clear" w:pos="720"/>
                <w:tab w:val="left" w:pos="432" w:leader="none"/>
              </w:tabs>
              <w:rPr/>
            </w:pPr>
            <w:r>
              <w:rPr/>
            </w:r>
          </w:p>
        </w:tc>
      </w:tr>
      <w:tr>
        <w:trPr/>
        <w:tc>
          <w:tcPr>
            <w:tcW w:w="4248" w:type="dxa"/>
            <w:tcBorders/>
          </w:tcPr>
          <w:p>
            <w:pPr>
              <w:pStyle w:val="Normal"/>
              <w:rPr/>
            </w:pPr>
            <w:r>
              <w:rPr/>
              <w:t>Notices pursuant to Section 7(d) shall</w:t>
            </w:r>
          </w:p>
          <w:p>
            <w:pPr>
              <w:pStyle w:val="Normal"/>
              <w:rPr/>
            </w:pPr>
            <w:r>
              <w:rPr/>
              <w:t>be given to:</w:t>
            </w:r>
          </w:p>
          <w:p>
            <w:pPr>
              <w:pStyle w:val="Normal"/>
              <w:rPr/>
            </w:pPr>
            <w:r>
              <w:rPr/>
            </w:r>
          </w:p>
          <w:p>
            <w:pPr>
              <w:pStyle w:val="Normal"/>
              <w:ind w:start="360" w:end="0"/>
              <w:rPr/>
            </w:pPr>
            <w:r>
              <w:rPr/>
              <w:t>1585 Broadway, 4</w:t>
            </w:r>
            <w:r>
              <w:rPr>
                <w:vertAlign w:val="superscript"/>
              </w:rPr>
              <w:t>th</w:t>
            </w:r>
            <w:r>
              <w:rPr/>
              <w:t xml:space="preserve"> Floor</w:t>
            </w:r>
          </w:p>
          <w:p>
            <w:pPr>
              <w:pStyle w:val="Normal"/>
              <w:ind w:start="360" w:end="0"/>
              <w:rPr/>
            </w:pPr>
            <w:r>
              <w:rPr/>
              <w:t>New York, New York 10036</w:t>
            </w:r>
          </w:p>
          <w:p>
            <w:pPr>
              <w:pStyle w:val="Normal"/>
              <w:ind w:start="360" w:end="0"/>
              <w:rPr/>
            </w:pPr>
            <w:r>
              <w:rPr/>
            </w:r>
          </w:p>
          <w:p>
            <w:pPr>
              <w:pStyle w:val="Normal"/>
              <w:ind w:start="360" w:end="0"/>
              <w:rPr/>
            </w:pPr>
            <w:r>
              <w:rPr/>
              <w:t>with a copy of all notices to:</w:t>
            </w:r>
          </w:p>
          <w:p>
            <w:pPr>
              <w:pStyle w:val="Normal"/>
              <w:ind w:start="360" w:end="0"/>
              <w:rPr/>
            </w:pPr>
            <w:r>
              <w:rPr/>
            </w:r>
          </w:p>
          <w:p>
            <w:pPr>
              <w:pStyle w:val="Normal"/>
              <w:ind w:start="360" w:end="0"/>
              <w:rPr/>
            </w:pPr>
            <w:r>
              <w:rPr/>
              <w:t>Morgan Stanley Capital Group Inc.</w:t>
            </w:r>
          </w:p>
          <w:p>
            <w:pPr>
              <w:pStyle w:val="Normal"/>
              <w:ind w:start="360" w:end="0"/>
              <w:rPr/>
            </w:pPr>
            <w:r>
              <w:rPr/>
              <w:t>1221 Avenue of the Americas,</w:t>
            </w:r>
          </w:p>
          <w:p>
            <w:pPr>
              <w:pStyle w:val="Normal"/>
              <w:ind w:start="360" w:end="0"/>
              <w:rPr/>
            </w:pPr>
            <w:r>
              <w:rPr/>
              <w:t>27</w:t>
            </w:r>
            <w:r>
              <w:rPr>
                <w:vertAlign w:val="superscript"/>
              </w:rPr>
              <w:t>th</w:t>
            </w:r>
            <w:r>
              <w:rPr/>
              <w:t xml:space="preserve"> Floor</w:t>
            </w:r>
          </w:p>
          <w:p>
            <w:pPr>
              <w:pStyle w:val="Normal"/>
              <w:ind w:start="360" w:end="0"/>
              <w:rPr/>
            </w:pPr>
            <w:r>
              <w:rPr/>
              <w:t>New York, New York 10020</w:t>
            </w:r>
          </w:p>
          <w:p>
            <w:pPr>
              <w:pStyle w:val="Normal"/>
              <w:ind w:start="360" w:end="0"/>
              <w:rPr/>
            </w:pPr>
            <w:r>
              <w:rPr/>
              <w:t>Facsimile:  212-762-8831</w:t>
            </w:r>
          </w:p>
          <w:p>
            <w:pPr>
              <w:pStyle w:val="Normal"/>
              <w:ind w:start="360" w:end="0"/>
              <w:rPr/>
            </w:pPr>
            <w:r>
              <w:rPr/>
              <w:t>Attention:  William F. McCoy, Esq.</w:t>
            </w:r>
          </w:p>
        </w:tc>
        <w:tc>
          <w:tcPr>
            <w:tcW w:w="4608" w:type="dxa"/>
            <w:tcBorders/>
          </w:tcPr>
          <w:p>
            <w:pPr>
              <w:pStyle w:val="Normal"/>
              <w:rPr/>
            </w:pPr>
            <w:r>
              <w:rPr/>
              <w:t>MORGAN STANLEY CAPITAL GROUP INC.</w:t>
            </w:r>
          </w:p>
          <w:p>
            <w:pPr>
              <w:pStyle w:val="Normal"/>
              <w:rPr/>
            </w:pPr>
            <w:r>
              <w:rPr/>
            </w:r>
          </w:p>
          <w:p>
            <w:pPr>
              <w:pStyle w:val="Normal"/>
              <w:rPr/>
            </w:pPr>
            <w:r>
              <w:rPr/>
            </w:r>
          </w:p>
          <w:p>
            <w:pPr>
              <w:pStyle w:val="Normal"/>
              <w:rPr/>
            </w:pPr>
            <w:r>
              <w:rPr/>
            </w:r>
          </w:p>
          <w:p>
            <w:pPr>
              <w:pStyle w:val="Normal"/>
              <w:rPr/>
            </w:pPr>
            <w:r>
              <w:rPr/>
              <w:t>By:  ______________________________</w:t>
            </w:r>
          </w:p>
          <w:p>
            <w:pPr>
              <w:pStyle w:val="Normal"/>
              <w:tabs>
                <w:tab w:val="clear" w:pos="720"/>
                <w:tab w:val="left" w:pos="432" w:leader="none"/>
              </w:tabs>
              <w:rPr/>
            </w:pPr>
            <w:r>
              <w:rPr/>
              <w:tab/>
              <w:t>Name:</w:t>
            </w:r>
          </w:p>
          <w:p>
            <w:pPr>
              <w:pStyle w:val="Normal"/>
              <w:tabs>
                <w:tab w:val="clear" w:pos="720"/>
                <w:tab w:val="left" w:pos="432" w:leader="none"/>
              </w:tabs>
              <w:rPr/>
            </w:pPr>
            <w:r>
              <w:rPr/>
              <w:tab/>
              <w:t>Title:</w:t>
            </w:r>
          </w:p>
          <w:p>
            <w:pPr>
              <w:pStyle w:val="Normal"/>
              <w:tabs>
                <w:tab w:val="clear" w:pos="720"/>
                <w:tab w:val="left" w:pos="432" w:leader="none"/>
              </w:tabs>
              <w:rPr/>
            </w:pPr>
            <w:r>
              <w:rPr/>
            </w:r>
          </w:p>
          <w:p>
            <w:pPr>
              <w:pStyle w:val="Normal"/>
              <w:tabs>
                <w:tab w:val="clear" w:pos="720"/>
                <w:tab w:val="left" w:pos="432" w:leader="none"/>
              </w:tabs>
              <w:rPr/>
            </w:pPr>
            <w:r>
              <w:rPr/>
            </w:r>
          </w:p>
        </w:tc>
      </w:tr>
    </w:tbl>
    <w:p>
      <w:pPr>
        <w:pStyle w:val="Normal"/>
        <w:rPr/>
      </w:pPr>
      <w:r>
        <w:rPr/>
      </w:r>
      <w:r>
        <w:br w:type="page"/>
      </w:r>
    </w:p>
    <w:p>
      <w:pPr>
        <w:pStyle w:val="Normal"/>
        <w:jc w:val="end"/>
        <w:rPr>
          <w:u w:val="single"/>
        </w:rPr>
      </w:pPr>
      <w:r>
        <w:rPr>
          <w:u w:val="single"/>
        </w:rPr>
        <w:t>Schedule A</w:t>
      </w:r>
    </w:p>
    <w:p>
      <w:pPr>
        <w:pStyle w:val="Normal"/>
        <w:rPr/>
      </w:pPr>
      <w:r>
        <w:rPr/>
      </w:r>
    </w:p>
    <w:p>
      <w:pPr>
        <w:pStyle w:val="Normal"/>
        <w:rPr/>
      </w:pPr>
      <w:r>
        <w:rPr/>
      </w:r>
    </w:p>
    <w:p>
      <w:pPr>
        <w:pStyle w:val="Normal"/>
        <w:rPr/>
      </w:pPr>
      <w:r>
        <w:rPr/>
      </w:r>
    </w:p>
    <w:p>
      <w:pPr>
        <w:pStyle w:val="Normal"/>
        <w:rPr/>
      </w:pPr>
      <w:r>
        <w:rPr/>
      </w:r>
    </w:p>
    <w:p>
      <w:pPr>
        <w:pStyle w:val="Normal"/>
        <w:jc w:val="center"/>
        <w:rPr>
          <w:u w:val="single"/>
        </w:rPr>
      </w:pPr>
      <w:r>
        <w:rPr>
          <w:u w:val="single"/>
        </w:rPr>
        <w:t>Conversions to Barrel Equivalents</w:t>
      </w:r>
    </w:p>
    <w:p>
      <w:pPr>
        <w:pStyle w:val="Normal"/>
        <w:rPr/>
      </w:pPr>
      <w:r>
        <w:rPr/>
      </w:r>
    </w:p>
    <w:p>
      <w:pPr>
        <w:pStyle w:val="Normal"/>
        <w:rPr/>
      </w:pPr>
      <w:r>
        <w:rPr/>
        <w:tab/>
        <w:tab/>
        <w:t>Products within the Petroleum Products Group with quantities expressed in units other than barrels shall be converted into Barrel Equivalents for all purposes under the Agreement through the use of the following conversion factors:</w:t>
      </w:r>
    </w:p>
    <w:p>
      <w:pPr>
        <w:pStyle w:val="Normal"/>
        <w:rPr/>
      </w:pPr>
      <w:r>
        <w:rPr/>
      </w:r>
    </w:p>
    <w:p>
      <w:pPr>
        <w:pStyle w:val="Normal"/>
        <w:rPr/>
      </w:pPr>
      <w:r>
        <w:rPr/>
      </w:r>
    </w:p>
    <w:p>
      <w:pPr>
        <w:pStyle w:val="Normal"/>
        <w:rPr/>
      </w:pPr>
      <w:r>
        <w:rPr/>
        <w:tab/>
        <w:tab/>
        <w:t>Any product measured in gallons—42 gallons/barrel</w:t>
      </w:r>
    </w:p>
    <w:p>
      <w:pPr>
        <w:pStyle w:val="Normal"/>
        <w:rPr/>
      </w:pPr>
      <w:r>
        <w:rPr/>
      </w:r>
    </w:p>
    <w:p>
      <w:pPr>
        <w:pStyle w:val="Normal"/>
        <w:rPr/>
      </w:pPr>
      <w:r>
        <w:rPr/>
        <w:tab/>
        <w:tab/>
        <w:t>Gasoil—7.45 barrels/metric tonne</w:t>
      </w:r>
    </w:p>
    <w:p>
      <w:pPr>
        <w:pStyle w:val="Normal"/>
        <w:rPr/>
      </w:pPr>
      <w:r>
        <w:rPr/>
      </w:r>
    </w:p>
    <w:p>
      <w:pPr>
        <w:pStyle w:val="Normal"/>
        <w:rPr/>
      </w:pPr>
      <w:r>
        <w:rPr/>
        <w:tab/>
        <w:tab/>
        <w:t>Jet Fuel—7.88 barrels/metric tonne</w:t>
      </w:r>
    </w:p>
    <w:p>
      <w:pPr>
        <w:pStyle w:val="Normal"/>
        <w:rPr/>
      </w:pPr>
      <w:r>
        <w:rPr/>
      </w:r>
    </w:p>
    <w:p>
      <w:pPr>
        <w:pStyle w:val="Normal"/>
        <w:rPr/>
      </w:pPr>
      <w:r>
        <w:rPr/>
        <w:tab/>
        <w:tab/>
        <w:t>Gasoline—8.33 barrels/metric tonne</w:t>
      </w:r>
    </w:p>
    <w:p>
      <w:pPr>
        <w:pStyle w:val="Normal"/>
        <w:rPr/>
      </w:pPr>
      <w:r>
        <w:rPr/>
      </w:r>
    </w:p>
    <w:p>
      <w:pPr>
        <w:pStyle w:val="Normal"/>
        <w:rPr/>
      </w:pPr>
      <w:r>
        <w:rPr/>
        <w:tab/>
        <w:tab/>
        <w:t>Naphtha—9.00 barrels/metric tonne</w:t>
      </w:r>
    </w:p>
    <w:p>
      <w:pPr>
        <w:pStyle w:val="Normal"/>
        <w:rPr/>
      </w:pPr>
      <w:r>
        <w:rPr/>
      </w:r>
    </w:p>
    <w:p>
      <w:pPr>
        <w:pStyle w:val="Normal"/>
        <w:rPr/>
      </w:pPr>
      <w:r>
        <w:rPr/>
        <w:tab/>
        <w:tab/>
        <w:t>Fuel Oil—6.35 barrels/metric tonne</w:t>
      </w:r>
      <w:r>
        <w:br w:type="page"/>
      </w:r>
    </w:p>
    <w:p>
      <w:pPr>
        <w:pStyle w:val="Normal"/>
        <w:jc w:val="end"/>
        <w:rPr>
          <w:u w:val="single"/>
        </w:rPr>
      </w:pPr>
      <w:r>
        <w:rPr>
          <w:u w:val="single"/>
        </w:rPr>
        <w:t>Schedule B</w:t>
      </w:r>
    </w:p>
    <w:p>
      <w:pPr>
        <w:pStyle w:val="Normal"/>
        <w:rPr>
          <w:u w:val="single"/>
        </w:rPr>
      </w:pPr>
      <w:r>
        <w:rPr>
          <w:u w:val="single"/>
        </w:rPr>
      </w:r>
    </w:p>
    <w:p>
      <w:pPr>
        <w:pStyle w:val="Normal"/>
        <w:rPr/>
      </w:pPr>
      <w:r>
        <w:rPr/>
      </w:r>
    </w:p>
    <w:p>
      <w:pPr>
        <w:pStyle w:val="Title"/>
        <w:keepNext w:val="false"/>
        <w:keepLines w:val="false"/>
        <w:spacing w:before="0" w:after="0"/>
        <w:ind w:firstLine="720" w:start="720" w:end="0"/>
        <w:jc w:val="start"/>
        <w:rPr/>
      </w:pPr>
      <w:r>
        <w:rPr/>
        <w:t>West Texas Intermediate</w:t>
      </w:r>
    </w:p>
    <w:p>
      <w:pPr>
        <w:pStyle w:val="Normal"/>
        <w:ind w:firstLine="720" w:start="720" w:end="0"/>
        <w:rPr/>
      </w:pPr>
      <w:r>
        <w:rPr/>
        <w:t>15-day Brent</w:t>
      </w:r>
    </w:p>
    <w:p>
      <w:pPr>
        <w:pStyle w:val="Normal"/>
        <w:ind w:firstLine="720" w:start="720" w:end="0"/>
        <w:rPr/>
      </w:pPr>
      <w:r>
        <w:rPr/>
        <w:t>Open Spec Naphtha – C&amp;F Japan</w:t>
      </w:r>
      <w:r>
        <w:br w:type="page"/>
      </w:r>
    </w:p>
    <w:p>
      <w:pPr>
        <w:pStyle w:val="Normal"/>
        <w:jc w:val="end"/>
        <w:rPr>
          <w:u w:val="single"/>
        </w:rPr>
      </w:pPr>
      <w:r>
        <w:rPr>
          <w:u w:val="single"/>
        </w:rPr>
        <w:t>Schedule C</w:t>
      </w:r>
    </w:p>
    <w:p>
      <w:pPr>
        <w:pStyle w:val="Normal"/>
        <w:jc w:val="end"/>
        <w:rPr/>
      </w:pPr>
      <w:r>
        <w:rPr/>
      </w:r>
    </w:p>
    <w:p>
      <w:pPr>
        <w:pStyle w:val="Normal"/>
        <w:rPr/>
      </w:pPr>
      <w:r>
        <w:rPr/>
      </w:r>
    </w:p>
    <w:p>
      <w:pPr>
        <w:pStyle w:val="Normal"/>
        <w:rPr/>
      </w:pPr>
      <w:r>
        <w:rPr/>
      </w:r>
    </w:p>
    <w:p>
      <w:pPr>
        <w:pStyle w:val="BodyTextLA"/>
        <w:spacing w:before="0" w:after="0"/>
        <w:rPr/>
      </w:pPr>
      <w:r>
        <w:rPr/>
        <w:tab/>
        <w:tab/>
        <w:t>Colonial Pipeline Products</w:t>
      </w:r>
    </w:p>
    <w:p>
      <w:pPr>
        <w:pStyle w:val="Normal"/>
        <w:rPr/>
      </w:pPr>
      <w:r>
        <w:rPr/>
        <w:tab/>
        <w:tab/>
        <w:t>Domestic U.S. crude oil (other than West Texas Intermediate)</w:t>
      </w:r>
    </w:p>
    <w:p>
      <w:pPr>
        <w:pStyle w:val="Normal"/>
        <w:ind w:firstLine="720" w:start="720" w:end="0"/>
        <w:rPr/>
      </w:pPr>
      <w:r>
        <w:rPr/>
        <w:t>Rotterdam Gasoil and Fuel Oil (but not Bunker) Barges</w:t>
      </w:r>
    </w:p>
    <w:p>
      <w:pPr>
        <w:pStyle w:val="Normal"/>
        <w:ind w:firstLine="720" w:start="720" w:end="0"/>
        <w:rPr/>
      </w:pPr>
      <w:r>
        <w:rPr/>
      </w:r>
      <w:r>
        <w:br w:type="page"/>
      </w:r>
    </w:p>
    <w:p>
      <w:pPr>
        <w:pStyle w:val="Normal"/>
        <w:jc w:val="end"/>
        <w:rPr>
          <w:u w:val="single"/>
        </w:rPr>
      </w:pPr>
      <w:r>
        <w:rPr>
          <w:u w:val="single"/>
        </w:rPr>
        <w:t>Schedule D</w:t>
      </w:r>
    </w:p>
    <w:p>
      <w:pPr>
        <w:pStyle w:val="Normal"/>
        <w:jc w:val="end"/>
        <w:rPr/>
      </w:pPr>
      <w:r>
        <w:rPr/>
      </w:r>
    </w:p>
    <w:p>
      <w:pPr>
        <w:pStyle w:val="Normal"/>
        <w:jc w:val="end"/>
        <w:rPr/>
      </w:pPr>
      <w:r>
        <w:rPr/>
      </w:r>
    </w:p>
    <w:tbl>
      <w:tblPr>
        <w:tblW w:w="3870" w:type="dxa"/>
        <w:jc w:val="start"/>
        <w:tblInd w:w="918" w:type="dxa"/>
        <w:tblLayout w:type="fixed"/>
        <w:tblCellMar>
          <w:top w:w="0" w:type="dxa"/>
          <w:start w:w="108" w:type="dxa"/>
          <w:bottom w:w="0" w:type="dxa"/>
          <w:end w:w="108" w:type="dxa"/>
        </w:tblCellMar>
      </w:tblPr>
      <w:tblGrid>
        <w:gridCol w:w="3870"/>
      </w:tblGrid>
      <w:tr>
        <w:trPr/>
        <w:tc>
          <w:tcPr>
            <w:tcW w:w="3870" w:type="dxa"/>
            <w:tcBorders/>
          </w:tcPr>
          <w:p>
            <w:pPr>
              <w:pStyle w:val="Normal"/>
              <w:ind w:start="-18" w:end="0"/>
              <w:rPr/>
            </w:pPr>
            <w:r>
              <w:rPr/>
              <w:t>Petroleum Products</w:t>
            </w:r>
          </w:p>
          <w:p>
            <w:pPr>
              <w:pStyle w:val="Normal"/>
              <w:ind w:start="-18" w:end="0"/>
              <w:rPr/>
            </w:pPr>
            <w:r>
              <w:rPr/>
            </w:r>
          </w:p>
        </w:tc>
      </w:tr>
      <w:tr>
        <w:trPr/>
        <w:tc>
          <w:tcPr>
            <w:tcW w:w="3870" w:type="dxa"/>
            <w:tcBorders/>
          </w:tcPr>
          <w:p>
            <w:pPr>
              <w:pStyle w:val="Normal"/>
              <w:ind w:start="-18" w:end="0"/>
              <w:rPr/>
            </w:pPr>
            <w:r>
              <w:rPr>
                <w:b/>
              </w:rPr>
              <w:t>Crude Oil</w:t>
              <w:br/>
            </w:r>
            <w:r>
              <w:rPr/>
              <w:t>Brent CFDs</w:t>
              <w:br/>
              <w:t>WTI Swaps</w:t>
              <w:br/>
              <w:t>WTI Options</w:t>
              <w:br/>
              <w:t>Brent/WTI Spread Swaps</w:t>
              <w:br/>
              <w:t>Platts Window</w:t>
              <w:br/>
              <w:t>Tapis Swaps</w:t>
              <w:br/>
              <w:t>Dubai Swaps</w:t>
            </w:r>
          </w:p>
        </w:tc>
      </w:tr>
      <w:tr>
        <w:trPr/>
        <w:tc>
          <w:tcPr>
            <w:tcW w:w="3870" w:type="dxa"/>
            <w:tcBorders/>
          </w:tcPr>
          <w:p>
            <w:pPr>
              <w:pStyle w:val="Heading3"/>
              <w:numPr>
                <w:ilvl w:val="0"/>
                <w:numId w:val="0"/>
              </w:numPr>
              <w:spacing w:before="0" w:after="240"/>
              <w:ind w:hanging="0" w:start="0"/>
              <w:rPr/>
            </w:pPr>
            <w:r>
              <w:rPr>
                <w:b/>
              </w:rPr>
              <w:br/>
              <w:t>Fuel Oil</w:t>
              <w:br/>
            </w:r>
            <w:r>
              <w:rPr/>
              <w:t>1% NY Harbor Swaps</w:t>
              <w:br/>
              <w:t>3.5% BFOB Rotterdam Swaps</w:t>
              <w:br/>
              <w:t>3% GC Swaps</w:t>
              <w:br/>
              <w:t>1% FOB NWE Swaps</w:t>
              <w:br/>
              <w:t>180 CST  SIN Swaps</w:t>
            </w:r>
          </w:p>
        </w:tc>
      </w:tr>
      <w:tr>
        <w:trPr/>
        <w:tc>
          <w:tcPr>
            <w:tcW w:w="3870" w:type="dxa"/>
            <w:tcBorders/>
          </w:tcPr>
          <w:p>
            <w:pPr>
              <w:pStyle w:val="Numberingparenstyle"/>
              <w:rPr>
                <w:b/>
              </w:rPr>
            </w:pPr>
            <w:r>
              <w:rPr>
                <w:b/>
              </w:rPr>
              <w:t>Jet Fuel</w:t>
            </w:r>
          </w:p>
          <w:p>
            <w:pPr>
              <w:pStyle w:val="Normal"/>
              <w:ind w:start="-18" w:end="0"/>
              <w:rPr/>
            </w:pPr>
            <w:r>
              <w:rPr/>
              <w:t>Swaps on NWE Jet/Gasoil Spreads</w:t>
            </w:r>
          </w:p>
          <w:p>
            <w:pPr>
              <w:pStyle w:val="Normal"/>
              <w:ind w:start="-18" w:end="0"/>
              <w:rPr/>
            </w:pPr>
            <w:r>
              <w:rPr/>
              <w:t>Swaps on US Gulf Coast Jet</w:t>
            </w:r>
          </w:p>
          <w:p>
            <w:pPr>
              <w:pStyle w:val="Normal"/>
              <w:ind w:start="-18" w:end="0"/>
              <w:rPr/>
            </w:pPr>
            <w:r>
              <w:rPr/>
              <w:t>Singapore Regrades Swaps</w:t>
            </w:r>
          </w:p>
          <w:p>
            <w:pPr>
              <w:pStyle w:val="Numberingparenstyle"/>
              <w:rPr>
                <w:b/>
              </w:rPr>
            </w:pPr>
            <w:r>
              <w:rPr>
                <w:b/>
              </w:rPr>
            </w:r>
          </w:p>
        </w:tc>
      </w:tr>
      <w:tr>
        <w:trPr/>
        <w:tc>
          <w:tcPr>
            <w:tcW w:w="3870" w:type="dxa"/>
            <w:tcBorders/>
          </w:tcPr>
          <w:p>
            <w:pPr>
              <w:pStyle w:val="Heading3"/>
              <w:numPr>
                <w:ilvl w:val="0"/>
                <w:numId w:val="0"/>
              </w:numPr>
              <w:spacing w:before="0" w:after="240"/>
              <w:ind w:hanging="0" w:start="0"/>
              <w:rPr/>
            </w:pPr>
            <w:r>
              <w:rPr>
                <w:b/>
              </w:rPr>
              <w:t>Heating Oil</w:t>
              <w:br/>
            </w:r>
            <w:r>
              <w:rPr/>
              <w:t>Swaps on US Gulf Coast Cracks</w:t>
              <w:br/>
              <w:t>Swaps on NWE Gasoil Cracks</w:t>
              <w:br/>
              <w:t>Swaps on Singapore Gasoil</w:t>
            </w:r>
          </w:p>
        </w:tc>
      </w:tr>
      <w:tr>
        <w:trPr/>
        <w:tc>
          <w:tcPr>
            <w:tcW w:w="3870" w:type="dxa"/>
            <w:tcBorders/>
          </w:tcPr>
          <w:p>
            <w:pPr>
              <w:pStyle w:val="Normal"/>
              <w:rPr>
                <w:b/>
              </w:rPr>
            </w:pPr>
            <w:r>
              <w:rPr>
                <w:b/>
              </w:rPr>
              <w:t>Gasoline</w:t>
            </w:r>
          </w:p>
          <w:p>
            <w:pPr>
              <w:pStyle w:val="Normal"/>
              <w:ind w:start="-18" w:end="0"/>
              <w:rPr/>
            </w:pPr>
            <w:r>
              <w:rPr/>
              <w:t>NWE Swaps</w:t>
            </w:r>
          </w:p>
          <w:p>
            <w:pPr>
              <w:pStyle w:val="Normal"/>
              <w:ind w:start="-18" w:end="0"/>
              <w:rPr/>
            </w:pPr>
            <w:r>
              <w:rPr/>
              <w:t>Swaps on US Gulf Coast Cracks</w:t>
            </w:r>
          </w:p>
          <w:p>
            <w:pPr>
              <w:pStyle w:val="Normal"/>
              <w:rPr>
                <w:b/>
              </w:rPr>
            </w:pPr>
            <w:r>
              <w:rPr>
                <w:b/>
              </w:rPr>
            </w:r>
          </w:p>
        </w:tc>
      </w:tr>
    </w:tbl>
    <w:p>
      <w:pPr>
        <w:pStyle w:val="Normal"/>
        <w:rPr/>
      </w:pPr>
      <w:r>
        <w:rPr/>
      </w:r>
      <w:r>
        <w:br w:type="page"/>
      </w:r>
    </w:p>
    <w:p>
      <w:pPr>
        <w:pStyle w:val="Normal"/>
        <w:rPr/>
      </w:pPr>
      <w:r>
        <w:rPr/>
      </w:r>
    </w:p>
    <w:tbl>
      <w:tblPr>
        <w:tblW w:w="4005" w:type="dxa"/>
        <w:jc w:val="start"/>
        <w:tblInd w:w="918" w:type="dxa"/>
        <w:tblLayout w:type="fixed"/>
        <w:tblCellMar>
          <w:top w:w="0" w:type="dxa"/>
          <w:start w:w="108" w:type="dxa"/>
          <w:bottom w:w="0" w:type="dxa"/>
          <w:end w:w="108" w:type="dxa"/>
        </w:tblCellMar>
      </w:tblPr>
      <w:tblGrid>
        <w:gridCol w:w="4005"/>
      </w:tblGrid>
      <w:tr>
        <w:trPr/>
        <w:tc>
          <w:tcPr>
            <w:tcW w:w="4005" w:type="dxa"/>
            <w:tcBorders/>
            <w:shd w:fill="FFFFFF" w:val="clear"/>
          </w:tcPr>
          <w:p>
            <w:pPr>
              <w:pStyle w:val="Heading2"/>
              <w:keepLines/>
              <w:numPr>
                <w:ilvl w:val="0"/>
                <w:numId w:val="0"/>
              </w:numPr>
              <w:spacing w:before="0" w:after="240"/>
              <w:ind w:hanging="0" w:start="0"/>
              <w:rPr/>
            </w:pPr>
            <w:r>
              <w:rPr/>
              <w:t>Precious Metals Products</w:t>
            </w:r>
          </w:p>
        </w:tc>
      </w:tr>
      <w:tr>
        <w:trPr/>
        <w:tc>
          <w:tcPr>
            <w:tcW w:w="4005" w:type="dxa"/>
            <w:tcBorders/>
          </w:tcPr>
          <w:p>
            <w:pPr>
              <w:pStyle w:val="Numberingparenstyle"/>
              <w:keepNext w:val="true"/>
              <w:keepLines/>
              <w:rPr/>
            </w:pPr>
            <w:r>
              <w:rPr/>
              <w:t>Spot, forward, swaps, options and any other derivative instrument or contract that is based on or relates to the price of Gold, Silver, Platinum or Palladium</w:t>
            </w:r>
          </w:p>
        </w:tc>
      </w:tr>
    </w:tbl>
    <w:p>
      <w:pPr>
        <w:pStyle w:val="Normal"/>
        <w:ind w:firstLine="720" w:start="720" w:end="0"/>
        <w:rPr/>
      </w:pPr>
      <w:r>
        <w:rPr/>
      </w:r>
    </w:p>
    <w:sectPr>
      <w:headerReference w:type="default" r:id="rId2"/>
      <w:headerReference w:type="first" r:id="rId3"/>
      <w:footerReference w:type="default" r:id="rId4"/>
      <w:footerReference w:type="first" r:id="rId5"/>
      <w:type w:val="nextPage"/>
      <w:pgSz w:w="12240" w:h="15840"/>
      <w:pgMar w:left="2160" w:right="1440" w:gutter="0" w:header="720" w:top="1915"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NY12525:250974v.4</w:t>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18</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NY12525:250974v.4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S&amp;C Draft of May 9,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start"/>
      <w:pPr>
        <w:tabs>
          <w:tab w:val="num" w:pos="0"/>
        </w:tabs>
        <w:ind w:start="0" w:firstLine="144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color w:val="auto"/>
      </w:rPr>
    </w:lvl>
    <w:lvl w:ilvl="1">
      <w:start w:val="1"/>
      <w:pStyle w:val="Heading2"/>
      <w:numFmt w:val="lowerLetter"/>
      <w:suff w:val="nothing"/>
      <w:lvlText w:val="(%2)"/>
      <w:lvlJc w:val="start"/>
      <w:pPr>
        <w:tabs>
          <w:tab w:val="num" w:pos="0"/>
        </w:tabs>
        <w:ind w:start="0" w:firstLine="144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color w:val="auto"/>
      </w:rPr>
    </w:lvl>
    <w:lvl w:ilvl="2">
      <w:start w:val="1"/>
      <w:pStyle w:val="Heading3"/>
      <w:numFmt w:val="lowerRoman"/>
      <w:suff w:val="nothing"/>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color w:val="auto"/>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 w:val="left" w:pos="2160" w:leader="none"/>
      </w:tabs>
      <w:spacing w:before="0" w:after="240"/>
      <w:outlineLvl w:val="0"/>
    </w:pPr>
    <w:rPr/>
  </w:style>
  <w:style w:type="paragraph" w:styleId="Heading2">
    <w:name w:val="heading 2"/>
    <w:basedOn w:val="Normal"/>
    <w:next w:val="Normal"/>
    <w:qFormat/>
    <w:pPr>
      <w:numPr>
        <w:ilvl w:val="1"/>
        <w:numId w:val="1"/>
      </w:numPr>
      <w:tabs>
        <w:tab w:val="clear" w:pos="720"/>
        <w:tab w:val="left" w:pos="1440" w:leader="none"/>
        <w:tab w:val="left" w:pos="2160" w:leader="none"/>
      </w:tabs>
      <w:spacing w:before="0" w:after="240"/>
      <w:outlineLvl w:val="1"/>
    </w:pPr>
    <w:rPr/>
  </w:style>
  <w:style w:type="paragraph" w:styleId="Heading3">
    <w:name w:val="heading 3"/>
    <w:basedOn w:val="Normal"/>
    <w:next w:val="Normal"/>
    <w:qFormat/>
    <w:pPr>
      <w:numPr>
        <w:ilvl w:val="2"/>
        <w:numId w:val="1"/>
      </w:numPr>
      <w:tabs>
        <w:tab w:val="clear" w:pos="720"/>
        <w:tab w:val="left" w:pos="1440" w:leader="none"/>
        <w:tab w:val="left" w:pos="2160" w:leader="none"/>
      </w:tabs>
      <w:spacing w:before="0" w:after="240"/>
      <w:outlineLvl w:val="2"/>
    </w:pPr>
    <w:rPr/>
  </w:style>
  <w:style w:type="paragraph" w:styleId="Heading4">
    <w:name w:val="heading 4"/>
    <w:basedOn w:val="Normal"/>
    <w:next w:val="Normal"/>
    <w:qFormat/>
    <w:pPr>
      <w:keepNext w:val="true"/>
      <w:spacing w:before="240" w:after="60"/>
      <w:outlineLvl w:val="3"/>
    </w:pPr>
    <w:rPr>
      <w:b/>
      <w:sz w:val="24"/>
    </w:rPr>
  </w:style>
  <w:style w:type="paragraph" w:styleId="Heading5">
    <w:name w:val="heading 5"/>
    <w:basedOn w:val="Normal"/>
    <w:next w:val="Normal"/>
    <w:qFormat/>
    <w:pPr>
      <w:spacing w:before="240" w:after="60"/>
      <w:outlineLvl w:val="4"/>
    </w:pPr>
    <w:rPr>
      <w:sz w:val="24"/>
    </w:rPr>
  </w:style>
  <w:style w:type="paragraph" w:styleId="Heading6">
    <w:name w:val="heading 6"/>
    <w:basedOn w:val="Normal"/>
    <w:next w:val="Normal"/>
    <w:qFormat/>
    <w:pPr>
      <w:spacing w:before="240" w:after="60"/>
      <w:outlineLvl w:val="5"/>
    </w:pPr>
    <w:rPr>
      <w:i/>
      <w:sz w:val="24"/>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4"/>
    </w:rPr>
  </w:style>
  <w:style w:type="paragraph" w:styleId="Heading9">
    <w:name w:val="heading 9"/>
    <w:basedOn w:val="Normal"/>
    <w:next w:val="Normal"/>
    <w:qFormat/>
    <w:pPr>
      <w:spacing w:before="240" w:after="60"/>
      <w:outlineLvl w:val="8"/>
    </w:pPr>
    <w:rPr>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cs="Times New Roman"/>
      <w:b w:val="false"/>
      <w:i w:val="false"/>
      <w:caps/>
      <w:color w:val="000000"/>
      <w:sz w:val="24"/>
      <w:u w:val="none"/>
    </w:rPr>
  </w:style>
  <w:style w:type="character" w:styleId="WW8Num14z1">
    <w:name w:val="WW8Num14z1"/>
    <w:qFormat/>
    <w:rPr>
      <w:color w:val="000000"/>
      <w:u w:val="none"/>
    </w:rPr>
  </w:style>
  <w:style w:type="character" w:styleId="WW8Num14z2">
    <w:name w:val="WW8Num14z2"/>
    <w:qFormat/>
    <w:rPr>
      <w:color w:val="000000"/>
    </w:rPr>
  </w:style>
  <w:style w:type="character" w:styleId="WW8Num15z0">
    <w:name w:val="WW8Num15z0"/>
    <w:qFormat/>
    <w:rPr/>
  </w:style>
  <w:style w:type="character" w:styleId="WW8Num17z0">
    <w:name w:val="WW8Num17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idePara">
    <w:name w:val="Hide Para"/>
    <w:basedOn w:val="DefaultParagraphFont"/>
    <w:qFormat/>
    <w:rPr>
      <w:rFonts w:ascii="Times New Roman" w:hAnsi="Times New Roman" w:cs="Times New Roman"/>
      <w:vanish/>
      <w:color w:val="0000FF"/>
      <w:sz w:val="24"/>
    </w:rPr>
  </w:style>
  <w:style w:type="paragraph" w:styleId="Heading">
    <w:name w:val="Heading"/>
    <w:basedOn w:val="Normal"/>
    <w:next w:val="BodyText"/>
    <w:qFormat/>
    <w:pPr>
      <w:spacing w:before="240" w:after="360"/>
      <w:jc w:val="center"/>
      <w:outlineLvl w:val="0"/>
    </w:pPr>
    <w:rPr>
      <w:kern w:val="2"/>
      <w:sz w:val="22"/>
    </w:rPr>
  </w:style>
  <w:style w:type="paragraph" w:styleId="BodyText">
    <w:name w:val="Body Text"/>
    <w:basedOn w:val="Normal"/>
    <w:pPr>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spacing w:before="120" w:after="240"/>
      <w:ind w:hanging="0" w:start="1440" w:end="0"/>
    </w:pPr>
    <w:rPr/>
  </w:style>
  <w:style w:type="paragraph" w:styleId="Signature1">
    <w:name w:val="Signature"/>
    <w:basedOn w:val="Normal"/>
    <w:pPr>
      <w:tabs>
        <w:tab w:val="clear" w:pos="720"/>
        <w:tab w:val="left" w:pos="1440" w:leader="none"/>
      </w:tabs>
      <w:spacing w:before="0" w:after="360"/>
      <w:ind w:hanging="0" w:start="3600" w:end="0"/>
    </w:pPr>
    <w:rPr/>
  </w:style>
  <w:style w:type="paragraph" w:styleId="PlainText">
    <w:name w:val="Plain Text"/>
    <w:basedOn w:val="Normal"/>
    <w:qFormat/>
    <w:pPr>
      <w:tabs>
        <w:tab w:val="clear" w:pos="720"/>
        <w:tab w:val="left" w:pos="1440" w:leader="none"/>
      </w:tabs>
      <w:spacing w:before="0" w:after="240"/>
    </w:pPr>
    <w:rPr/>
  </w:style>
  <w:style w:type="paragraph" w:styleId="Numberingparenstyle">
    <w:name w:val="Numbering paren style"/>
    <w:basedOn w:val="Normal"/>
    <w:qFormat/>
    <w:pPr/>
    <w:rPr/>
  </w:style>
  <w:style w:type="paragraph" w:styleId="parenparastyle">
    <w:name w:val="paren para # style"/>
    <w:basedOn w:val="Normal"/>
    <w:qFormat/>
    <w:pPr>
      <w:numPr>
        <w:ilvl w:val="0"/>
        <w:numId w:val="2"/>
      </w:numPr>
      <w:spacing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2000-06-20T15:59:00Z</dcterms:created>
  <dc:creator>For Help Call PC Support, x 4277</dc:creator>
  <dc:description/>
  <dc:language>en-CA</dc:language>
  <cp:lastModifiedBy>Simon Greenshields</cp:lastModifiedBy>
  <cp:lastPrinted>2000-05-10T09:43:00Z</cp:lastPrinted>
  <dcterms:modified xsi:type="dcterms:W3CDTF">2000-06-20T15:59:00Z</dcterms:modified>
  <cp:revision>2</cp:revision>
  <dc:subject/>
  <dc:title>ORDER FLOW AGREEMENT</dc:title>
</cp:coreProperties>
</file>