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Order 637 Interventions by ENA</w:t>
      </w:r>
    </w:p>
    <w:p>
      <w:pPr>
        <w:pStyle w:val="Normal"/>
        <w:rPr/>
      </w:pPr>
      <w:r>
        <w:rPr/>
      </w:r>
    </w:p>
    <w:p>
      <w:pPr>
        <w:pStyle w:val="Normal"/>
        <w:rPr/>
      </w:pPr>
      <w:r>
        <w:rPr>
          <w:b/>
          <w:bCs/>
        </w:rPr>
        <w:t>Colorado Interstate Gas Company</w:t>
      </w:r>
      <w:r>
        <w:rPr/>
        <w:t xml:space="preserve"> - 7/14/00</w:t>
      </w:r>
    </w:p>
    <w:p>
      <w:pPr>
        <w:pStyle w:val="NormalIndent"/>
        <w:rPr>
          <w:sz w:val="20"/>
          <w:szCs w:val="20"/>
        </w:rPr>
      </w:pPr>
      <w:r>
        <w:rPr>
          <w:sz w:val="20"/>
          <w:szCs w:val="20"/>
        </w:rPr>
        <w:t>ENA argues that the same provisions for prearranged releases of 31 days or less should also apply to prearranged releases of more than one year that are done at max rate—meaning that these transactions are not subject to bid so they should be available to be nominated in the next cycle after the prearranged shipper confirms the transaction.</w:t>
      </w:r>
    </w:p>
    <w:p>
      <w:pPr>
        <w:pStyle w:val="Normal"/>
        <w:rPr>
          <w:b/>
          <w:bCs/>
        </w:rPr>
      </w:pPr>
      <w:r>
        <w:rPr>
          <w:b/>
          <w:bCs/>
        </w:rPr>
      </w:r>
    </w:p>
    <w:p>
      <w:pPr>
        <w:pStyle w:val="Normal"/>
        <w:rPr/>
      </w:pPr>
      <w:r>
        <w:rPr>
          <w:b/>
          <w:bCs/>
        </w:rPr>
        <w:t>Columbia Gas Transmission</w:t>
      </w:r>
      <w:r>
        <w:rPr/>
        <w:t xml:space="preserve"> - 7/14/00</w:t>
      </w:r>
    </w:p>
    <w:p>
      <w:pPr>
        <w:pStyle w:val="NormalIndent"/>
        <w:rPr>
          <w:sz w:val="20"/>
          <w:szCs w:val="20"/>
        </w:rPr>
      </w:pPr>
      <w:r>
        <w:rPr>
          <w:sz w:val="20"/>
          <w:szCs w:val="20"/>
        </w:rPr>
        <w:t>We objected to CGT’s failure to allow for segmentation and the potential of double collection of revenue under CGT’s proposed Firm Aggregation Service.  We also objected to the $.11 balancing fee on imbalances in excess of 3%, since it is a drastic reduction from the current 10%.  We also requested that CGT be forced to indicate on its EBB whether imbalance information is estimated or final and how the information is derived.  And last, but not least, we noted a conflicting provision regarding the $25/dth cumulative imbalance penalty and asked that CGT be forced to clarify that this penalty will only be assessed during Critical Days.</w:t>
      </w:r>
    </w:p>
    <w:p>
      <w:pPr>
        <w:pStyle w:val="NormalIndent"/>
        <w:rPr>
          <w:sz w:val="20"/>
          <w:szCs w:val="20"/>
        </w:rPr>
      </w:pPr>
      <w:r>
        <w:rPr>
          <w:sz w:val="20"/>
          <w:szCs w:val="20"/>
        </w:rPr>
      </w:r>
    </w:p>
    <w:p>
      <w:pPr>
        <w:pStyle w:val="Normal"/>
        <w:rPr/>
      </w:pPr>
      <w:r>
        <w:rPr>
          <w:b/>
          <w:bCs/>
        </w:rPr>
        <w:t xml:space="preserve">Dominion Transmission, Inc. (CNG) </w:t>
      </w:r>
      <w:r>
        <w:rPr/>
        <w:t>- 7/14/00</w:t>
      </w:r>
    </w:p>
    <w:p>
      <w:pPr>
        <w:pStyle w:val="NormalIndent"/>
        <w:rPr>
          <w:sz w:val="20"/>
          <w:szCs w:val="20"/>
        </w:rPr>
      </w:pPr>
      <w:r>
        <w:rPr>
          <w:sz w:val="20"/>
          <w:szCs w:val="20"/>
        </w:rPr>
        <w:t>ENA objects to what appears to be daily balancing to zero provisions and the ability by Dominion to provide daily actuals that are reliable.  We also asked that a reference price be established for Dominion’s proposal to charge shippers for gas purchased to make up underdeliveries or to clear overdeliveries.  ENA also asked for clarification regarding the 72 hour period to take corrective action on imbalances vs the 72 hour period, and the form of notice of imbalances.</w:t>
      </w:r>
    </w:p>
    <w:p>
      <w:pPr>
        <w:pStyle w:val="NormalIndent"/>
        <w:rPr>
          <w:sz w:val="20"/>
          <w:szCs w:val="20"/>
        </w:rPr>
      </w:pPr>
      <w:r>
        <w:rPr>
          <w:sz w:val="20"/>
          <w:szCs w:val="20"/>
        </w:rPr>
      </w:r>
    </w:p>
    <w:p>
      <w:pPr>
        <w:pStyle w:val="Normal"/>
        <w:rPr/>
      </w:pPr>
      <w:r>
        <w:rPr>
          <w:b/>
          <w:bCs/>
        </w:rPr>
        <w:t xml:space="preserve">Great Lakes Gas Transmission, L.P. </w:t>
      </w:r>
      <w:r>
        <w:rPr/>
        <w:t>- 7/14/00</w:t>
      </w:r>
    </w:p>
    <w:p>
      <w:pPr>
        <w:pStyle w:val="NormalIndent"/>
        <w:rPr/>
      </w:pPr>
      <w:r>
        <w:rPr>
          <w:sz w:val="20"/>
          <w:szCs w:val="20"/>
        </w:rPr>
        <w:t xml:space="preserve">ENA objects to Great Lakes’ proposal to prevent “hoarding” of capacity based on their speculation of what </w:t>
      </w:r>
      <w:r>
        <w:rPr>
          <w:i/>
          <w:iCs/>
          <w:sz w:val="20"/>
          <w:szCs w:val="20"/>
        </w:rPr>
        <w:t xml:space="preserve">could </w:t>
      </w:r>
      <w:r>
        <w:rPr>
          <w:sz w:val="20"/>
          <w:szCs w:val="20"/>
        </w:rPr>
        <w:t xml:space="preserve">happen rather on what </w:t>
      </w:r>
      <w:r>
        <w:rPr>
          <w:i/>
          <w:iCs/>
          <w:sz w:val="20"/>
          <w:szCs w:val="20"/>
        </w:rPr>
        <w:t>has</w:t>
      </w:r>
      <w:r>
        <w:rPr>
          <w:sz w:val="20"/>
          <w:szCs w:val="20"/>
        </w:rPr>
        <w:t xml:space="preserve"> happened.  ENA argues that the proposed rules are highly restrictive and onerous, and not based on any facts and should be rejected by FERC.</w:t>
      </w:r>
    </w:p>
    <w:p>
      <w:pPr>
        <w:pStyle w:val="NormalIndent"/>
        <w:rPr>
          <w:sz w:val="20"/>
          <w:szCs w:val="20"/>
        </w:rPr>
      </w:pPr>
      <w:r>
        <w:rPr>
          <w:sz w:val="20"/>
          <w:szCs w:val="20"/>
        </w:rPr>
      </w:r>
    </w:p>
    <w:p>
      <w:pPr>
        <w:pStyle w:val="NormalIndent"/>
        <w:rPr>
          <w:sz w:val="20"/>
          <w:szCs w:val="20"/>
        </w:rPr>
      </w:pPr>
      <w:r>
        <w:rPr>
          <w:sz w:val="20"/>
          <w:szCs w:val="20"/>
        </w:rPr>
      </w:r>
    </w:p>
    <w:p>
      <w:pPr>
        <w:pStyle w:val="Normal"/>
        <w:rPr>
          <w:sz w:val="20"/>
          <w:szCs w:val="20"/>
        </w:rPr>
      </w:pPr>
      <w:r>
        <w:rPr>
          <w:sz w:val="20"/>
          <w:szCs w:val="20"/>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tabs>
        <w:tab w:val="clear" w:pos="720"/>
        <w:tab w:val="left" w:pos="540" w:leader="none"/>
      </w:tabs>
      <w:ind w:hanging="0" w:start="720" w:end="0"/>
    </w:pPr>
    <w:rPr>
      <w:rFonts w:ascii="Arial" w:hAnsi="Arial" w:eastAsia="Arial" w:cs="Arial"/>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2000-07-20T14:53:00Z</dcterms:created>
  <dc:creator>ECT</dc:creator>
  <dc:description/>
  <dc:language>en-CA</dc:language>
  <cp:lastModifiedBy>ECT</cp:lastModifiedBy>
  <dcterms:modified xsi:type="dcterms:W3CDTF">2000-07-25T14:39:00Z</dcterms:modified>
  <cp:revision>6</cp:revision>
  <dc:subject/>
  <dc:title>Order 637 Interventions by ENA</dc:title>
</cp:coreProperties>
</file>