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Concejo Deliberante</w:t>
      </w:r>
    </w:p>
    <w:p>
      <w:pPr>
        <w:pStyle w:val="Normal"/>
        <w:rPr>
          <w:i/>
          <w:i/>
          <w:sz w:val="24"/>
        </w:rPr>
      </w:pPr>
      <w:r>
        <w:rPr>
          <w:i/>
          <w:sz w:val="24"/>
        </w:rPr>
      </w:r>
    </w:p>
    <w:p>
      <w:pPr>
        <w:pStyle w:val="Normal"/>
        <w:rPr>
          <w:i/>
          <w:i/>
          <w:sz w:val="24"/>
        </w:rPr>
      </w:pPr>
      <w:r>
        <w:rPr>
          <w:i/>
          <w:sz w:val="24"/>
        </w:rPr>
        <w:t>Year of [illegible]</w:t>
      </w:r>
    </w:p>
    <w:p>
      <w:pPr>
        <w:pStyle w:val="Normal"/>
        <w:rPr>
          <w:i/>
          <w:i/>
          <w:sz w:val="24"/>
        </w:rPr>
      </w:pPr>
      <w:r>
        <w:rPr>
          <w:i/>
          <w:sz w:val="24"/>
        </w:rPr>
      </w:r>
    </w:p>
    <w:p>
      <w:pPr>
        <w:pStyle w:val="Heading2"/>
        <w:ind w:hanging="0" w:start="0"/>
        <w:rPr/>
      </w:pPr>
      <w:r>
        <w:rPr/>
        <w:t>E. 10869</w:t>
      </w:r>
    </w:p>
    <w:p>
      <w:pPr>
        <w:pStyle w:val="Normal"/>
        <w:jc w:val="end"/>
        <w:rPr>
          <w:sz w:val="24"/>
        </w:rPr>
      </w:pPr>
      <w:r>
        <w:rPr>
          <w:sz w:val="24"/>
        </w:rPr>
      </w:r>
    </w:p>
    <w:p>
      <w:pPr>
        <w:pStyle w:val="Heading3"/>
        <w:ind w:hanging="0" w:start="0"/>
        <w:rPr/>
      </w:pPr>
      <w:r>
        <w:rPr/>
        <w:t>THE COUNCIL OF THE CITY OF RIO CUARTO</w:t>
      </w:r>
    </w:p>
    <w:p>
      <w:pPr>
        <w:pStyle w:val="Normal"/>
        <w:jc w:val="center"/>
        <w:rPr>
          <w:b/>
          <w:sz w:val="24"/>
        </w:rPr>
      </w:pPr>
      <w:r>
        <w:rPr>
          <w:b/>
          <w:sz w:val="24"/>
        </w:rPr>
      </w:r>
    </w:p>
    <w:p>
      <w:pPr>
        <w:pStyle w:val="Normal"/>
        <w:jc w:val="center"/>
        <w:rPr>
          <w:b/>
          <w:sz w:val="24"/>
        </w:rPr>
      </w:pPr>
      <w:r>
        <w:rPr>
          <w:b/>
          <w:sz w:val="24"/>
        </w:rPr>
        <w:t>PASSES THE FOLLOWING ORDINANCE 422/00</w:t>
      </w:r>
    </w:p>
    <w:p>
      <w:pPr>
        <w:pStyle w:val="Normal"/>
        <w:jc w:val="center"/>
        <w:rPr>
          <w:b/>
          <w:sz w:val="24"/>
        </w:rPr>
      </w:pPr>
      <w:r>
        <w:rPr>
          <w:b/>
          <w:sz w:val="24"/>
        </w:rPr>
      </w:r>
    </w:p>
    <w:p>
      <w:pPr>
        <w:pStyle w:val="Normal"/>
        <w:jc w:val="both"/>
        <w:rPr/>
      </w:pPr>
      <w:r>
        <w:rPr>
          <w:sz w:val="24"/>
          <w:u w:val="single"/>
        </w:rPr>
        <w:t>SECTION 1</w:t>
      </w:r>
      <w:r>
        <w:rPr>
          <w:sz w:val="24"/>
        </w:rPr>
        <w:t xml:space="preserve"> The DEM is hereby EMPOWERED to transfer the tax exemption granted to the company “ARCOR SAIC” by Ordinance No. 519/93 for exploitation of the Powerplant “Modesto Maranzana” to the company “ENRON AMERICA DEL SUR SA” under the following conditions precedent: </w:t>
      </w:r>
    </w:p>
    <w:p>
      <w:pPr>
        <w:pStyle w:val="Normal"/>
        <w:numPr>
          <w:ilvl w:val="0"/>
          <w:numId w:val="2"/>
        </w:numPr>
        <w:jc w:val="both"/>
        <w:rPr>
          <w:sz w:val="24"/>
        </w:rPr>
      </w:pPr>
      <w:r>
        <w:rPr>
          <w:sz w:val="24"/>
        </w:rPr>
        <w:t>That “ARCOR SAIC” transfers the Powerplant “Modesto Maranzana” to “ENRON AMERICA DEL SUR SA”;</w:t>
      </w:r>
    </w:p>
    <w:p>
      <w:pPr>
        <w:pStyle w:val="Normal"/>
        <w:numPr>
          <w:ilvl w:val="0"/>
          <w:numId w:val="2"/>
        </w:numPr>
        <w:jc w:val="both"/>
        <w:rPr>
          <w:sz w:val="24"/>
        </w:rPr>
      </w:pPr>
      <w:r>
        <w:rPr>
          <w:sz w:val="24"/>
        </w:rPr>
        <w:t>That “EPEC” binds itself to deliver free to the Municipality of Río cuarto an amount of four hundred (400) MWh per month of electric energy until October 30, 2003;</w:t>
      </w:r>
    </w:p>
    <w:p>
      <w:pPr>
        <w:pStyle w:val="Normal"/>
        <w:numPr>
          <w:ilvl w:val="0"/>
          <w:numId w:val="2"/>
        </w:numPr>
        <w:jc w:val="both"/>
        <w:rPr>
          <w:sz w:val="24"/>
        </w:rPr>
      </w:pPr>
      <w:r>
        <w:rPr>
          <w:sz w:val="24"/>
        </w:rPr>
        <w:t>That such free delivery of energy starts within sixty (60) days from passage hereof.</w:t>
      </w:r>
    </w:p>
    <w:p>
      <w:pPr>
        <w:pStyle w:val="Normal"/>
        <w:jc w:val="both"/>
        <w:rPr>
          <w:sz w:val="24"/>
        </w:rPr>
      </w:pPr>
      <w:r>
        <w:rPr>
          <w:sz w:val="24"/>
        </w:rPr>
      </w:r>
    </w:p>
    <w:p>
      <w:pPr>
        <w:pStyle w:val="Normal"/>
        <w:jc w:val="both"/>
        <w:rPr/>
      </w:pPr>
      <w:r>
        <w:rPr>
          <w:sz w:val="24"/>
          <w:u w:val="single"/>
        </w:rPr>
        <w:t>SECTION 2</w:t>
      </w:r>
      <w:r>
        <w:rPr>
          <w:sz w:val="24"/>
        </w:rPr>
        <w:t xml:space="preserve"> If the three conditions mentioned above are not concurrently met, the transfer of the tax exemption will not take place.</w:t>
      </w:r>
    </w:p>
    <w:p>
      <w:pPr>
        <w:pStyle w:val="Normal"/>
        <w:jc w:val="both"/>
        <w:rPr>
          <w:sz w:val="24"/>
        </w:rPr>
      </w:pPr>
      <w:r>
        <w:rPr>
          <w:sz w:val="24"/>
        </w:rPr>
      </w:r>
    </w:p>
    <w:p>
      <w:pPr>
        <w:pStyle w:val="Heading4"/>
        <w:ind w:hanging="0" w:start="0"/>
        <w:rPr/>
      </w:pPr>
      <w:r>
        <w:rPr/>
        <w:t>SECTION 3</w:t>
      </w:r>
      <w:r>
        <w:rPr>
          <w:u w:val="none"/>
        </w:rPr>
        <w:t xml:space="preserve"> If, for any reason, EPEC or its successor should cease in the future delivering the energy in the manner and for the amount stated in section 1, subsection b), the exemption granted to “ENRON AMERICA DEL SUR SA” shall cease, this company being bound to pay all municipal taxes, from which payment it was exempted.</w:t>
      </w:r>
    </w:p>
    <w:p>
      <w:pPr>
        <w:pStyle w:val="Normal"/>
        <w:rPr>
          <w:sz w:val="24"/>
          <w:u w:val="none"/>
        </w:rPr>
      </w:pPr>
      <w:r>
        <w:rPr>
          <w:sz w:val="24"/>
          <w:u w:val="none"/>
        </w:rPr>
      </w:r>
    </w:p>
    <w:p>
      <w:pPr>
        <w:pStyle w:val="Normal"/>
        <w:rPr/>
      </w:pPr>
      <w:r>
        <w:rPr>
          <w:sz w:val="24"/>
          <w:u w:val="single"/>
        </w:rPr>
        <w:t xml:space="preserve">SECTION 4 </w:t>
      </w:r>
      <w:r>
        <w:rPr>
          <w:sz w:val="24"/>
        </w:rPr>
        <w:t>The exemption allowed to be transferred shall cease on the date of expiration of the term established by Ordinance No. 519/93.</w:t>
      </w:r>
    </w:p>
    <w:p>
      <w:pPr>
        <w:pStyle w:val="Normal"/>
        <w:rPr>
          <w:sz w:val="24"/>
        </w:rPr>
      </w:pPr>
      <w:r>
        <w:rPr>
          <w:sz w:val="24"/>
        </w:rPr>
      </w:r>
    </w:p>
    <w:p>
      <w:pPr>
        <w:pStyle w:val="Normal"/>
        <w:rPr/>
      </w:pPr>
      <w:r>
        <w:rPr>
          <w:sz w:val="24"/>
          <w:u w:val="single"/>
        </w:rPr>
        <w:t>SECTION 5</w:t>
      </w:r>
      <w:r>
        <w:rPr>
          <w:sz w:val="24"/>
        </w:rPr>
        <w:t xml:space="preserve"> Should the exemption be transferred, the DEM shall so inform to the City Council within fifteen days therefrom.</w:t>
      </w:r>
    </w:p>
    <w:p>
      <w:pPr>
        <w:pStyle w:val="Normal"/>
        <w:rPr>
          <w:sz w:val="24"/>
        </w:rPr>
      </w:pPr>
      <w:r>
        <w:rPr>
          <w:sz w:val="24"/>
        </w:rPr>
      </w:r>
    </w:p>
    <w:p>
      <w:pPr>
        <w:pStyle w:val="Normal"/>
        <w:rPr/>
      </w:pPr>
      <w:r>
        <w:rPr>
          <w:sz w:val="24"/>
          <w:u w:val="single"/>
        </w:rPr>
        <w:t>SECTION 6</w:t>
      </w:r>
      <w:r>
        <w:rPr>
          <w:sz w:val="24"/>
        </w:rPr>
        <w:t xml:space="preserve"> Be it communicated, published, registered and filed.</w:t>
      </w:r>
    </w:p>
    <w:p>
      <w:pPr>
        <w:pStyle w:val="Normal"/>
        <w:rPr>
          <w:sz w:val="24"/>
        </w:rPr>
      </w:pPr>
      <w:r>
        <w:rPr>
          <w:sz w:val="24"/>
        </w:rPr>
      </w:r>
    </w:p>
    <w:p>
      <w:pPr>
        <w:pStyle w:val="Normal"/>
        <w:rPr>
          <w:sz w:val="24"/>
        </w:rPr>
      </w:pPr>
      <w:r>
        <w:rPr>
          <w:sz w:val="24"/>
        </w:rPr>
        <w:t xml:space="preserve">MEETING HALL, Río Cuarto, December 27, 2000. </w:t>
        <w:tab/>
      </w:r>
    </w:p>
    <w:p>
      <w:pPr>
        <w:pStyle w:val="Normal"/>
        <w:rPr>
          <w:sz w:val="24"/>
        </w:rPr>
      </w:pPr>
      <w:r>
        <w:rPr>
          <w:sz w:val="24"/>
        </w:rPr>
      </w:r>
    </w:p>
    <w:p>
      <w:pPr>
        <w:pStyle w:val="Normal"/>
        <w:rPr>
          <w:sz w:val="24"/>
        </w:rPr>
      </w:pPr>
      <w:r>
        <w:rPr>
          <w:sz w:val="24"/>
        </w:rPr>
        <w:t>[There appear signatures and seals]</w:t>
      </w:r>
    </w:p>
    <w:p>
      <w:pPr>
        <w:pStyle w:val="Normal"/>
        <w:rPr>
          <w:sz w:val="24"/>
        </w:rPr>
      </w:pPr>
      <w:r>
        <w:rPr>
          <w:sz w:val="24"/>
        </w:rPr>
      </w:r>
    </w:p>
    <w:p>
      <w:pPr>
        <w:pStyle w:val="Normal"/>
        <w:rPr>
          <w:sz w:val="24"/>
        </w:rPr>
      </w:pPr>
      <w:r>
        <w:rPr>
          <w:sz w:val="24"/>
        </w:rPr>
        <w:t>MUNICIPAL EXECUTIVE DEPARTMENT</w:t>
      </w:r>
    </w:p>
    <w:p>
      <w:pPr>
        <w:pStyle w:val="Normal"/>
        <w:rPr>
          <w:sz w:val="24"/>
        </w:rPr>
      </w:pPr>
      <w:r>
        <w:rPr>
          <w:sz w:val="24"/>
        </w:rPr>
      </w:r>
    </w:p>
    <w:p>
      <w:pPr>
        <w:pStyle w:val="Heading2"/>
        <w:ind w:hanging="0" w:start="0"/>
        <w:rPr>
          <w:u w:val="single"/>
        </w:rPr>
      </w:pPr>
      <w:r>
        <w:rPr>
          <w:u w:val="single"/>
        </w:rPr>
        <w:t>DECREE No. 916/2000</w:t>
      </w:r>
    </w:p>
    <w:p>
      <w:pPr>
        <w:pStyle w:val="Normal"/>
        <w:jc w:val="end"/>
        <w:rPr>
          <w:sz w:val="24"/>
          <w:u w:val="single"/>
        </w:rPr>
      </w:pPr>
      <w:r>
        <w:rPr>
          <w:sz w:val="24"/>
          <w:u w:val="single"/>
        </w:rPr>
      </w:r>
    </w:p>
    <w:p>
      <w:pPr>
        <w:pStyle w:val="Normal"/>
        <w:jc w:val="end"/>
        <w:rPr>
          <w:sz w:val="24"/>
        </w:rPr>
      </w:pPr>
      <w:r>
        <w:rPr>
          <w:sz w:val="24"/>
        </w:rPr>
        <w:t>RIO CUARTO, December 27, 2000</w:t>
      </w:r>
    </w:p>
    <w:p>
      <w:pPr>
        <w:pStyle w:val="Normal"/>
        <w:jc w:val="end"/>
        <w:rPr>
          <w:sz w:val="24"/>
        </w:rPr>
      </w:pPr>
      <w:r>
        <w:rPr>
          <w:sz w:val="24"/>
        </w:rPr>
      </w:r>
    </w:p>
    <w:p>
      <w:pPr>
        <w:pStyle w:val="Normal"/>
        <w:jc w:val="both"/>
        <w:rPr/>
      </w:pPr>
      <w:r>
        <w:rPr>
          <w:sz w:val="24"/>
          <w:u w:val="single"/>
        </w:rPr>
        <w:t>Section 1</w:t>
      </w:r>
      <w:r>
        <w:rPr>
          <w:sz w:val="24"/>
        </w:rPr>
        <w:t xml:space="preserve"> Be Ordinance No. 422/2000 passed.</w:t>
      </w:r>
    </w:p>
    <w:p>
      <w:pPr>
        <w:pStyle w:val="Normal"/>
        <w:jc w:val="both"/>
        <w:rPr/>
      </w:pPr>
      <w:r>
        <w:rPr>
          <w:sz w:val="24"/>
          <w:u w:val="single"/>
        </w:rPr>
        <w:t>Section 2</w:t>
      </w:r>
      <w:r>
        <w:rPr>
          <w:sz w:val="24"/>
        </w:rPr>
        <w:t xml:space="preserve"> Be it complied with, communicated, published, informed to relevant bodies and forwarded to the RM.</w:t>
      </w:r>
    </w:p>
    <w:p>
      <w:pPr>
        <w:pStyle w:val="Normal"/>
        <w:jc w:val="both"/>
        <w:rPr>
          <w:sz w:val="24"/>
        </w:rPr>
      </w:pPr>
      <w:r>
        <w:rPr>
          <w:sz w:val="24"/>
        </w:rPr>
      </w:r>
    </w:p>
    <w:p>
      <w:pPr>
        <w:pStyle w:val="Normal"/>
        <w:jc w:val="both"/>
        <w:rPr>
          <w:sz w:val="24"/>
        </w:rPr>
      </w:pPr>
      <w:r>
        <w:rPr>
          <w:sz w:val="24"/>
        </w:rPr>
        <w:t>[There appear signatures and seals]</w:t>
      </w:r>
    </w:p>
    <w:sectPr>
      <w:type w:val="nextPage"/>
      <w:pgSz w:w="12240" w:h="15840"/>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sz w:val="24"/>
    </w:rPr>
  </w:style>
  <w:style w:type="paragraph" w:styleId="Heading2">
    <w:name w:val="heading 2"/>
    <w:basedOn w:val="Normal"/>
    <w:next w:val="Normal"/>
    <w:qFormat/>
    <w:pPr>
      <w:keepNext w:val="true"/>
      <w:numPr>
        <w:ilvl w:val="1"/>
        <w:numId w:val="1"/>
      </w:numPr>
      <w:jc w:val="end"/>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jc w:val="both"/>
      <w:outlineLvl w:val="3"/>
    </w:pPr>
    <w:rPr>
      <w:sz w:val="24"/>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2001-01-10T13:04:00Z</dcterms:created>
  <dc:creator>x</dc:creator>
  <dc:description/>
  <dc:language>en-CA</dc:language>
  <cp:lastModifiedBy>Enron4</cp:lastModifiedBy>
  <dcterms:modified xsi:type="dcterms:W3CDTF">2001-01-16T16:02:00Z</dcterms:modified>
  <cp:revision>3</cp:revision>
  <dc:subject/>
  <dc:title>Concejo Deliberante</dc:title>
</cp:coreProperties>
</file>