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CONFIDENTIAL</w:t>
      </w:r>
    </w:p>
    <w:p>
      <w:pPr>
        <w:pStyle w:val="Normal"/>
        <w:rPr/>
      </w:pPr>
      <w:r>
        <w:rPr/>
      </w:r>
    </w:p>
    <w:p>
      <w:pPr>
        <w:pStyle w:val="Normal"/>
        <w:rPr/>
      </w:pPr>
      <w:r>
        <w:rPr/>
        <w:t>The following notes are background to development of a position on “providing IOU’s with price management tools including bilateral contract and hedging authority”</w:t>
      </w:r>
    </w:p>
    <w:p>
      <w:pPr>
        <w:pStyle w:val="Normal"/>
        <w:rPr/>
      </w:pPr>
      <w:r>
        <w:rPr/>
      </w:r>
    </w:p>
    <w:p>
      <w:pPr>
        <w:pStyle w:val="Normal"/>
        <w:rPr/>
      </w:pPr>
      <w:r>
        <w:rPr/>
        <w:t>The well-known problem is how do you provide customers with utility procurement service containing with a stable commodity price option without creating stranded costs?  Utilities do not wish to enter long-term contracts for fear the costs will be disallowed if latter found to be unreasonable.</w:t>
      </w:r>
    </w:p>
    <w:p>
      <w:pPr>
        <w:pStyle w:val="Normal"/>
        <w:rPr/>
      </w:pPr>
      <w:r>
        <w:rPr/>
      </w:r>
    </w:p>
    <w:p>
      <w:pPr>
        <w:pStyle w:val="Normal"/>
        <w:rPr/>
      </w:pPr>
      <w:r>
        <w:rPr/>
        <w:t>One solution is to get the utility totally out of the procurement business.  Default service options would be contracted out, or customers would simply be required to “fend for themselves.”  So long as a standard “plain vanilla” fixed-price service is offered by the utility or an outsourced supplier the problem remains as to how to measure reasonableness.</w:t>
      </w:r>
    </w:p>
    <w:p>
      <w:pPr>
        <w:pStyle w:val="Normal"/>
        <w:rPr/>
      </w:pPr>
      <w:r>
        <w:rPr/>
      </w:r>
    </w:p>
    <w:p>
      <w:pPr>
        <w:pStyle w:val="Normal"/>
        <w:rPr/>
      </w:pPr>
      <w:r>
        <w:rPr/>
        <w:t xml:space="preserve">It may be necessary to allow the utility to provide a reasonable set of default supply options that are very standardized in terms of term and how the price is set.  Standardization would allow the utility sell the service without reasonableness review risk.  PGE appears to have taken this tack.  Customers can opt for these basic services.  Anything “more” such as longer term price stability, reliability, etc. would be obtained in direct access markets.  </w:t>
      </w:r>
    </w:p>
    <w:p>
      <w:pPr>
        <w:pStyle w:val="Normal"/>
        <w:rPr/>
      </w:pPr>
      <w:r>
        <w:rPr/>
      </w:r>
    </w:p>
    <w:p>
      <w:pPr>
        <w:pStyle w:val="Normal"/>
        <w:numPr>
          <w:ilvl w:val="0"/>
          <w:numId w:val="1"/>
        </w:numPr>
        <w:rPr/>
      </w:pPr>
      <w:r>
        <w:rPr/>
        <w:t>The California natural gas analogy is a powerful one with one big exception.</w:t>
      </w:r>
    </w:p>
    <w:p>
      <w:pPr>
        <w:pStyle w:val="Normal"/>
        <w:rPr/>
      </w:pPr>
      <w:r>
        <w:rPr/>
      </w:r>
    </w:p>
    <w:p>
      <w:pPr>
        <w:pStyle w:val="Normal"/>
        <w:numPr>
          <w:ilvl w:val="1"/>
          <w:numId w:val="1"/>
        </w:numPr>
        <w:rPr/>
      </w:pPr>
      <w:r>
        <w:rPr/>
        <w:t xml:space="preserve">Small customers obtain default utility “core” supply.   </w:t>
      </w:r>
    </w:p>
    <w:p>
      <w:pPr>
        <w:pStyle w:val="Normal"/>
        <w:numPr>
          <w:ilvl w:val="2"/>
          <w:numId w:val="1"/>
        </w:numPr>
        <w:rPr/>
      </w:pPr>
      <w:r>
        <w:rPr/>
        <w:t>All three LDC’s have gas cost  incentive mechanisms (GCIMs) for core procurement customers</w:t>
      </w:r>
    </w:p>
    <w:p>
      <w:pPr>
        <w:pStyle w:val="Normal"/>
        <w:numPr>
          <w:ilvl w:val="3"/>
          <w:numId w:val="1"/>
        </w:numPr>
        <w:rPr/>
      </w:pPr>
      <w:r>
        <w:rPr/>
        <w:t>Customer price for natural gas  is based on utility actual costs with adjustments for ratepayer sharing of savings or costs relative to a benchmark</w:t>
      </w:r>
    </w:p>
    <w:p>
      <w:pPr>
        <w:pStyle w:val="Normal"/>
        <w:numPr>
          <w:ilvl w:val="3"/>
          <w:numId w:val="1"/>
        </w:numPr>
        <w:rPr/>
      </w:pPr>
      <w:r>
        <w:rPr/>
        <w:t xml:space="preserve">The utilities core portfolio is also generally a short-term portfolio except for some vintage contracts that are included.  </w:t>
      </w:r>
    </w:p>
    <w:p>
      <w:pPr>
        <w:pStyle w:val="Normal"/>
        <w:numPr>
          <w:ilvl w:val="3"/>
          <w:numId w:val="1"/>
        </w:numPr>
        <w:rPr/>
      </w:pPr>
      <w:r>
        <w:rPr/>
        <w:t>Because the current gas GCIMs in California are not directly applicable to the electric market because they do not answer the question of how to benchmark long-term supplies.</w:t>
      </w:r>
    </w:p>
    <w:p>
      <w:pPr>
        <w:pStyle w:val="Normal"/>
        <w:numPr>
          <w:ilvl w:val="1"/>
          <w:numId w:val="1"/>
        </w:numPr>
        <w:rPr/>
      </w:pPr>
      <w:r>
        <w:rPr/>
        <w:t>Larger customers are generally prohibited from buying anything from the utility except spot natural gas</w:t>
      </w:r>
    </w:p>
    <w:p>
      <w:pPr>
        <w:pStyle w:val="Normal"/>
        <w:numPr>
          <w:ilvl w:val="2"/>
          <w:numId w:val="1"/>
        </w:numPr>
        <w:rPr/>
      </w:pPr>
      <w:r>
        <w:rPr/>
        <w:t>There is a provision for core election; in which case they buy core gas as noted above.</w:t>
      </w:r>
    </w:p>
    <w:p>
      <w:pPr>
        <w:pStyle w:val="Normal"/>
        <w:numPr>
          <w:ilvl w:val="0"/>
          <w:numId w:val="1"/>
        </w:numPr>
        <w:rPr/>
      </w:pPr>
      <w:r>
        <w:rPr/>
        <w:t>Portland General’s (PGE’s) Procurement Offerings</w:t>
      </w:r>
    </w:p>
    <w:p>
      <w:pPr>
        <w:pStyle w:val="Normal"/>
        <w:numPr>
          <w:ilvl w:val="1"/>
          <w:numId w:val="1"/>
        </w:numPr>
        <w:rPr/>
      </w:pPr>
      <w:r>
        <w:rPr/>
        <w:t>Currently direct access is envisioned for larger customer’s only (I need to double check on this; the legislation appears to be in flux).</w:t>
      </w:r>
    </w:p>
    <w:p>
      <w:pPr>
        <w:pStyle w:val="Normal"/>
        <w:numPr>
          <w:ilvl w:val="1"/>
          <w:numId w:val="1"/>
        </w:numPr>
        <w:rPr/>
      </w:pPr>
      <w:r>
        <w:rPr/>
        <w:t>Regardless of whether a customer can exercise choice or not, PGE plans to provide its customers with a set of procurement options:</w:t>
      </w:r>
    </w:p>
    <w:p>
      <w:pPr>
        <w:pStyle w:val="Normal"/>
        <w:numPr>
          <w:ilvl w:val="2"/>
          <w:numId w:val="1"/>
        </w:numPr>
        <w:rPr/>
      </w:pPr>
      <w:r>
        <w:rPr/>
        <w:t>Daily price option—based on the Dow Jones index, plus a basis, plus losses</w:t>
      </w:r>
    </w:p>
    <w:p>
      <w:pPr>
        <w:pStyle w:val="Normal"/>
        <w:numPr>
          <w:ilvl w:val="2"/>
          <w:numId w:val="1"/>
        </w:numPr>
        <w:rPr/>
      </w:pPr>
      <w:r>
        <w:rPr/>
        <w:t>Monthly fixed price option--based on PGE’s own forward curve and posted by the Company</w:t>
      </w:r>
    </w:p>
    <w:p>
      <w:pPr>
        <w:pStyle w:val="Normal"/>
        <w:numPr>
          <w:ilvl w:val="2"/>
          <w:numId w:val="1"/>
        </w:numPr>
        <w:rPr/>
      </w:pPr>
      <w:r>
        <w:rPr/>
        <w:t>Quarterly--based on PGE’s own forward curve and posted by the Company</w:t>
      </w:r>
    </w:p>
    <w:p>
      <w:pPr>
        <w:pStyle w:val="Normal"/>
        <w:numPr>
          <w:ilvl w:val="2"/>
          <w:numId w:val="1"/>
        </w:numPr>
        <w:rPr/>
      </w:pPr>
      <w:r>
        <w:rPr/>
        <w:t>Annually--based on PGE’s own forward curve and posted by the Company</w:t>
      </w:r>
    </w:p>
    <w:p>
      <w:pPr>
        <w:pStyle w:val="Normal"/>
        <w:numPr>
          <w:ilvl w:val="1"/>
          <w:numId w:val="1"/>
        </w:numPr>
        <w:rPr/>
      </w:pPr>
      <w:r>
        <w:rPr/>
        <w:t>To the extent PGE’s actual costs differ from the posting, PGE will take on all cost risk.</w:t>
      </w:r>
    </w:p>
    <w:p>
      <w:pPr>
        <w:pStyle w:val="Normal"/>
        <w:numPr>
          <w:ilvl w:val="1"/>
          <w:numId w:val="1"/>
        </w:numPr>
        <w:rPr/>
      </w:pPr>
      <w:r>
        <w:rPr/>
        <w:t>There are no reasonableness reviews.  PGE will price based on the then applicable forward curve.</w:t>
      </w:r>
    </w:p>
    <w:p>
      <w:pPr>
        <w:pStyle w:val="Normal"/>
        <w:numPr>
          <w:ilvl w:val="2"/>
          <w:numId w:val="1"/>
        </w:numPr>
        <w:rPr/>
      </w:pPr>
      <w:r>
        <w:rPr/>
        <w:t>PGE states that the forward curve is not a forecast but a measurable, verifiable market position based on actual quotes</w:t>
      </w:r>
    </w:p>
    <w:p>
      <w:pPr>
        <w:pStyle w:val="Normal"/>
        <w:numPr>
          <w:ilvl w:val="3"/>
          <w:numId w:val="1"/>
        </w:numPr>
        <w:rPr/>
      </w:pPr>
      <w:r>
        <w:rPr/>
        <w:t>However, PGE does admit that large trades can affect the curve and that the forward curve is not published (this latter problem of no published long-term prices will be a problem in California).</w:t>
      </w:r>
    </w:p>
    <w:p>
      <w:pPr>
        <w:pStyle w:val="Normal"/>
        <w:numPr>
          <w:ilvl w:val="1"/>
          <w:numId w:val="1"/>
        </w:numPr>
        <w:rPr/>
      </w:pPr>
      <w:r>
        <w:rPr/>
        <w:t>PGE proposes two separate risk management products, the CTM and the PAA</w:t>
      </w:r>
    </w:p>
    <w:p>
      <w:pPr>
        <w:pStyle w:val="Normal"/>
        <w:numPr>
          <w:ilvl w:val="2"/>
          <w:numId w:val="1"/>
        </w:numPr>
        <w:rPr/>
      </w:pPr>
      <w:r>
        <w:rPr/>
        <w:t xml:space="preserve">The Competitive Transition Mechanism (CTM) will fix the difference between the revenue requirement (cost) and value of PGE’s existing long-term portfolio of resources dedicated to retail load.  </w:t>
      </w:r>
    </w:p>
    <w:p>
      <w:pPr>
        <w:pStyle w:val="Normal"/>
        <w:numPr>
          <w:ilvl w:val="3"/>
          <w:numId w:val="1"/>
        </w:numPr>
        <w:rPr/>
      </w:pPr>
      <w:r>
        <w:rPr/>
        <w:t>PGE proposes to do this annually on the date the annual fixed price portfolio is set.  Initially this will be on August 15 01 for 15 months ending 12/31/02 (for the first year, the “annual” portfolio will actually be 15 months).  After that, it will be set annually on Nov 15.</w:t>
      </w:r>
    </w:p>
    <w:p>
      <w:pPr>
        <w:pStyle w:val="Normal"/>
        <w:numPr>
          <w:ilvl w:val="4"/>
          <w:numId w:val="1"/>
        </w:numPr>
        <w:rPr/>
      </w:pPr>
      <w:r>
        <w:rPr/>
        <w:t>Interestingly, the current estimate of CTM is negative; i.e., a benefit to customers.</w:t>
      </w:r>
    </w:p>
    <w:p>
      <w:pPr>
        <w:pStyle w:val="Normal"/>
        <w:numPr>
          <w:ilvl w:val="3"/>
          <w:numId w:val="1"/>
        </w:numPr>
        <w:rPr/>
      </w:pPr>
      <w:r>
        <w:rPr/>
        <w:t>Initially recovery of the CTM will be inverse proportional to the market price, providing “rate freeze” stability similar to the way CTC is recovered in California.  Once PGE implements an approved Resource Plan, the CTM will become a fixed dollar amount.</w:t>
      </w:r>
    </w:p>
    <w:p>
      <w:pPr>
        <w:pStyle w:val="Normal"/>
        <w:numPr>
          <w:ilvl w:val="2"/>
          <w:numId w:val="1"/>
        </w:numPr>
        <w:rPr/>
      </w:pPr>
      <w:r>
        <w:rPr/>
        <w:t>The Power Acquisition Adjustment (PAA)</w:t>
      </w:r>
    </w:p>
    <w:p>
      <w:pPr>
        <w:pStyle w:val="Normal"/>
        <w:numPr>
          <w:ilvl w:val="3"/>
          <w:numId w:val="1"/>
        </w:numPr>
        <w:rPr/>
      </w:pPr>
      <w:r>
        <w:rPr/>
        <w:t>For short term purchases</w:t>
      </w:r>
    </w:p>
    <w:p>
      <w:pPr>
        <w:pStyle w:val="Normal"/>
        <w:numPr>
          <w:ilvl w:val="3"/>
          <w:numId w:val="1"/>
        </w:numPr>
        <w:rPr/>
      </w:pPr>
      <w:r>
        <w:rPr/>
        <w:t>PGE’s proposal is still being developed</w:t>
      </w:r>
    </w:p>
    <w:p>
      <w:pPr>
        <w:pStyle w:val="Normal"/>
        <w:numPr>
          <w:ilvl w:val="3"/>
          <w:numId w:val="1"/>
        </w:numPr>
        <w:rPr/>
      </w:pPr>
      <w:r>
        <w:rPr/>
        <w:t>It appears this mechanism is designed to recover costs of positions taken for customers on short-term procurement portfolio options that subsequently opt out of utility service and go direct access.  Thus, the PAA appears to handle volume-cost risk.</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2000-11-07T19:23:00Z</dcterms:created>
  <dc:creator>G. Alan Comnes</dc:creator>
  <dc:description/>
  <dc:language>en-CA</dc:language>
  <cp:lastModifiedBy>G. Alan Comnes</cp:lastModifiedBy>
  <dcterms:modified xsi:type="dcterms:W3CDTF">2000-11-07T23:28:00Z</dcterms:modified>
  <cp:revision>7</cp:revision>
  <dc:subject/>
  <dc:title>Notes on the PGE procurement regulatory framework</dc:title>
</cp:coreProperties>
</file>