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52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8"/>
        <w:gridCol w:w="5310"/>
        <w:gridCol w:w="1710"/>
        <w:gridCol w:w="2520"/>
      </w:tblGrid>
      <w:tr>
        <w:trPr>
          <w:trHeight w:val="300" w:hRule="exact"/>
        </w:trPr>
        <w:tc>
          <w:tcPr>
            <w:tcW w:w="988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To:</w:t>
            </w:r>
          </w:p>
        </w:tc>
        <w:tc>
          <w:tcPr>
            <w:tcW w:w="5310" w:type="dxa"/>
            <w:tcBorders/>
          </w:tcPr>
          <w:p>
            <w:pPr>
              <w:pStyle w:val="To"/>
              <w:rPr>
                <w:sz w:val="24"/>
              </w:rPr>
            </w:pPr>
            <w:r>
              <w:rPr>
                <w:sz w:val="24"/>
              </w:rPr>
              <w:t>Distribution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98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/>
            </w:pPr>
            <w:r>
              <w:rPr/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988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From:</w:t>
            </w:r>
          </w:p>
        </w:tc>
        <w:tc>
          <w:tcPr>
            <w:tcW w:w="5310" w:type="dxa"/>
            <w:tcBorders/>
          </w:tcPr>
          <w:p>
            <w:pPr>
              <w:pStyle w:val="From"/>
              <w:rPr>
                <w:sz w:val="24"/>
              </w:rPr>
            </w:pPr>
            <w:r>
              <w:rPr>
                <w:sz w:val="24"/>
              </w:rPr>
              <w:t>Jeff Shankman/John Arnold</w:t>
            </w:r>
          </w:p>
        </w:tc>
        <w:tc>
          <w:tcPr>
            <w:tcW w:w="1710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Department:</w:t>
            </w:r>
          </w:p>
        </w:tc>
        <w:tc>
          <w:tcPr>
            <w:tcW w:w="2520" w:type="dxa"/>
            <w:tcBorders/>
          </w:tcPr>
          <w:p>
            <w:pPr>
              <w:pStyle w:val="Department"/>
              <w:rPr>
                <w:sz w:val="24"/>
              </w:rPr>
            </w:pPr>
            <w:bookmarkStart w:id="0" w:name="From"/>
            <w:bookmarkEnd w:id="0"/>
            <w:r>
              <w:rPr>
                <w:sz w:val="24"/>
              </w:rPr>
              <w:t>ENA</w:t>
            </w:r>
          </w:p>
        </w:tc>
      </w:tr>
      <w:tr>
        <w:trPr>
          <w:trHeight w:val="216" w:hRule="exact"/>
        </w:trPr>
        <w:tc>
          <w:tcPr>
            <w:tcW w:w="98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98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Subject:</w:t>
            </w:r>
          </w:p>
        </w:tc>
        <w:tc>
          <w:tcPr>
            <w:tcW w:w="5310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sz w:val="24"/>
              </w:rPr>
            </w:pPr>
            <w:r>
              <w:rPr>
                <w:sz w:val="24"/>
              </w:rPr>
              <w:t>Options Training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Date: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DATE \@"MMMM\ d', 'yyyy"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September 28, 2025</w:t>
            </w:r>
            <w:r>
              <w:rPr>
                <w:sz w:val="24"/>
              </w:rPr>
              <w:fldChar w:fldCharType="end"/>
            </w:r>
          </w:p>
        </w:tc>
      </w:tr>
    </w:tbl>
    <w:p>
      <w:pPr>
        <w:pStyle w:val="Body"/>
        <w:rPr>
          <w:sz w:val="18"/>
        </w:rPr>
      </w:pPr>
      <w:r>
        <w:rPr>
          <w:sz w:val="18"/>
        </w:rPr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>
          <w:sz w:val="24"/>
        </w:rPr>
        <w:t>As a follow-up to the memo from February 17</w:t>
      </w:r>
      <w:r>
        <w:rPr>
          <w:sz w:val="24"/>
          <w:vertAlign w:val="superscript"/>
        </w:rPr>
        <w:t>th</w:t>
      </w:r>
      <w:r>
        <w:rPr>
          <w:sz w:val="24"/>
        </w:rPr>
        <w:t>, detailing our options program, some of the reading materials are now available.  Please take the time between now and Monday to become familiar with the Sheldon Natenberg book, chapters 1-6 in particular.</w:t>
      </w:r>
    </w:p>
    <w:p>
      <w:pPr>
        <w:pStyle w:val="Body"/>
        <w:rPr>
          <w:sz w:val="24"/>
        </w:rPr>
      </w:pPr>
      <w:r>
        <w:rPr>
          <w:sz w:val="24"/>
        </w:rPr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b/>
          <w:sz w:val="24"/>
          <w:u w:val="single"/>
        </w:rPr>
      </w:pPr>
      <w:r>
        <w:rPr>
          <w:b/>
          <w:sz w:val="24"/>
          <w:u w:val="single"/>
        </w:rPr>
        <w:t>DISTRIBUTION:</w:t>
      </w:r>
    </w:p>
    <w:p>
      <w:pPr>
        <w:pStyle w:val="Body"/>
        <w:rPr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Body"/>
        <w:rPr>
          <w:sz w:val="24"/>
        </w:rPr>
      </w:pPr>
      <w:r>
        <w:rPr>
          <w:sz w:val="24"/>
        </w:rPr>
        <w:t>Allen, Phillip</w:t>
      </w:r>
    </w:p>
    <w:p>
      <w:pPr>
        <w:pStyle w:val="Body"/>
        <w:rPr>
          <w:sz w:val="24"/>
        </w:rPr>
      </w:pPr>
      <w:r>
        <w:rPr>
          <w:sz w:val="24"/>
        </w:rPr>
        <w:t>Bass, Eric</w:t>
      </w:r>
    </w:p>
    <w:p>
      <w:pPr>
        <w:pStyle w:val="Body"/>
        <w:rPr>
          <w:sz w:val="24"/>
        </w:rPr>
      </w:pPr>
      <w:r>
        <w:rPr>
          <w:sz w:val="24"/>
        </w:rPr>
        <w:t>Brawner, Sandra</w:t>
      </w:r>
    </w:p>
    <w:p>
      <w:pPr>
        <w:pStyle w:val="Body"/>
        <w:rPr>
          <w:sz w:val="24"/>
        </w:rPr>
      </w:pPr>
      <w:r>
        <w:rPr>
          <w:sz w:val="24"/>
        </w:rPr>
        <w:t>Holst, Keith</w:t>
      </w:r>
    </w:p>
    <w:p>
      <w:pPr>
        <w:pStyle w:val="Body"/>
        <w:rPr>
          <w:sz w:val="24"/>
        </w:rPr>
      </w:pPr>
      <w:r>
        <w:rPr>
          <w:sz w:val="24"/>
        </w:rPr>
        <w:t>Hoskins, Brian</w:t>
      </w:r>
    </w:p>
    <w:p>
      <w:pPr>
        <w:pStyle w:val="Body"/>
        <w:rPr>
          <w:sz w:val="24"/>
        </w:rPr>
      </w:pPr>
      <w:r>
        <w:rPr>
          <w:sz w:val="24"/>
        </w:rPr>
        <w:t>Jenkins, Dick</w:t>
      </w:r>
    </w:p>
    <w:p>
      <w:pPr>
        <w:pStyle w:val="Body"/>
        <w:rPr>
          <w:sz w:val="24"/>
        </w:rPr>
      </w:pPr>
      <w:r>
        <w:rPr>
          <w:sz w:val="24"/>
        </w:rPr>
        <w:t>Keavey, Pete</w:t>
      </w:r>
    </w:p>
    <w:p>
      <w:pPr>
        <w:pStyle w:val="Body"/>
        <w:rPr>
          <w:sz w:val="24"/>
        </w:rPr>
      </w:pPr>
      <w:r>
        <w:rPr>
          <w:sz w:val="24"/>
        </w:rPr>
        <w:t>Lenhart, Matt</w:t>
      </w:r>
    </w:p>
    <w:p>
      <w:pPr>
        <w:pStyle w:val="Body"/>
        <w:rPr>
          <w:sz w:val="24"/>
        </w:rPr>
      </w:pPr>
      <w:r>
        <w:rPr>
          <w:sz w:val="24"/>
        </w:rPr>
        <w:t>Lewis, Andy</w:t>
      </w:r>
    </w:p>
    <w:p>
      <w:pPr>
        <w:pStyle w:val="Body"/>
        <w:rPr>
          <w:sz w:val="24"/>
        </w:rPr>
      </w:pPr>
      <w:r>
        <w:rPr>
          <w:sz w:val="24"/>
        </w:rPr>
        <w:t>Martin, Tom</w:t>
      </w:r>
    </w:p>
    <w:p>
      <w:pPr>
        <w:pStyle w:val="Body"/>
        <w:rPr>
          <w:sz w:val="24"/>
        </w:rPr>
      </w:pPr>
      <w:r>
        <w:rPr>
          <w:sz w:val="24"/>
        </w:rPr>
        <w:t>McClendon, Greg</w:t>
      </w:r>
    </w:p>
    <w:p>
      <w:pPr>
        <w:pStyle w:val="Body"/>
        <w:rPr>
          <w:sz w:val="24"/>
        </w:rPr>
      </w:pPr>
      <w:r>
        <w:rPr>
          <w:sz w:val="24"/>
        </w:rPr>
        <w:t>McKay, Brad</w:t>
      </w:r>
    </w:p>
    <w:p>
      <w:pPr>
        <w:pStyle w:val="Body"/>
        <w:rPr>
          <w:sz w:val="24"/>
        </w:rPr>
      </w:pPr>
      <w:r>
        <w:rPr>
          <w:sz w:val="24"/>
        </w:rPr>
        <w:t>Menear, Robyn</w:t>
      </w:r>
    </w:p>
    <w:p>
      <w:pPr>
        <w:pStyle w:val="Body"/>
        <w:rPr>
          <w:sz w:val="24"/>
        </w:rPr>
      </w:pPr>
      <w:r>
        <w:rPr>
          <w:sz w:val="24"/>
        </w:rPr>
        <w:t>Metz, Carey</w:t>
      </w:r>
    </w:p>
    <w:p>
      <w:pPr>
        <w:pStyle w:val="Body"/>
        <w:rPr>
          <w:sz w:val="24"/>
        </w:rPr>
      </w:pPr>
      <w:r>
        <w:rPr>
          <w:sz w:val="24"/>
        </w:rPr>
        <w:t>Mulholland, Sarah</w:t>
      </w:r>
    </w:p>
    <w:p>
      <w:pPr>
        <w:pStyle w:val="Body"/>
        <w:rPr>
          <w:sz w:val="24"/>
        </w:rPr>
      </w:pPr>
      <w:r>
        <w:rPr>
          <w:sz w:val="24"/>
        </w:rPr>
        <w:t>Neal, Scott</w:t>
      </w:r>
    </w:p>
    <w:p>
      <w:pPr>
        <w:pStyle w:val="Body"/>
        <w:rPr>
          <w:sz w:val="24"/>
        </w:rPr>
      </w:pPr>
      <w:r>
        <w:rPr>
          <w:sz w:val="24"/>
        </w:rPr>
        <w:t>Pao, Eva</w:t>
      </w:r>
    </w:p>
    <w:p>
      <w:pPr>
        <w:pStyle w:val="Body"/>
        <w:rPr>
          <w:sz w:val="24"/>
        </w:rPr>
      </w:pPr>
      <w:r>
        <w:rPr>
          <w:sz w:val="24"/>
        </w:rPr>
        <w:t>Reitmeyer, Jay</w:t>
      </w:r>
    </w:p>
    <w:p>
      <w:pPr>
        <w:pStyle w:val="Body"/>
        <w:rPr>
          <w:sz w:val="24"/>
        </w:rPr>
      </w:pPr>
      <w:r>
        <w:rPr>
          <w:sz w:val="24"/>
        </w:rPr>
        <w:t>Schwieger, Jim</w:t>
      </w:r>
    </w:p>
    <w:p>
      <w:pPr>
        <w:pStyle w:val="Body"/>
        <w:rPr>
          <w:sz w:val="24"/>
        </w:rPr>
      </w:pPr>
      <w:r>
        <w:rPr>
          <w:sz w:val="24"/>
        </w:rPr>
        <w:t>Shim, Liz</w:t>
      </w:r>
    </w:p>
    <w:p>
      <w:pPr>
        <w:pStyle w:val="Body"/>
        <w:rPr>
          <w:sz w:val="24"/>
        </w:rPr>
      </w:pPr>
      <w:r>
        <w:rPr>
          <w:sz w:val="24"/>
        </w:rPr>
        <w:t>Shively, Hunter</w:t>
      </w:r>
    </w:p>
    <w:p>
      <w:pPr>
        <w:pStyle w:val="Body"/>
        <w:rPr>
          <w:sz w:val="24"/>
        </w:rPr>
      </w:pPr>
      <w:r>
        <w:rPr>
          <w:sz w:val="24"/>
        </w:rPr>
        <w:t>Storey, Geof</w:t>
      </w:r>
    </w:p>
    <w:p>
      <w:pPr>
        <w:pStyle w:val="Body"/>
        <w:rPr>
          <w:sz w:val="24"/>
        </w:rPr>
      </w:pPr>
      <w:r>
        <w:rPr>
          <w:sz w:val="24"/>
        </w:rPr>
        <w:t>Sturm, Fletch</w:t>
      </w:r>
    </w:p>
    <w:p>
      <w:pPr>
        <w:pStyle w:val="Body"/>
        <w:rPr>
          <w:sz w:val="24"/>
        </w:rPr>
      </w:pPr>
      <w:r>
        <w:rPr>
          <w:sz w:val="24"/>
        </w:rPr>
        <w:t>Tlapek, Tricia</w:t>
      </w:r>
    </w:p>
    <w:p>
      <w:pPr>
        <w:pStyle w:val="Department"/>
        <w:rPr>
          <w:sz w:val="24"/>
        </w:rPr>
      </w:pPr>
      <w:r>
        <w:rPr>
          <w:sz w:val="2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1080" w:footer="360" w:bottom="99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2566670</wp:posOffset>
              </wp:positionH>
              <wp:positionV relativeFrom="paragraph">
                <wp:posOffset>-95250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5pt;mso-position-vertical-relative:text;margin-left:202.1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2000-02-22T20:36:00Z</dcterms:created>
  <dc:creator>Jeff Ford</dc:creator>
  <dc:description/>
  <dc:language>en-CA</dc:language>
  <cp:lastModifiedBy>Brenda Flores-Cuellar</cp:lastModifiedBy>
  <cp:lastPrinted>2000-02-22T16:25:00Z</cp:lastPrinted>
  <dcterms:modified xsi:type="dcterms:W3CDTF">2000-02-22T20:36:00Z</dcterms:modified>
  <cp:revision>3</cp:revision>
  <dc:subject/>
  <dc:title>Eron Capital &amp; Trade Resources Memo</dc:title>
</cp:coreProperties>
</file>