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528" w:type="dxa"/>
        <w:jc w:val="start"/>
        <w:tblInd w:w="200" w:type="dxa"/>
        <w:tblLayout w:type="fixed"/>
        <w:tblCellMar>
          <w:top w:w="0" w:type="dxa"/>
          <w:start w:w="108" w:type="dxa"/>
          <w:bottom w:w="0" w:type="dxa"/>
          <w:end w:w="108" w:type="dxa"/>
        </w:tblCellMar>
      </w:tblPr>
      <w:tblGrid>
        <w:gridCol w:w="988"/>
        <w:gridCol w:w="5310"/>
        <w:gridCol w:w="1710"/>
        <w:gridCol w:w="2520"/>
      </w:tblGrid>
      <w:tr>
        <w:trPr>
          <w:trHeight w:val="300" w:hRule="exact"/>
        </w:trPr>
        <w:tc>
          <w:tcPr>
            <w:tcW w:w="988" w:type="dxa"/>
            <w:tcBorders/>
          </w:tcPr>
          <w:p>
            <w:pPr>
              <w:pStyle w:val="Normal"/>
              <w:ind w:start="-180" w:end="0"/>
              <w:jc w:val="end"/>
              <w:rPr/>
            </w:pPr>
            <w:r>
              <w:rPr/>
              <w:t>To:</w:t>
            </w:r>
          </w:p>
        </w:tc>
        <w:tc>
          <w:tcPr>
            <w:tcW w:w="5310" w:type="dxa"/>
            <w:tcBorders/>
          </w:tcPr>
          <w:p>
            <w:pPr>
              <w:pStyle w:val="To"/>
              <w:rPr>
                <w:sz w:val="24"/>
              </w:rPr>
            </w:pPr>
            <w:r>
              <w:rPr>
                <w:sz w:val="24"/>
              </w:rPr>
              <w:t>Distribution</w:t>
            </w:r>
          </w:p>
        </w:tc>
        <w:tc>
          <w:tcPr>
            <w:tcW w:w="1710" w:type="dxa"/>
            <w:tcBorders/>
          </w:tcPr>
          <w:p>
            <w:pPr>
              <w:pStyle w:val="Normal"/>
              <w:snapToGrid w:val="false"/>
              <w:ind w:start="-180" w:end="0"/>
              <w:rPr>
                <w:sz w:val="24"/>
              </w:rPr>
            </w:pPr>
            <w:r>
              <w:rPr>
                <w:sz w:val="24"/>
              </w:rPr>
            </w:r>
          </w:p>
        </w:tc>
        <w:tc>
          <w:tcPr>
            <w:tcW w:w="2520" w:type="dxa"/>
            <w:tcBorders/>
          </w:tcPr>
          <w:p>
            <w:pPr>
              <w:pStyle w:val="Normal"/>
              <w:snapToGrid w:val="false"/>
              <w:rPr/>
            </w:pPr>
            <w:r>
              <w:rPr/>
            </w:r>
          </w:p>
        </w:tc>
      </w:tr>
      <w:tr>
        <w:trPr>
          <w:trHeight w:val="216" w:hRule="exact"/>
        </w:trPr>
        <w:tc>
          <w:tcPr>
            <w:tcW w:w="988" w:type="dxa"/>
            <w:tcBorders/>
          </w:tcPr>
          <w:p>
            <w:pPr>
              <w:pStyle w:val="Normal"/>
              <w:snapToGrid w:val="false"/>
              <w:ind w:start="-180" w:end="0"/>
              <w:jc w:val="end"/>
              <w:rPr/>
            </w:pPr>
            <w:r>
              <w:rPr/>
            </w:r>
          </w:p>
        </w:tc>
        <w:tc>
          <w:tcPr>
            <w:tcW w:w="5310" w:type="dxa"/>
            <w:tcBorders/>
          </w:tcPr>
          <w:p>
            <w:pPr>
              <w:pStyle w:val="Normal"/>
              <w:snapToGrid w:val="false"/>
              <w:rPr/>
            </w:pPr>
            <w:r>
              <w:rPr/>
            </w:r>
          </w:p>
        </w:tc>
        <w:tc>
          <w:tcPr>
            <w:tcW w:w="1710" w:type="dxa"/>
            <w:tcBorders/>
          </w:tcPr>
          <w:p>
            <w:pPr>
              <w:pStyle w:val="Normal"/>
              <w:snapToGrid w:val="false"/>
              <w:ind w:start="-180" w:end="0"/>
              <w:rPr/>
            </w:pPr>
            <w:r>
              <w:rPr/>
            </w:r>
          </w:p>
        </w:tc>
        <w:tc>
          <w:tcPr>
            <w:tcW w:w="2520" w:type="dxa"/>
            <w:tcBorders/>
          </w:tcPr>
          <w:p>
            <w:pPr>
              <w:pStyle w:val="Normal"/>
              <w:snapToGrid w:val="false"/>
              <w:rPr/>
            </w:pPr>
            <w:r>
              <w:rPr/>
            </w:r>
          </w:p>
        </w:tc>
      </w:tr>
      <w:tr>
        <w:trPr>
          <w:trHeight w:val="300" w:hRule="exact"/>
        </w:trPr>
        <w:tc>
          <w:tcPr>
            <w:tcW w:w="988" w:type="dxa"/>
            <w:tcBorders/>
          </w:tcPr>
          <w:p>
            <w:pPr>
              <w:pStyle w:val="Normal"/>
              <w:ind w:start="-180" w:end="0"/>
              <w:jc w:val="end"/>
              <w:rPr/>
            </w:pPr>
            <w:r>
              <w:rPr/>
              <w:t>From:</w:t>
            </w:r>
          </w:p>
        </w:tc>
        <w:tc>
          <w:tcPr>
            <w:tcW w:w="5310" w:type="dxa"/>
            <w:tcBorders/>
          </w:tcPr>
          <w:p>
            <w:pPr>
              <w:pStyle w:val="From"/>
              <w:rPr>
                <w:sz w:val="24"/>
              </w:rPr>
            </w:pPr>
            <w:r>
              <w:rPr>
                <w:sz w:val="24"/>
              </w:rPr>
              <w:t>Jeff Shankman/John Arnold</w:t>
            </w:r>
          </w:p>
        </w:tc>
        <w:tc>
          <w:tcPr>
            <w:tcW w:w="1710" w:type="dxa"/>
            <w:tcBorders/>
          </w:tcPr>
          <w:p>
            <w:pPr>
              <w:pStyle w:val="Normal"/>
              <w:ind w:start="-180" w:end="0"/>
              <w:jc w:val="end"/>
              <w:rPr/>
            </w:pPr>
            <w:r>
              <w:rPr/>
              <w:t>Department:</w:t>
            </w:r>
          </w:p>
        </w:tc>
        <w:tc>
          <w:tcPr>
            <w:tcW w:w="2520" w:type="dxa"/>
            <w:tcBorders/>
          </w:tcPr>
          <w:p>
            <w:pPr>
              <w:pStyle w:val="Department"/>
              <w:rPr>
                <w:sz w:val="24"/>
              </w:rPr>
            </w:pPr>
            <w:bookmarkStart w:id="0" w:name="From"/>
            <w:bookmarkEnd w:id="0"/>
            <w:r>
              <w:rPr>
                <w:sz w:val="24"/>
              </w:rPr>
              <w:t>ENA</w:t>
            </w:r>
          </w:p>
        </w:tc>
      </w:tr>
      <w:tr>
        <w:trPr>
          <w:trHeight w:val="216" w:hRule="exact"/>
        </w:trPr>
        <w:tc>
          <w:tcPr>
            <w:tcW w:w="988" w:type="dxa"/>
            <w:tcBorders/>
          </w:tcPr>
          <w:p>
            <w:pPr>
              <w:pStyle w:val="Normal"/>
              <w:snapToGrid w:val="false"/>
              <w:ind w:start="-180" w:end="0"/>
              <w:jc w:val="end"/>
              <w:rPr>
                <w:sz w:val="24"/>
              </w:rPr>
            </w:pPr>
            <w:r>
              <w:rPr>
                <w:sz w:val="24"/>
              </w:rPr>
            </w:r>
          </w:p>
        </w:tc>
        <w:tc>
          <w:tcPr>
            <w:tcW w:w="5310" w:type="dxa"/>
            <w:tcBorders/>
          </w:tcPr>
          <w:p>
            <w:pPr>
              <w:pStyle w:val="Normal"/>
              <w:snapToGrid w:val="false"/>
              <w:rPr/>
            </w:pPr>
            <w:r>
              <w:rPr/>
            </w:r>
          </w:p>
        </w:tc>
        <w:tc>
          <w:tcPr>
            <w:tcW w:w="1710" w:type="dxa"/>
            <w:tcBorders/>
          </w:tcPr>
          <w:p>
            <w:pPr>
              <w:pStyle w:val="Normal"/>
              <w:snapToGrid w:val="false"/>
              <w:ind w:start="-180" w:end="0"/>
              <w:rPr/>
            </w:pPr>
            <w:r>
              <w:rPr/>
            </w:r>
          </w:p>
        </w:tc>
        <w:tc>
          <w:tcPr>
            <w:tcW w:w="2520" w:type="dxa"/>
            <w:tcBorders/>
          </w:tcPr>
          <w:p>
            <w:pPr>
              <w:pStyle w:val="Normal"/>
              <w:snapToGrid w:val="false"/>
              <w:rPr/>
            </w:pPr>
            <w:r>
              <w:rPr/>
            </w:r>
          </w:p>
        </w:tc>
      </w:tr>
      <w:tr>
        <w:trPr>
          <w:trHeight w:val="600" w:hRule="exact"/>
        </w:trPr>
        <w:tc>
          <w:tcPr>
            <w:tcW w:w="988" w:type="dxa"/>
            <w:tcBorders>
              <w:bottom w:val="single" w:sz="12" w:space="0" w:color="000000"/>
            </w:tcBorders>
          </w:tcPr>
          <w:p>
            <w:pPr>
              <w:pStyle w:val="Normal"/>
              <w:ind w:start="-180" w:end="0"/>
              <w:jc w:val="end"/>
              <w:rPr/>
            </w:pPr>
            <w:r>
              <w:rPr/>
              <w:t>Subject:</w:t>
            </w:r>
          </w:p>
        </w:tc>
        <w:tc>
          <w:tcPr>
            <w:tcW w:w="5310" w:type="dxa"/>
            <w:tcBorders>
              <w:bottom w:val="single" w:sz="12" w:space="0" w:color="000000"/>
            </w:tcBorders>
          </w:tcPr>
          <w:p>
            <w:pPr>
              <w:pStyle w:val="Subject"/>
              <w:rPr>
                <w:sz w:val="24"/>
              </w:rPr>
            </w:pPr>
            <w:r>
              <w:rPr>
                <w:sz w:val="24"/>
              </w:rPr>
              <w:t>Options Training</w:t>
            </w:r>
          </w:p>
        </w:tc>
        <w:tc>
          <w:tcPr>
            <w:tcW w:w="1710" w:type="dxa"/>
            <w:tcBorders>
              <w:bottom w:val="single" w:sz="12" w:space="0" w:color="000000"/>
            </w:tcBorders>
          </w:tcPr>
          <w:p>
            <w:pPr>
              <w:pStyle w:val="Normal"/>
              <w:ind w:start="-180" w:end="0"/>
              <w:jc w:val="end"/>
              <w:rPr/>
            </w:pPr>
            <w:r>
              <w:rPr/>
              <w:t>Date:</w:t>
            </w:r>
          </w:p>
        </w:tc>
        <w:tc>
          <w:tcPr>
            <w:tcW w:w="2520" w:type="dxa"/>
            <w:tcBorders>
              <w:bottom w:val="single" w:sz="12" w:space="0" w:color="000000"/>
            </w:tcBorders>
          </w:tcPr>
          <w:p>
            <w:pPr>
              <w:pStyle w:val="Date"/>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tc>
      </w:tr>
    </w:tbl>
    <w:p>
      <w:pPr>
        <w:pStyle w:val="Body"/>
        <w:rPr>
          <w:sz w:val="18"/>
        </w:rPr>
      </w:pPr>
      <w:r>
        <w:rPr>
          <w:sz w:val="18"/>
        </w:rPr>
      </w:r>
      <w:bookmarkStart w:id="1" w:name="StartOfMemo"/>
      <w:bookmarkStart w:id="2" w:name="StartOfMemo"/>
      <w:bookmarkEnd w:id="2"/>
    </w:p>
    <w:p>
      <w:pPr>
        <w:pStyle w:val="Body"/>
        <w:rPr/>
      </w:pPr>
      <w:r>
        <w:rPr>
          <w:sz w:val="24"/>
        </w:rPr>
        <w:t>Beginning February 28</w:t>
      </w:r>
      <w:r>
        <w:rPr>
          <w:sz w:val="24"/>
          <w:vertAlign w:val="superscript"/>
        </w:rPr>
        <w:t>th</w:t>
      </w:r>
      <w:r>
        <w:rPr>
          <w:sz w:val="24"/>
        </w:rPr>
        <w:t>, Vince Kaminski, Stinson Gibner and other members of the research group will begin an approximately 7 day training program.  This course will be 2 hours per day from 4:30 – 6:30 and will include lectures, reading materials and exercises.  It is important that we continue to develop our strengths as employees of Enron and as leaders of our industry.  As such, participation in this program is mandatory.  You will be receiving more information, a course outline and reading materials shortly.</w:t>
      </w:r>
    </w:p>
    <w:p>
      <w:pPr>
        <w:pStyle w:val="Body"/>
        <w:rPr>
          <w:sz w:val="18"/>
        </w:rPr>
      </w:pPr>
      <w:r>
        <w:rPr>
          <w:sz w:val="18"/>
        </w:rPr>
      </w:r>
    </w:p>
    <w:p>
      <w:pPr>
        <w:pStyle w:val="Body"/>
        <w:rPr>
          <w:sz w:val="24"/>
        </w:rPr>
      </w:pPr>
      <w:r>
        <w:rPr>
          <w:sz w:val="24"/>
        </w:rPr>
        <w:t>Please plan accordingly.</w:t>
      </w:r>
    </w:p>
    <w:p>
      <w:pPr>
        <w:pStyle w:val="Body"/>
        <w:rPr>
          <w:sz w:val="18"/>
        </w:rPr>
      </w:pPr>
      <w:r>
        <w:rPr>
          <w:sz w:val="18"/>
        </w:rPr>
      </w:r>
    </w:p>
    <w:p>
      <w:pPr>
        <w:pStyle w:val="Body"/>
        <w:rPr>
          <w:b/>
          <w:sz w:val="24"/>
          <w:u w:val="single"/>
        </w:rPr>
      </w:pPr>
      <w:r>
        <w:rPr>
          <w:b/>
          <w:sz w:val="24"/>
          <w:u w:val="single"/>
        </w:rPr>
        <w:t>DISTRIBUTION:</w:t>
      </w:r>
    </w:p>
    <w:p>
      <w:pPr>
        <w:pStyle w:val="Body"/>
        <w:rPr>
          <w:b/>
          <w:sz w:val="18"/>
          <w:u w:val="single"/>
        </w:rPr>
      </w:pPr>
      <w:r>
        <w:rPr>
          <w:b/>
          <w:sz w:val="18"/>
          <w:u w:val="single"/>
        </w:rPr>
      </w:r>
    </w:p>
    <w:p>
      <w:pPr>
        <w:pStyle w:val="Body"/>
        <w:rPr>
          <w:sz w:val="24"/>
        </w:rPr>
      </w:pPr>
      <w:r>
        <w:rPr>
          <w:sz w:val="24"/>
        </w:rPr>
        <w:t>Allen, Phillip</w:t>
      </w:r>
    </w:p>
    <w:p>
      <w:pPr>
        <w:pStyle w:val="Body"/>
        <w:rPr>
          <w:sz w:val="24"/>
        </w:rPr>
      </w:pPr>
      <w:r>
        <w:rPr>
          <w:sz w:val="24"/>
        </w:rPr>
        <w:t>Bass, Eric</w:t>
      </w:r>
    </w:p>
    <w:p>
      <w:pPr>
        <w:pStyle w:val="Body"/>
        <w:rPr>
          <w:sz w:val="24"/>
        </w:rPr>
      </w:pPr>
      <w:r>
        <w:rPr>
          <w:sz w:val="24"/>
        </w:rPr>
        <w:t>Brawner, Sandra</w:t>
      </w:r>
    </w:p>
    <w:p>
      <w:pPr>
        <w:pStyle w:val="Body"/>
        <w:rPr>
          <w:sz w:val="24"/>
        </w:rPr>
      </w:pPr>
      <w:r>
        <w:rPr>
          <w:sz w:val="24"/>
        </w:rPr>
        <w:t>Holst, Keith</w:t>
      </w:r>
    </w:p>
    <w:p>
      <w:pPr>
        <w:pStyle w:val="Body"/>
        <w:rPr>
          <w:sz w:val="24"/>
        </w:rPr>
      </w:pPr>
      <w:r>
        <w:rPr>
          <w:sz w:val="24"/>
        </w:rPr>
        <w:t>Hoskins, Brian</w:t>
      </w:r>
    </w:p>
    <w:p>
      <w:pPr>
        <w:pStyle w:val="Body"/>
        <w:rPr>
          <w:sz w:val="24"/>
        </w:rPr>
      </w:pPr>
      <w:r>
        <w:rPr>
          <w:sz w:val="24"/>
        </w:rPr>
        <w:t>Jenkins, Dick</w:t>
      </w:r>
    </w:p>
    <w:p>
      <w:pPr>
        <w:pStyle w:val="Body"/>
        <w:rPr>
          <w:sz w:val="24"/>
        </w:rPr>
      </w:pPr>
      <w:r>
        <w:rPr>
          <w:sz w:val="24"/>
        </w:rPr>
        <w:t>Keavy, Pete</w:t>
      </w:r>
    </w:p>
    <w:p>
      <w:pPr>
        <w:pStyle w:val="Body"/>
        <w:rPr>
          <w:sz w:val="24"/>
        </w:rPr>
      </w:pPr>
      <w:r>
        <w:rPr>
          <w:sz w:val="24"/>
        </w:rPr>
        <w:t>Lenhart, Matt</w:t>
      </w:r>
    </w:p>
    <w:p>
      <w:pPr>
        <w:pStyle w:val="Body"/>
        <w:rPr>
          <w:sz w:val="24"/>
        </w:rPr>
      </w:pPr>
      <w:r>
        <w:rPr>
          <w:sz w:val="24"/>
        </w:rPr>
        <w:t>Lewis, Andy</w:t>
      </w:r>
    </w:p>
    <w:p>
      <w:pPr>
        <w:pStyle w:val="Body"/>
        <w:rPr>
          <w:sz w:val="24"/>
        </w:rPr>
      </w:pPr>
      <w:r>
        <w:rPr>
          <w:sz w:val="24"/>
        </w:rPr>
        <w:t>Martin, Tom</w:t>
      </w:r>
    </w:p>
    <w:p>
      <w:pPr>
        <w:pStyle w:val="Body"/>
        <w:rPr>
          <w:sz w:val="24"/>
        </w:rPr>
      </w:pPr>
      <w:r>
        <w:rPr>
          <w:sz w:val="24"/>
        </w:rPr>
        <w:t>McClendon, Greg</w:t>
      </w:r>
    </w:p>
    <w:p>
      <w:pPr>
        <w:pStyle w:val="Body"/>
        <w:rPr>
          <w:sz w:val="24"/>
        </w:rPr>
      </w:pPr>
      <w:r>
        <w:rPr>
          <w:sz w:val="24"/>
        </w:rPr>
        <w:t>McKay, Brad</w:t>
      </w:r>
    </w:p>
    <w:p>
      <w:pPr>
        <w:pStyle w:val="Body"/>
        <w:rPr>
          <w:sz w:val="24"/>
        </w:rPr>
      </w:pPr>
      <w:r>
        <w:rPr>
          <w:sz w:val="24"/>
        </w:rPr>
        <w:t>McPherson, John</w:t>
      </w:r>
    </w:p>
    <w:p>
      <w:pPr>
        <w:pStyle w:val="Body"/>
        <w:rPr>
          <w:sz w:val="24"/>
        </w:rPr>
      </w:pPr>
      <w:r>
        <w:rPr>
          <w:sz w:val="24"/>
        </w:rPr>
        <w:t>Menear, Robyn</w:t>
      </w:r>
    </w:p>
    <w:p>
      <w:pPr>
        <w:pStyle w:val="Body"/>
        <w:rPr>
          <w:sz w:val="24"/>
        </w:rPr>
      </w:pPr>
      <w:r>
        <w:rPr>
          <w:sz w:val="24"/>
        </w:rPr>
        <w:t>Metz, Carey</w:t>
      </w:r>
    </w:p>
    <w:p>
      <w:pPr>
        <w:pStyle w:val="Body"/>
        <w:rPr>
          <w:sz w:val="24"/>
        </w:rPr>
      </w:pPr>
      <w:r>
        <w:rPr>
          <w:sz w:val="24"/>
        </w:rPr>
        <w:t>Mulholland, Sarah</w:t>
      </w:r>
    </w:p>
    <w:p>
      <w:pPr>
        <w:pStyle w:val="Body"/>
        <w:rPr>
          <w:sz w:val="24"/>
        </w:rPr>
      </w:pPr>
      <w:r>
        <w:rPr>
          <w:sz w:val="24"/>
        </w:rPr>
        <w:t>Neal, Scott</w:t>
      </w:r>
    </w:p>
    <w:p>
      <w:pPr>
        <w:pStyle w:val="Body"/>
        <w:rPr>
          <w:sz w:val="24"/>
        </w:rPr>
      </w:pPr>
      <w:r>
        <w:rPr>
          <w:sz w:val="24"/>
        </w:rPr>
        <w:t>Pao, Eva</w:t>
      </w:r>
    </w:p>
    <w:p>
      <w:pPr>
        <w:pStyle w:val="Body"/>
        <w:rPr>
          <w:sz w:val="24"/>
        </w:rPr>
      </w:pPr>
      <w:r>
        <w:rPr>
          <w:sz w:val="24"/>
        </w:rPr>
        <w:t>Reitmeyer, Jay</w:t>
      </w:r>
    </w:p>
    <w:p>
      <w:pPr>
        <w:pStyle w:val="Body"/>
        <w:rPr>
          <w:sz w:val="24"/>
        </w:rPr>
      </w:pPr>
      <w:r>
        <w:rPr>
          <w:sz w:val="24"/>
        </w:rPr>
        <w:t>Schwieger, Jim</w:t>
      </w:r>
    </w:p>
    <w:p>
      <w:pPr>
        <w:pStyle w:val="Body"/>
        <w:rPr>
          <w:sz w:val="24"/>
        </w:rPr>
      </w:pPr>
      <w:r>
        <w:rPr>
          <w:sz w:val="24"/>
        </w:rPr>
        <w:t>Shim, Liz</w:t>
      </w:r>
    </w:p>
    <w:p>
      <w:pPr>
        <w:pStyle w:val="Body"/>
        <w:rPr>
          <w:sz w:val="24"/>
        </w:rPr>
      </w:pPr>
      <w:r>
        <w:rPr>
          <w:sz w:val="24"/>
        </w:rPr>
        <w:t>Shively, Hunter</w:t>
      </w:r>
    </w:p>
    <w:p>
      <w:pPr>
        <w:pStyle w:val="Body"/>
        <w:rPr>
          <w:sz w:val="24"/>
        </w:rPr>
      </w:pPr>
      <w:r>
        <w:rPr>
          <w:sz w:val="24"/>
        </w:rPr>
        <w:t>Storey, Geof</w:t>
      </w:r>
    </w:p>
    <w:p>
      <w:pPr>
        <w:pStyle w:val="Body"/>
        <w:rPr>
          <w:sz w:val="24"/>
        </w:rPr>
      </w:pPr>
      <w:r>
        <w:rPr>
          <w:sz w:val="24"/>
        </w:rPr>
        <w:t>Sturm, Fletch</w:t>
      </w:r>
    </w:p>
    <w:p>
      <w:pPr>
        <w:pStyle w:val="Body"/>
        <w:rPr>
          <w:sz w:val="24"/>
        </w:rPr>
      </w:pPr>
      <w:r>
        <w:rPr>
          <w:sz w:val="24"/>
        </w:rPr>
        <w:t>Tlapek, Tricia</w:t>
      </w:r>
    </w:p>
    <w:p>
      <w:pPr>
        <w:pStyle w:val="Department"/>
        <w:rPr>
          <w:sz w:val="24"/>
        </w:rPr>
      </w:pPr>
      <w:r>
        <w:rPr>
          <w:sz w:val="24"/>
        </w:rPr>
      </w:r>
    </w:p>
    <w:sectPr>
      <w:headerReference w:type="default" r:id="rId3"/>
      <w:headerReference w:type="first" r:id="rId4"/>
      <w:footerReference w:type="default" r:id="rId5"/>
      <w:footerReference w:type="first" r:id="rId6"/>
      <w:type w:val="nextPage"/>
      <w:pgSz w:w="12240" w:h="15840"/>
      <w:pgMar w:left="720" w:right="720" w:gutter="0" w:header="720" w:top="1080" w:footer="360" w:bottom="99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2566670</wp:posOffset>
              </wp:positionH>
              <wp:positionV relativeFrom="paragraph">
                <wp:posOffset>-95250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7.5pt;mso-position-vertical-relative:text;margin-left:202.1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2000-02-09T12:57:00Z</dcterms:created>
  <dc:creator>Jeff Ford</dc:creator>
  <dc:description/>
  <dc:language>en-CA</dc:language>
  <cp:lastModifiedBy>Brenda Flores-Cuellar</cp:lastModifiedBy>
  <cp:lastPrinted>2000-02-17T07:59:00Z</cp:lastPrinted>
  <dcterms:modified xsi:type="dcterms:W3CDTF">2000-02-17T11:30:00Z</dcterms:modified>
  <cp:revision>3</cp:revision>
  <dc:subject/>
  <dc:title>Eron Capital &amp; Trade Resources Memo</dc:title>
</cp:coreProperties>
</file>