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ocumentLabel"/>
        <w:numPr>
          <w:ilvl w:val="0"/>
          <w:numId w:val="0"/>
        </w:numPr>
        <w:spacing w:before="120" w:after="240"/>
        <w:jc w:val="center"/>
        <w:outlineLvl w:val="0"/>
        <w:rPr/>
      </w:pPr>
      <w:r>
        <mc:AlternateContent>
          <mc:Choice Requires="wps">
            <w:drawing>
              <wp:anchor behindDoc="0" distT="0" distB="0" distL="114935" distR="114935" simplePos="0" locked="0" layoutInCell="1" allowOverlap="1" relativeHeight="2">
                <wp:simplePos x="0" y="0"/>
                <wp:positionH relativeFrom="column">
                  <wp:posOffset>1280160</wp:posOffset>
                </wp:positionH>
                <wp:positionV relativeFrom="paragraph">
                  <wp:posOffset>320040</wp:posOffset>
                </wp:positionV>
                <wp:extent cx="3201035" cy="635"/>
                <wp:effectExtent l="635" t="6350" r="635" b="6350"/>
                <wp:wrapNone/>
                <wp:docPr id="1" name=""/>
                <a:graphic xmlns:a="http://schemas.openxmlformats.org/drawingml/2006/main">
                  <a:graphicData uri="http://schemas.microsoft.com/office/word/2010/wordprocessingShape">
                    <wps:wsp>
                      <wps:cNvSpPr/>
                      <wps:spPr>
                        <a:xfrm>
                          <a:off x="0" y="0"/>
                          <a:ext cx="3201120" cy="72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100.8pt,25.2pt" to="352.8pt,25.2pt" stroked="t" o:allowincell="f" style="position:absolute">
                <v:stroke color="black" weight="12600" joinstyle="miter" endcap="flat"/>
                <v:fill o:detectmouseclick="t" on="false"/>
                <w10:wrap type="none"/>
              </v:line>
            </w:pict>
          </mc:Fallback>
        </mc:AlternateContent>
      </w:r>
      <w:r>
        <w:rPr/>
        <w:t>Memorandum</w:t>
      </w:r>
    </w:p>
    <w:p>
      <w:pPr>
        <w:pStyle w:val="BodyText"/>
        <w:spacing w:before="0" w:after="480"/>
        <w:jc w:val="center"/>
        <w:rPr/>
      </w:pPr>
      <w:bookmarkStart w:id="0" w:name="BodyDate"/>
      <w:bookmarkEnd w:id="0"/>
      <w:r>
        <w:rPr/>
        <w:t>August 7, 2000</w:t>
      </w:r>
    </w:p>
    <w:p>
      <w:pPr>
        <w:pStyle w:val="Normal"/>
        <w:tabs>
          <w:tab w:val="left" w:pos="-1440" w:leader="none"/>
          <w:tab w:val="left" w:pos="720" w:leader="none"/>
        </w:tabs>
        <w:ind w:hanging="720" w:start="720" w:end="0"/>
        <w:jc w:val="both"/>
        <w:rPr/>
      </w:pPr>
      <w:r>
        <w:rPr/>
        <w:t>RE:</w:t>
        <w:tab/>
      </w:r>
      <w:bookmarkStart w:id="1" w:name="MemoRegarding"/>
      <w:bookmarkEnd w:id="1"/>
      <w:r>
        <w:rPr/>
        <w:t xml:space="preserve">Recommended Approach for Immediate Action Responding to Crises in </w:t>
      </w:r>
    </w:p>
    <w:p>
      <w:pPr>
        <w:pStyle w:val="Normal"/>
        <w:tabs>
          <w:tab w:val="left" w:pos="-1440" w:leader="none"/>
          <w:tab w:val="left" w:pos="720" w:leader="none"/>
        </w:tabs>
        <w:ind w:hanging="720" w:start="720" w:end="0"/>
        <w:jc w:val="both"/>
        <w:rPr/>
      </w:pPr>
      <w:r>
        <w:rPr/>
        <w:tab/>
        <w:t>U.S. Electric Power Markets</w:t>
      </w:r>
    </w:p>
    <w:p>
      <w:pPr>
        <w:pStyle w:val="Normal"/>
        <w:tabs>
          <w:tab w:val="left" w:pos="-1440" w:leader="none"/>
          <w:tab w:val="left" w:pos="720" w:leader="none"/>
        </w:tabs>
        <w:ind w:hanging="720" w:start="720" w:end="0"/>
        <w:jc w:val="both"/>
        <w:rPr/>
      </w:pPr>
      <w:r>
        <w:rPr/>
      </w:r>
    </w:p>
    <w:p>
      <w:pPr>
        <w:pStyle w:val="Normal"/>
        <w:widowControl/>
        <w:spacing w:before="0" w:after="120"/>
        <w:ind w:firstLine="720" w:end="0"/>
        <w:jc w:val="both"/>
        <w:rPr>
          <w:u w:val="single"/>
        </w:rPr>
      </w:pPr>
      <w:r>
        <w:rPr>
          <w:u w:val="single"/>
        </w:rPr>
        <w:t>Options</w:t>
      </w:r>
    </w:p>
    <w:p>
      <w:pPr>
        <w:pStyle w:val="Normal"/>
        <w:widowControl/>
        <w:tabs>
          <w:tab w:val="clear" w:pos="720"/>
          <w:tab w:val="left" w:pos="2160" w:leader="none"/>
        </w:tabs>
        <w:spacing w:before="0" w:after="120"/>
        <w:ind w:hanging="720" w:start="2160" w:end="0"/>
        <w:jc w:val="both"/>
        <w:rPr/>
      </w:pPr>
      <w:r>
        <w:rPr/>
        <w:t>1.</w:t>
        <w:tab/>
        <w:t>The U.S. Department of Energy ("DOE") would issue an emergency interim rule without notice-and-comment</w:t>
      </w:r>
    </w:p>
    <w:p>
      <w:pPr>
        <w:pStyle w:val="Normal"/>
        <w:widowControl/>
        <w:spacing w:before="0" w:after="120"/>
        <w:ind w:hanging="720" w:start="2880" w:end="0"/>
        <w:jc w:val="both"/>
        <w:rPr/>
      </w:pPr>
      <w:r>
        <w:rPr/>
        <w:t>a.</w:t>
        <w:tab/>
        <w:t>based on DOE's emergency authority under section 202(c) of the Federal Power Act</w:t>
      </w:r>
    </w:p>
    <w:p>
      <w:pPr>
        <w:pStyle w:val="Normal"/>
        <w:widowControl/>
        <w:spacing w:before="0" w:after="120"/>
        <w:ind w:hanging="720" w:start="2880" w:end="0"/>
        <w:jc w:val="both"/>
        <w:rPr/>
      </w:pPr>
      <w:r>
        <w:rPr/>
        <w:t>b.</w:t>
        <w:tab/>
        <w:t>supported by data compiled by the Energy Information Administration ("EIA")(</w:t>
      </w:r>
      <w:r>
        <w:rPr>
          <w:i/>
        </w:rPr>
        <w:t>e.g.</w:t>
      </w:r>
      <w:r>
        <w:rPr/>
        <w:t xml:space="preserve"> increasing demand for power, decreasing construction of generation, nationwide implications).</w:t>
      </w:r>
    </w:p>
    <w:p>
      <w:pPr>
        <w:pStyle w:val="Normal"/>
        <w:widowControl/>
        <w:spacing w:before="0" w:after="120"/>
        <w:ind w:hanging="720" w:start="2880" w:end="0"/>
        <w:jc w:val="both"/>
        <w:rPr/>
      </w:pPr>
      <w:r>
        <w:rPr/>
        <w:t>c.</w:t>
        <w:tab/>
        <w:t>under section 404 of the Department of Energy Organization Act, the Federal Energy Regulatory Commission ("FERC") must be informed of proposed rule and has discretion to determine if contemplated interim rule would affect matters under FERC's jurisdiction.</w:t>
      </w:r>
    </w:p>
    <w:p>
      <w:pPr>
        <w:pStyle w:val="Normal"/>
        <w:widowControl/>
        <w:spacing w:before="0" w:after="120"/>
        <w:ind w:hanging="720" w:start="2880" w:end="0"/>
        <w:jc w:val="both"/>
        <w:rPr/>
      </w:pPr>
      <w:r>
        <w:rPr/>
        <w:t>d.</w:t>
        <w:tab/>
      </w:r>
      <w:r>
        <w:rPr>
          <w:u w:val="single"/>
        </w:rPr>
        <w:t>pro</w:t>
      </w:r>
      <w:r>
        <w:rPr/>
        <w:t>:  section 202(c) reaches generation, as well as transmission</w:t>
      </w:r>
    </w:p>
    <w:p>
      <w:pPr>
        <w:pStyle w:val="Normal"/>
        <w:widowControl/>
        <w:spacing w:before="0" w:after="120"/>
        <w:ind w:hanging="720" w:start="2880" w:end="0"/>
        <w:jc w:val="both"/>
        <w:rPr/>
      </w:pPr>
      <w:r>
        <w:rPr/>
        <w:t>e.</w:t>
        <w:tab/>
      </w:r>
      <w:r>
        <w:rPr>
          <w:u w:val="single"/>
        </w:rPr>
        <w:t>con</w:t>
      </w:r>
      <w:r>
        <w:rPr/>
        <w:t>:</w:t>
        <w:tab/>
        <w:t>potentially slowed by FERC's discretion over proposed rule</w:t>
      </w:r>
    </w:p>
    <w:p>
      <w:pPr>
        <w:pStyle w:val="Normal"/>
        <w:widowControl/>
        <w:tabs>
          <w:tab w:val="clear" w:pos="720"/>
          <w:tab w:val="left" w:pos="2160" w:leader="none"/>
        </w:tabs>
        <w:spacing w:before="0" w:after="120"/>
        <w:ind w:hanging="720" w:start="2160" w:end="0"/>
        <w:jc w:val="both"/>
        <w:rPr/>
      </w:pPr>
      <w:r>
        <w:rPr/>
        <w:t>2.</w:t>
        <w:tab/>
        <w:t>DOE would issue  an order detailing need for an interim emergency rule, but specifically delegates to FERC the job of preparing such a rule within a specific time period and without notice-and-comment</w:t>
      </w:r>
    </w:p>
    <w:p>
      <w:pPr>
        <w:pStyle w:val="Normal"/>
        <w:widowControl/>
        <w:spacing w:before="0" w:after="120"/>
        <w:ind w:hanging="720" w:start="2880" w:end="0"/>
        <w:jc w:val="both"/>
        <w:rPr/>
      </w:pPr>
      <w:r>
        <w:rPr/>
        <w:t>a.</w:t>
        <w:tab/>
        <w:t>based on emergency authority under section 202(c) of the Federal Power Act</w:t>
      </w:r>
    </w:p>
    <w:p>
      <w:pPr>
        <w:pStyle w:val="Normal"/>
        <w:widowControl/>
        <w:spacing w:before="0" w:after="120"/>
        <w:ind w:hanging="720" w:start="2880" w:end="0"/>
        <w:jc w:val="both"/>
        <w:rPr/>
      </w:pPr>
      <w:r>
        <w:rPr/>
        <w:t>b.</w:t>
        <w:tab/>
        <w:t>supported by data compiled by EIA</w:t>
      </w:r>
    </w:p>
    <w:p>
      <w:pPr>
        <w:pStyle w:val="Normal"/>
        <w:widowControl/>
        <w:spacing w:before="0" w:after="120"/>
        <w:ind w:hanging="720" w:start="2880" w:end="0"/>
        <w:jc w:val="both"/>
        <w:rPr/>
      </w:pPr>
      <w:r>
        <w:rPr/>
        <w:t>c.</w:t>
        <w:tab/>
      </w:r>
      <w:r>
        <w:rPr>
          <w:u w:val="single"/>
        </w:rPr>
        <w:t>pro</w:t>
      </w:r>
      <w:r>
        <w:rPr/>
        <w:t>:</w:t>
        <w:tab/>
        <w:t>both DOE and FERC are involved, have a stake in outcome and can get credit</w:t>
      </w:r>
    </w:p>
    <w:p>
      <w:pPr>
        <w:pStyle w:val="Normal"/>
        <w:widowControl/>
        <w:spacing w:before="0" w:after="120"/>
        <w:ind w:hanging="720" w:start="2880" w:end="0"/>
        <w:jc w:val="both"/>
        <w:rPr/>
      </w:pPr>
      <w:r>
        <w:rPr/>
        <w:t>d.</w:t>
        <w:tab/>
      </w:r>
      <w:r>
        <w:rPr>
          <w:u w:val="single"/>
        </w:rPr>
        <w:t>con</w:t>
      </w:r>
      <w:r>
        <w:rPr/>
        <w:t>:</w:t>
        <w:tab/>
        <w:t>requires smooth and quick cooperation between DOE and FERC.</w:t>
      </w:r>
    </w:p>
    <w:p>
      <w:pPr>
        <w:pStyle w:val="Normal"/>
        <w:widowControl/>
        <w:tabs>
          <w:tab w:val="clear" w:pos="720"/>
          <w:tab w:val="left" w:pos="2160" w:leader="none"/>
        </w:tabs>
        <w:spacing w:before="0" w:after="120"/>
        <w:ind w:hanging="720" w:start="2160" w:end="0"/>
        <w:jc w:val="both"/>
        <w:rPr/>
      </w:pPr>
      <w:r>
        <w:rPr/>
        <w:t>3.</w:t>
        <w:tab/>
        <w:t xml:space="preserve">FERC would issues a "show cause" order followed by an emergency interim rule without notice-and-comment </w:t>
      </w:r>
    </w:p>
    <w:p>
      <w:pPr>
        <w:pStyle w:val="Normal"/>
        <w:widowControl/>
        <w:spacing w:before="0" w:after="120"/>
        <w:ind w:hanging="720" w:start="2880" w:end="0"/>
        <w:jc w:val="both"/>
        <w:rPr/>
      </w:pPr>
      <w:r>
        <w:rPr/>
        <w:t>a.</w:t>
        <w:tab/>
        <w:t>based on ratemaking and investigative authority under sections 205, 206 and 307 of the Federal Power Act</w:t>
      </w:r>
    </w:p>
    <w:p>
      <w:pPr>
        <w:pStyle w:val="Normal"/>
        <w:widowControl/>
        <w:spacing w:before="0" w:after="120"/>
        <w:ind w:hanging="720" w:start="2880" w:end="0"/>
        <w:jc w:val="both"/>
        <w:rPr/>
      </w:pPr>
      <w:r>
        <w:rPr/>
        <w:t>b.</w:t>
        <w:tab/>
        <w:t xml:space="preserve">"show cause" order would be supported by data supplied by EIA </w:t>
      </w:r>
    </w:p>
    <w:p>
      <w:pPr>
        <w:pStyle w:val="Normal"/>
        <w:widowControl/>
        <w:spacing w:before="0" w:after="120"/>
        <w:ind w:hanging="720" w:start="2880" w:end="0"/>
        <w:jc w:val="both"/>
        <w:rPr/>
      </w:pPr>
      <w:r>
        <w:rPr/>
        <w:t>c.</w:t>
        <w:tab/>
      </w:r>
      <w:r>
        <w:rPr>
          <w:u w:val="single"/>
        </w:rPr>
        <w:t>pro</w:t>
      </w:r>
      <w:r>
        <w:rPr/>
        <w:t>:</w:t>
        <w:tab/>
        <w:t>"show cause" order (with short turn-around time, such as 30 days), would give interested parties an opportunity to be heard prior to issuance of order</w:t>
      </w:r>
    </w:p>
    <w:p>
      <w:pPr>
        <w:pStyle w:val="Normal"/>
        <w:widowControl/>
        <w:spacing w:before="0" w:after="120"/>
        <w:ind w:hanging="720" w:start="2880" w:end="0"/>
        <w:jc w:val="both"/>
        <w:rPr/>
      </w:pPr>
      <w:r>
        <w:rPr/>
        <w:t>d.</w:t>
        <w:tab/>
      </w:r>
      <w:r>
        <w:rPr>
          <w:u w:val="single"/>
        </w:rPr>
        <w:t>con</w:t>
      </w:r>
      <w:r>
        <w:rPr/>
        <w:t>:</w:t>
        <w:tab/>
        <w:t>use of "show cause" order prior to issuance of interim rule could potentially slow down process, depending on issues raised by commenters</w:t>
      </w:r>
    </w:p>
    <w:p>
      <w:pPr>
        <w:pStyle w:val="Normal"/>
        <w:widowControl/>
        <w:spacing w:before="0" w:after="120"/>
        <w:ind w:hanging="720" w:start="2880" w:end="0"/>
        <w:jc w:val="both"/>
        <w:rPr/>
      </w:pPr>
      <w:r>
        <w:rPr/>
        <w:t>e.</w:t>
        <w:tab/>
      </w:r>
      <w:r>
        <w:rPr>
          <w:u w:val="single"/>
        </w:rPr>
        <w:t>pro</w:t>
      </w:r>
      <w:r>
        <w:rPr/>
        <w:t>:</w:t>
        <w:tab/>
        <w:t>potentially quicker than waiting for DOE to issue an order delegating rulemaking task to FERC</w:t>
      </w:r>
    </w:p>
    <w:p>
      <w:pPr>
        <w:pStyle w:val="Normal"/>
        <w:widowControl/>
        <w:spacing w:before="0" w:after="120"/>
        <w:ind w:hanging="720" w:start="2880" w:end="0"/>
        <w:jc w:val="both"/>
        <w:rPr/>
      </w:pPr>
      <w:r>
        <w:rPr/>
        <w:t>f.</w:t>
        <w:tab/>
      </w:r>
      <w:r>
        <w:rPr>
          <w:u w:val="single"/>
        </w:rPr>
        <w:t>con</w:t>
      </w:r>
      <w:r>
        <w:rPr/>
        <w:t>:</w:t>
        <w:tab/>
        <w:t>no overt DOE involvement,  no stake for DOE.</w:t>
      </w:r>
    </w:p>
    <w:p>
      <w:pPr>
        <w:pStyle w:val="Normal"/>
        <w:widowControl/>
        <w:spacing w:before="0" w:after="120"/>
        <w:ind w:hanging="720" w:start="2880" w:end="0"/>
        <w:jc w:val="both"/>
        <w:rPr/>
      </w:pPr>
      <w:r>
        <w:rPr/>
        <w:t>g.</w:t>
        <w:tab/>
        <w:t xml:space="preserve">interim rule vulnerable under court </w:t>
      </w:r>
      <w:r>
        <w:rPr>
          <w:i/>
        </w:rPr>
        <w:t>Mid-Tex</w:t>
      </w:r>
      <w:r>
        <w:rPr/>
        <w:t xml:space="preserve"> decision</w:t>
      </w:r>
    </w:p>
    <w:p>
      <w:pPr>
        <w:pStyle w:val="Normal"/>
        <w:widowControl/>
        <w:spacing w:before="0" w:after="120"/>
        <w:ind w:hanging="720" w:start="2880" w:end="0"/>
        <w:jc w:val="both"/>
        <w:rPr/>
      </w:pPr>
      <w:r>
        <w:rPr/>
        <w:t>h.</w:t>
        <w:tab/>
        <w:t>interim rule vulnerable to argument that §202(c) is vehicle for addressing emergencies.</w:t>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s>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Normal"/>
      <w:tabs>
        <w:tab w:val="clear" w:pos="720"/>
        <w:tab w:val="center" w:pos="4680" w:leader="none"/>
      </w:tabs>
      <w:jc w:val="both"/>
      <w:rPr>
        <w:sz w:val="16"/>
      </w:rPr>
    </w:pPr>
    <w:r>
      <w:rPr>
        <w:sz w:val="16"/>
      </w:rPr>
      <w:t>DC:98263 v 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pStyle w:val="Heading1"/>
      <w:numFmt w:val="upperRoman"/>
      <w:lvlText w:val="%1."/>
      <w:lvlJc w:val="start"/>
      <w:pPr>
        <w:tabs>
          <w:tab w:val="num" w:pos="72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numPr>
        <w:ilvl w:val="0"/>
        <w:numId w:val="1"/>
      </w:numPr>
      <w:outlineLvl w:val="0"/>
    </w:pPr>
    <w:rPr>
      <w:b/>
    </w:rPr>
  </w:style>
  <w:style w:type="character" w:styleId="WW8Num1z0">
    <w:name w:val="WW8Num1z0"/>
    <w:qFormat/>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character" w:styleId="EndnoteCharacters">
    <w:name w:val="End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pPr>
    <w:rPr>
      <w:lang w:eastAsia="en-CA"/>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DocumentLabel">
    <w:name w:val="Document Label"/>
    <w:basedOn w:val="Normal"/>
    <w:next w:val="BodyText"/>
    <w:qFormat/>
    <w:pPr>
      <w:keepNext w:val="true"/>
      <w:keepLines/>
      <w:widowControl/>
      <w:spacing w:before="120" w:after="240"/>
    </w:pPr>
    <w:rPr>
      <w:b/>
      <w:caps/>
      <w:spacing w:val="180"/>
      <w:kern w:val="2"/>
      <w:sz w:val="32"/>
      <w:lang w:eastAsia="en-C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spacing w:before="0" w:after="240"/>
      <w:ind w:hanging="0" w:start="432" w:end="0"/>
      <w:jc w:val="both"/>
    </w:pPr>
    <w:rPr/>
  </w:style>
  <w:style w:type="paragraph" w:styleId="EndnoteText">
    <w:name w:val="endnote text"/>
    <w:basedOn w:val="Normal"/>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2000-08-08T15:17:00Z</dcterms:created>
  <dc:creator>System Administration</dc:creator>
  <dc:description/>
  <dc:language>en-CA</dc:language>
  <cp:lastModifiedBy>Systems Administrator</cp:lastModifiedBy>
  <cp:lastPrinted>2000-08-08T13:47:00Z</cp:lastPrinted>
  <dcterms:modified xsi:type="dcterms:W3CDTF">2000-08-08T15:17:00Z</dcterms:modified>
  <cp:revision>2</cp:revision>
  <dc:subject/>
  <dc:title>MEMORANDUM</dc:title>
</cp:coreProperties>
</file>