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u w:val="none"/>
        </w:rPr>
      </w:pPr>
      <w:r>
        <w:rPr>
          <w:u w:val="none"/>
        </w:rPr>
        <w:t>POWER MARKETING TRANSACTIONS</w:t>
      </w:r>
    </w:p>
    <w:p>
      <w:pPr>
        <w:pStyle w:val="Heading2"/>
        <w:jc w:val="center"/>
        <w:rPr>
          <w:rFonts w:ascii="Times New Roman" w:hAnsi="Times New Roman" w:cs="Times New Roman"/>
          <w:b/>
          <w:sz w:val="24"/>
        </w:rPr>
      </w:pPr>
      <w:r>
        <w:rPr>
          <w:rFonts w:cs="Times New Roman" w:ascii="Times New Roman" w:hAnsi="Times New Roman"/>
          <w:b/>
          <w:sz w:val="24"/>
        </w:rPr>
        <w:t>Using Master Contracts to Mitigate Risk</w:t>
      </w:r>
    </w:p>
    <w:p>
      <w:pPr>
        <w:pStyle w:val="Normal"/>
        <w:jc w:val="center"/>
        <w:rPr>
          <w:b/>
        </w:rPr>
      </w:pPr>
      <w:r>
        <w:rPr>
          <w:b/>
        </w:rPr>
        <w:t>April 18-19, 2001</w:t>
      </w:r>
    </w:p>
    <w:p>
      <w:pPr>
        <w:pStyle w:val="Normal"/>
        <w:jc w:val="center"/>
        <w:rPr>
          <w:b/>
        </w:rPr>
      </w:pPr>
      <w:r>
        <w:rPr>
          <w:b/>
        </w:rPr>
        <w:t>Newport Beach, California</w:t>
      </w:r>
    </w:p>
    <w:p>
      <w:pPr>
        <w:pStyle w:val="Normal"/>
        <w:jc w:val="center"/>
        <w:rPr>
          <w:b/>
        </w:rPr>
      </w:pPr>
      <w:r>
        <w:rPr>
          <w:b/>
        </w:rPr>
      </w:r>
    </w:p>
    <w:p>
      <w:pPr>
        <w:pStyle w:val="Normal"/>
        <w:jc w:val="center"/>
        <w:rPr>
          <w:b/>
        </w:rPr>
      </w:pPr>
      <w:r>
        <w:rPr>
          <w:b/>
        </w:rPr>
        <w:t>Prepared by:</w:t>
      </w:r>
    </w:p>
    <w:p>
      <w:pPr>
        <w:pStyle w:val="Normal"/>
        <w:jc w:val="center"/>
        <w:rPr>
          <w:b/>
        </w:rPr>
      </w:pPr>
      <w:r>
        <w:rPr>
          <w:b/>
        </w:rPr>
        <w:t>Dede Russo</w:t>
      </w:r>
    </w:p>
    <w:p>
      <w:pPr>
        <w:pStyle w:val="Normal"/>
        <w:jc w:val="center"/>
        <w:rPr>
          <w:b/>
        </w:rPr>
      </w:pPr>
      <w:r>
        <w:rPr>
          <w:b/>
        </w:rPr>
        <w:t>Reliant Energy Services, Inc.</w:t>
      </w:r>
    </w:p>
    <w:p>
      <w:pPr>
        <w:pStyle w:val="Heading1"/>
        <w:rPr>
          <w:b w:val="false"/>
        </w:rPr>
      </w:pPr>
      <w:r>
        <w:rPr>
          <w:b w:val="false"/>
        </w:rPr>
      </w:r>
    </w:p>
    <w:p>
      <w:pPr>
        <w:pStyle w:val="Heading1"/>
        <w:rPr/>
      </w:pPr>
      <w:r>
        <w:rPr/>
      </w:r>
    </w:p>
    <w:p>
      <w:pPr>
        <w:pStyle w:val="Heading1"/>
        <w:rPr/>
      </w:pPr>
      <w:r>
        <w:rPr/>
        <w:t>OPTIONAL PROVISIONS</w:t>
      </w:r>
    </w:p>
    <w:p>
      <w:pPr>
        <w:pStyle w:val="Normal"/>
        <w:rPr>
          <w:sz w:val="28"/>
        </w:rPr>
      </w:pPr>
      <w:r>
        <w:rPr>
          <w:sz w:val="28"/>
        </w:rPr>
      </w:r>
    </w:p>
    <w:p>
      <w:pPr>
        <w:pStyle w:val="BodyText2"/>
        <w:rPr/>
      </w:pPr>
      <w:r>
        <w:rPr/>
        <w:t>The following is a collection of optional provisions that can be added to the EEI Cover Sheet.  They have either been provided by various participants on the Legal Drafting Committee or are excerpts from Reliant’s Standard Form EEI Cover Sheet and may not be appropriate for inclusion on all EEI Cover Sheets.</w:t>
      </w:r>
    </w:p>
    <w:p>
      <w:pPr>
        <w:pStyle w:val="Normal"/>
        <w:jc w:val="both"/>
        <w:rPr>
          <w:sz w:val="28"/>
        </w:rPr>
      </w:pPr>
      <w:r>
        <w:rPr>
          <w:sz w:val="28"/>
        </w:rPr>
      </w:r>
    </w:p>
    <w:p>
      <w:pPr>
        <w:pStyle w:val="Normal"/>
        <w:numPr>
          <w:ilvl w:val="0"/>
          <w:numId w:val="10"/>
        </w:numPr>
        <w:jc w:val="both"/>
        <w:rPr/>
      </w:pPr>
      <w:r>
        <w:rPr/>
        <w:t>Incorporation of Outstanding Transactions into EEI:</w:t>
      </w:r>
    </w:p>
    <w:p>
      <w:pPr>
        <w:pStyle w:val="Normal"/>
        <w:jc w:val="both"/>
        <w:rPr/>
      </w:pPr>
      <w:r>
        <w:rPr/>
      </w:r>
    </w:p>
    <w:p>
      <w:pPr>
        <w:pStyle w:val="BodyText"/>
        <w:tabs>
          <w:tab w:val="clear" w:pos="1440"/>
          <w:tab w:val="left" w:pos="720" w:leader="none"/>
        </w:tabs>
        <w:ind w:start="720" w:end="0"/>
        <w:jc w:val="both"/>
        <w:rPr>
          <w:rFonts w:ascii="Times New Roman" w:hAnsi="Times New Roman" w:cs="Times New Roman"/>
        </w:rPr>
      </w:pPr>
      <w:r>
        <w:rPr>
          <w:rFonts w:cs="Times New Roman" w:ascii="Times New Roman" w:hAnsi="Times New Roman"/>
        </w:rPr>
        <w:t>To mitigate exposure resulting from outstanding obligations and liabilities, it is sometimes advisable to bring all outstanding transactions in under the EEI Agreement.  This can be accommodated simply by adding a provision similar to the following on the Cover Sheet.</w:t>
      </w:r>
    </w:p>
    <w:p>
      <w:pPr>
        <w:pStyle w:val="BodyText"/>
        <w:tabs>
          <w:tab w:val="clear" w:pos="1440"/>
          <w:tab w:val="left" w:pos="720" w:leader="none"/>
        </w:tabs>
        <w:ind w:start="720" w:end="0"/>
        <w:jc w:val="both"/>
        <w:rPr>
          <w:rFonts w:ascii="Times New Roman" w:hAnsi="Times New Roman" w:cs="Times New Roman"/>
        </w:rPr>
      </w:pPr>
      <w:r>
        <w:rPr>
          <w:rFonts w:cs="Times New Roman" w:ascii="Times New Roman" w:hAnsi="Times New Roman"/>
        </w:rPr>
        <w:t>Prior Transactions.  The following is added as a separate second paragraph of Section 2.2:</w:t>
      </w:r>
    </w:p>
    <w:p>
      <w:pPr>
        <w:pStyle w:val="Normal"/>
        <w:spacing w:lineRule="atLeast" w:line="240"/>
        <w:jc w:val="both"/>
        <w:rPr>
          <w:color w:val="000000"/>
          <w:lang w:eastAsia="en-US"/>
        </w:rPr>
      </w:pPr>
      <w:r>
        <w:rPr>
          <w:color w:val="000000"/>
          <w:lang w:eastAsia="en-US"/>
        </w:rPr>
        <w:t xml:space="preserve"> </w:t>
      </w:r>
    </w:p>
    <w:p>
      <w:pPr>
        <w:pStyle w:val="BodyTextIndent"/>
        <w:ind w:start="1440" w:end="0"/>
        <w:jc w:val="both"/>
        <w:rPr/>
      </w:pPr>
      <w:r>
        <w:rPr/>
        <w:t>"Party A and Party B confirm that this Master Agreement shall supersede and replace all prior agreements between the Parties hereto with respect to the subject matter hereof, including the __________ Agreement dated as of __________.  Party A and Party B confirm the terms of those Transactions referenced on Attachment A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w:t>
      </w:r>
    </w:p>
    <w:p>
      <w:pPr>
        <w:pStyle w:val="BodyTextIndent"/>
        <w:ind w:start="0" w:end="0"/>
        <w:jc w:val="both"/>
        <w:rPr/>
      </w:pPr>
      <w:r>
        <w:rPr/>
      </w:r>
    </w:p>
    <w:p>
      <w:pPr>
        <w:pStyle w:val="BodyTextIndent"/>
        <w:numPr>
          <w:ilvl w:val="0"/>
          <w:numId w:val="10"/>
        </w:numPr>
        <w:jc w:val="both"/>
        <w:rPr/>
      </w:pPr>
      <w:r>
        <w:rPr/>
        <w:t>New Taxes:</w:t>
      </w:r>
    </w:p>
    <w:p>
      <w:pPr>
        <w:pStyle w:val="BodyTextIndent"/>
        <w:ind w:start="0" w:end="0"/>
        <w:jc w:val="both"/>
        <w:rPr/>
      </w:pPr>
      <w:r>
        <w:rPr/>
      </w:r>
    </w:p>
    <w:p>
      <w:pPr>
        <w:pStyle w:val="BodyTextIndent"/>
        <w:jc w:val="both"/>
        <w:rPr/>
      </w:pPr>
      <w:r>
        <w:rPr/>
        <w:t>Some participants believe that it is appropriate to add a New Tax provision when longer term transactions are contemplated.  The following are examples of such provisions:</w:t>
      </w:r>
    </w:p>
    <w:p>
      <w:pPr>
        <w:pStyle w:val="BodyTextIndent"/>
        <w:jc w:val="both"/>
        <w:rPr/>
      </w:pPr>
      <w:r>
        <w:rPr/>
      </w:r>
    </w:p>
    <w:p>
      <w:pPr>
        <w:pStyle w:val="BodyTextIndent"/>
        <w:numPr>
          <w:ilvl w:val="0"/>
          <w:numId w:val="8"/>
        </w:numPr>
        <w:tabs>
          <w:tab w:val="clear" w:pos="720"/>
          <w:tab w:val="left" w:pos="1440" w:leader="none"/>
        </w:tabs>
        <w:jc w:val="both"/>
        <w:rPr/>
      </w:pPr>
      <w:r>
        <w:rPr/>
        <w:t>Excerpt from Broadband Agreement which is posted on the Comptel website:</w:t>
      </w:r>
    </w:p>
    <w:p>
      <w:pPr>
        <w:pStyle w:val="BodyTextIndent"/>
        <w:tabs>
          <w:tab w:val="clear" w:pos="720"/>
          <w:tab w:val="left" w:pos="1440" w:leader="none"/>
        </w:tabs>
        <w:jc w:val="both"/>
        <w:rPr/>
      </w:pPr>
      <w:r>
        <w:rPr/>
      </w:r>
    </w:p>
    <w:p>
      <w:pPr>
        <w:pStyle w:val="Normal"/>
        <w:ind w:firstLine="720" w:start="720" w:end="0"/>
        <w:jc w:val="both"/>
        <w:rPr/>
      </w:pPr>
      <w:r>
        <w:rPr>
          <w:b/>
          <w:u w:val="single"/>
        </w:rPr>
        <w:t>New Taxes.</w:t>
      </w:r>
      <w:r>
        <w:rPr>
          <w:b/>
        </w:rPr>
        <w:t xml:space="preserve">  </w:t>
      </w:r>
      <w:r>
        <w:rPr/>
        <w:t>If the Parties have elected on the Cover Sheet to have this Section is applicable, then the following shall apply:</w:t>
      </w:r>
    </w:p>
    <w:p>
      <w:pPr>
        <w:pStyle w:val="Normal"/>
        <w:ind w:firstLine="720" w:start="720" w:end="0"/>
        <w:jc w:val="both"/>
        <w:rPr>
          <w:u w:val="single"/>
        </w:rPr>
      </w:pPr>
      <w:r>
        <w:rPr>
          <w:u w:val="single"/>
        </w:rPr>
      </w:r>
    </w:p>
    <w:p>
      <w:pPr>
        <w:pStyle w:val="Normal"/>
        <w:tabs>
          <w:tab w:val="clear" w:pos="720"/>
          <w:tab w:val="left" w:pos="2160" w:leader="none"/>
        </w:tabs>
        <w:ind w:start="1440" w:end="0"/>
        <w:jc w:val="both"/>
        <w:rPr/>
      </w:pPr>
      <w:r>
        <w:rPr/>
        <w:t>(a)</w:t>
        <w:tab/>
      </w:r>
      <w:r>
        <w:rPr>
          <w:u w:val="single"/>
        </w:rPr>
        <w:t>Pass-Through Taxes.</w:t>
      </w:r>
      <w:r>
        <w:rPr/>
        <w:t xml:space="preserve"> If,</w:t>
      </w:r>
    </w:p>
    <w:p>
      <w:pPr>
        <w:pStyle w:val="Normal"/>
        <w:ind w:start="1440" w:end="0"/>
        <w:jc w:val="both"/>
        <w:rPr/>
      </w:pPr>
      <w:r>
        <w:rPr/>
      </w:r>
    </w:p>
    <w:p>
      <w:pPr>
        <w:pStyle w:val="Normal"/>
        <w:numPr>
          <w:ilvl w:val="0"/>
          <w:numId w:val="6"/>
        </w:numPr>
        <w:jc w:val="both"/>
        <w:rPr/>
      </w:pPr>
      <w:r>
        <w:rPr/>
        <w:t xml:space="preserve">New Tax occurs which affects any Transaction, </w:t>
      </w:r>
      <w:r>
        <w:rPr>
          <w:u w:val="single"/>
        </w:rPr>
        <w:t>and</w:t>
      </w:r>
      <w:r>
        <w:rPr/>
        <w:t xml:space="preserve"> </w:t>
      </w:r>
    </w:p>
    <w:p>
      <w:pPr>
        <w:pStyle w:val="Normal"/>
        <w:tabs>
          <w:tab w:val="clear" w:pos="720"/>
          <w:tab w:val="left" w:pos="2880" w:leader="none"/>
        </w:tabs>
        <w:ind w:start="2160" w:end="0"/>
        <w:jc w:val="both"/>
        <w:rPr/>
      </w:pPr>
      <w:r>
        <w:rPr/>
      </w:r>
    </w:p>
    <w:p>
      <w:pPr>
        <w:pStyle w:val="Normal"/>
        <w:numPr>
          <w:ilvl w:val="0"/>
          <w:numId w:val="6"/>
        </w:numPr>
        <w:jc w:val="both"/>
        <w:rPr/>
      </w:pPr>
      <w:r>
        <w:rPr/>
        <w:t xml:space="preserve">Buyer would be responsible for such New Tax if it were a Tax under Section _____, </w:t>
      </w:r>
      <w:r>
        <w:rPr>
          <w:u w:val="single"/>
        </w:rPr>
        <w:t>and</w:t>
      </w:r>
      <w:r>
        <w:rPr/>
        <w:t xml:space="preserve"> </w:t>
      </w:r>
    </w:p>
    <w:p>
      <w:pPr>
        <w:pStyle w:val="Normal"/>
        <w:jc w:val="both"/>
        <w:rPr/>
      </w:pPr>
      <w:r>
        <w:rPr/>
      </w:r>
    </w:p>
    <w:p>
      <w:pPr>
        <w:pStyle w:val="Normal"/>
        <w:numPr>
          <w:ilvl w:val="0"/>
          <w:numId w:val="6"/>
        </w:numPr>
        <w:jc w:val="both"/>
        <w:rPr/>
      </w:pPr>
      <w:r>
        <w:rPr/>
        <w:t xml:space="preserve">such New Tax is, due to and on the basis of laws, regulations and applicable contracts of Buyer in effect as of the effective date of the New Tax, of the type which Buyer can pass directly through to, or be reimbursed by, another Person other than Seller, </w:t>
      </w:r>
    </w:p>
    <w:p>
      <w:pPr>
        <w:pStyle w:val="Normal"/>
        <w:jc w:val="both"/>
        <w:rPr/>
      </w:pPr>
      <w:r>
        <w:rPr/>
      </w:r>
    </w:p>
    <w:p>
      <w:pPr>
        <w:pStyle w:val="BodyTextIndent2"/>
        <w:jc w:val="both"/>
        <w:rPr/>
      </w:pPr>
      <w:r>
        <w:rPr/>
        <w:t xml:space="preserve">Then Buyer shall pay or cause to be paid (or reimburse Seller if Seller has paid) all such New Taxes, and Buyer shall indemnify, defend and hold harmless Seller from any Claims for such New Taxes.  </w:t>
      </w:r>
    </w:p>
    <w:p>
      <w:pPr>
        <w:pStyle w:val="BodyTextIndent2"/>
        <w:jc w:val="both"/>
        <w:rPr/>
      </w:pPr>
      <w:r>
        <w:rPr/>
      </w:r>
    </w:p>
    <w:p>
      <w:pPr>
        <w:pStyle w:val="Normal"/>
        <w:ind w:firstLine="720" w:start="720" w:end="0"/>
        <w:jc w:val="both"/>
        <w:rPr/>
      </w:pPr>
      <w:r>
        <w:rPr/>
        <w:t>(b)</w:t>
        <w:tab/>
      </w:r>
      <w:r>
        <w:rPr>
          <w:u w:val="single"/>
        </w:rPr>
        <w:t>Non-Pass Through Taxes</w:t>
      </w:r>
      <w:r>
        <w:rPr/>
        <w:t xml:space="preserve">. If, </w:t>
      </w:r>
    </w:p>
    <w:p>
      <w:pPr>
        <w:pStyle w:val="Normal"/>
        <w:ind w:start="720" w:end="0"/>
        <w:jc w:val="both"/>
        <w:rPr/>
      </w:pPr>
      <w:r>
        <w:rPr/>
      </w:r>
    </w:p>
    <w:p>
      <w:pPr>
        <w:pStyle w:val="Normal"/>
        <w:numPr>
          <w:ilvl w:val="0"/>
          <w:numId w:val="3"/>
        </w:numPr>
        <w:tabs>
          <w:tab w:val="clear" w:pos="720"/>
          <w:tab w:val="left" w:pos="2160" w:leader="none"/>
        </w:tabs>
        <w:jc w:val="both"/>
        <w:rPr>
          <w:u w:val="single"/>
        </w:rPr>
      </w:pPr>
      <w:r>
        <w:rPr/>
        <w:t xml:space="preserve">any material New Tax occurs as to any Transaction, </w:t>
      </w:r>
      <w:r>
        <w:rPr>
          <w:u w:val="single"/>
        </w:rPr>
        <w:t>and</w:t>
      </w:r>
    </w:p>
    <w:p>
      <w:pPr>
        <w:pStyle w:val="Normal"/>
        <w:tabs>
          <w:tab w:val="clear" w:pos="720"/>
          <w:tab w:val="left" w:pos="2160" w:leader="none"/>
          <w:tab w:val="left" w:pos="2880" w:leader="none"/>
        </w:tabs>
        <w:ind w:start="2160" w:end="0"/>
        <w:jc w:val="both"/>
        <w:rPr>
          <w:u w:val="single"/>
        </w:rPr>
      </w:pPr>
      <w:r>
        <w:rPr>
          <w:u w:val="single"/>
        </w:rPr>
      </w:r>
    </w:p>
    <w:p>
      <w:pPr>
        <w:pStyle w:val="Normal"/>
        <w:numPr>
          <w:ilvl w:val="0"/>
          <w:numId w:val="3"/>
        </w:numPr>
        <w:jc w:val="both"/>
        <w:rPr>
          <w:u w:val="single"/>
        </w:rPr>
      </w:pPr>
      <w:r>
        <w:rPr/>
        <w:t xml:space="preserve">Buyer would be responsible for such New Tax if it were a Tax under Section (a) above, </w:t>
      </w:r>
      <w:r>
        <w:rPr>
          <w:u w:val="single"/>
        </w:rPr>
        <w:t>and</w:t>
      </w:r>
    </w:p>
    <w:p>
      <w:pPr>
        <w:pStyle w:val="Normal"/>
        <w:jc w:val="both"/>
        <w:rPr>
          <w:u w:val="single"/>
        </w:rPr>
      </w:pPr>
      <w:r>
        <w:rPr>
          <w:u w:val="single"/>
        </w:rPr>
      </w:r>
    </w:p>
    <w:p>
      <w:pPr>
        <w:pStyle w:val="Normal"/>
        <w:numPr>
          <w:ilvl w:val="0"/>
          <w:numId w:val="3"/>
        </w:numPr>
        <w:jc w:val="both"/>
        <w:rPr/>
      </w:pPr>
      <w:r>
        <w:rPr/>
        <w:t xml:space="preserve">clause (a) above does not apply, </w:t>
      </w:r>
    </w:p>
    <w:p>
      <w:pPr>
        <w:pStyle w:val="Normal"/>
        <w:ind w:start="2160" w:end="0"/>
        <w:jc w:val="both"/>
        <w:rPr/>
      </w:pPr>
      <w:r>
        <w:rPr/>
      </w:r>
    </w:p>
    <w:p>
      <w:pPr>
        <w:pStyle w:val="BodyTextIndent3"/>
        <w:jc w:val="both"/>
        <w:rPr/>
      </w:pPr>
      <w:r>
        <w:rPr/>
        <w:tab/>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New Taxes shall be allocated as if they were Taxes as provided in Section ____:  </w:t>
      </w:r>
    </w:p>
    <w:p>
      <w:pPr>
        <w:pStyle w:val="BodyTextIndent3"/>
        <w:jc w:val="both"/>
        <w:rPr/>
      </w:pPr>
      <w:r>
        <w:rPr/>
      </w:r>
    </w:p>
    <w:p>
      <w:pPr>
        <w:pStyle w:val="Normal"/>
        <w:numPr>
          <w:ilvl w:val="0"/>
          <w:numId w:val="13"/>
        </w:numPr>
        <w:tabs>
          <w:tab w:val="clear" w:pos="720"/>
          <w:tab w:val="left" w:pos="1440" w:leader="none"/>
        </w:tabs>
        <w:jc w:val="both"/>
        <w:rPr/>
      </w:pPr>
      <w:r>
        <w:rPr/>
        <w:t>Buyer must give the Seller at least 30 Days prior notice (“</w:t>
      </w:r>
      <w:r>
        <w:rPr>
          <w:b/>
          <w:u w:val="single"/>
        </w:rPr>
        <w:t>Agreement Period</w:t>
      </w:r>
      <w:r>
        <w:rPr/>
        <w:t xml:space="preserve">”) of its intent to declare an Early Termination Date pursuant to Section ____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Normal"/>
        <w:tabs>
          <w:tab w:val="clear" w:pos="720"/>
          <w:tab w:val="left" w:pos="1440" w:leader="none"/>
        </w:tabs>
        <w:ind w:start="1440" w:end="0"/>
        <w:jc w:val="both"/>
        <w:rPr/>
      </w:pPr>
      <w:r>
        <w:rPr/>
      </w:r>
    </w:p>
    <w:p>
      <w:pPr>
        <w:pStyle w:val="Normal"/>
        <w:numPr>
          <w:ilvl w:val="0"/>
          <w:numId w:val="13"/>
        </w:numPr>
        <w:jc w:val="both"/>
        <w:rPr/>
      </w:pPr>
      <w:r>
        <w:rPr/>
        <w:t xml:space="preserve">if a mutual sharing agreement is not reached, Seller shall have the right, but not the obligation, upon written notice to the Buyer within the Agreement Period, to pay the New Tax for any continuous period it so elects on a Period to Period basis, and in such case, Buyer shall not have the right during such continuous period to declare an Early Termination Date on the basis of the New Taxes, </w:t>
      </w:r>
    </w:p>
    <w:p>
      <w:pPr>
        <w:pStyle w:val="Normal"/>
        <w:jc w:val="both"/>
        <w:rPr/>
      </w:pPr>
      <w:r>
        <w:rPr/>
      </w:r>
    </w:p>
    <w:p>
      <w:pPr>
        <w:pStyle w:val="Normal"/>
        <w:numPr>
          <w:ilvl w:val="0"/>
          <w:numId w:val="13"/>
        </w:numPr>
        <w:jc w:val="both"/>
        <w:rPr/>
      </w:pPr>
      <w:r>
        <w:rPr/>
        <w:t xml:space="preserve">should Seller at its election agree to pay the New Tax on a Period to Period basis, then upon 30 Days prior notice to Buyer of its election to cease payment of such New Tax, Buyer shall then be liable for the payment of the New Tax and the Parties shall again be subject to this Section as if the New Tax had an effective date as of the date Seller ceased payment of such New Tax, </w:t>
      </w:r>
    </w:p>
    <w:p>
      <w:pPr>
        <w:pStyle w:val="Normal"/>
        <w:jc w:val="both"/>
        <w:rPr/>
      </w:pPr>
      <w:r>
        <w:rPr/>
      </w:r>
    </w:p>
    <w:p>
      <w:pPr>
        <w:pStyle w:val="Normal"/>
        <w:numPr>
          <w:ilvl w:val="0"/>
          <w:numId w:val="13"/>
        </w:numPr>
        <w:jc w:val="both"/>
        <w:rPr/>
      </w:pPr>
      <w:r>
        <w:rPr/>
        <w:t xml:space="preserve">if a mutual sharing agreement is not reached and the Seller does not elect to pay the New Tax for any period of time within the Agreement Period, the Early Termination Date shall take effect as to the affected Transaction(s), </w:t>
      </w:r>
    </w:p>
    <w:p>
      <w:pPr>
        <w:pStyle w:val="Normal"/>
        <w:jc w:val="both"/>
        <w:rPr/>
      </w:pPr>
      <w:r>
        <w:rPr/>
      </w:r>
    </w:p>
    <w:p>
      <w:pPr>
        <w:pStyle w:val="Normal"/>
        <w:numPr>
          <w:ilvl w:val="0"/>
          <w:numId w:val="13"/>
        </w:numPr>
        <w:jc w:val="both"/>
        <w:rPr/>
      </w:pPr>
      <w:r>
        <w:rPr/>
        <w:t xml:space="preserve">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____,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Normal"/>
        <w:jc w:val="both"/>
        <w:rPr/>
      </w:pPr>
      <w:r>
        <w:rPr/>
      </w:r>
    </w:p>
    <w:p>
      <w:pPr>
        <w:pStyle w:val="Normal"/>
        <w:numPr>
          <w:ilvl w:val="0"/>
          <w:numId w:val="13"/>
        </w:numPr>
        <w:jc w:val="both"/>
        <w:rPr/>
      </w:pPr>
      <w:r>
        <w:rPr/>
        <w:t>such Early Termination Payment shall be payable as provided in Section ____.</w:t>
      </w:r>
    </w:p>
    <w:p>
      <w:pPr>
        <w:pStyle w:val="Normal"/>
        <w:jc w:val="both"/>
        <w:rPr/>
      </w:pPr>
      <w:r>
        <w:rPr/>
      </w:r>
    </w:p>
    <w:p>
      <w:pPr>
        <w:pStyle w:val="Normal"/>
        <w:numPr>
          <w:ilvl w:val="0"/>
          <w:numId w:val="8"/>
        </w:numPr>
        <w:tabs>
          <w:tab w:val="clear" w:pos="720"/>
          <w:tab w:val="left" w:pos="1440" w:leader="none"/>
        </w:tabs>
        <w:jc w:val="both"/>
        <w:rPr/>
      </w:pPr>
      <w:r>
        <w:rPr/>
        <w:t>Excerpt from a long-term PPA form used by Reliant:</w:t>
      </w:r>
    </w:p>
    <w:p>
      <w:pPr>
        <w:pStyle w:val="Normal"/>
        <w:ind w:start="720" w:end="0"/>
        <w:jc w:val="both"/>
        <w:rPr/>
      </w:pPr>
      <w:r>
        <w:rPr/>
      </w:r>
    </w:p>
    <w:p>
      <w:pPr>
        <w:pStyle w:val="Heading2"/>
        <w:keepNext w:val="true"/>
        <w:ind w:firstLine="1080" w:start="360" w:end="0"/>
        <w:rPr/>
      </w:pPr>
      <w:r>
        <w:rPr>
          <w:rFonts w:cs="Times New Roman" w:ascii="Times New Roman" w:hAnsi="Times New Roman"/>
          <w:b/>
          <w:sz w:val="24"/>
          <w:u w:val="single"/>
        </w:rPr>
        <w:t>New Taxes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sz w:val="24"/>
        </w:rPr>
      </w:r>
    </w:p>
    <w:p>
      <w:pPr>
        <w:pStyle w:val="Heading3"/>
        <w:numPr>
          <w:ilvl w:val="0"/>
          <w:numId w:val="0"/>
        </w:numPr>
        <w:tabs>
          <w:tab w:val="left" w:pos="2160" w:leader="none"/>
        </w:tabs>
        <w:ind w:hanging="720" w:start="2160" w:end="0"/>
        <w:rPr/>
      </w:pPr>
      <w:r>
        <w:rPr/>
        <w:t>(a)</w:t>
        <w:tab/>
        <w:t>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Buyer shall pay or cause to be paid, or reimburse Seller if Seller has paid, all such New Taxes and Buyer shall indemnify, defend and hold harmless Seller from any Claims for such New Taxes.</w:t>
      </w:r>
    </w:p>
    <w:p>
      <w:pPr>
        <w:pStyle w:val="Heading3"/>
        <w:numPr>
          <w:ilvl w:val="0"/>
          <w:numId w:val="2"/>
        </w:numPr>
        <w:rPr/>
      </w:pPr>
      <w:r>
        <w:rPr/>
        <w:t>If (i) a New Tax is imposed and (ii) Buyer or Seller would be responsible for paying such New Tax and (iii) paragraph (a) does not apply, the Party responsible for/affected by the New Tax (for purposes of this Section, the “</w:t>
      </w:r>
      <w:r>
        <w:rPr>
          <w:b/>
          <w:i/>
        </w:rPr>
        <w:t>Affected Party</w:t>
      </w:r>
      <w:r>
        <w:rPr/>
        <w:t>”) shall be entitled to declare an early termination date (for purposes of this Section, the “Early Termination Date”) with respect to those Transactions affected by the New Tax in accordance with the provisions of Section ____ (which Early Termination Date shall be between five (5) Business Days after receipt of written notice and twenty (20) Business Days after the receipt of written notice, or within a commercially reasonable time thereafter, if a day within such twenty (20) Business Day period is not reasonably practicable) subject to the following conditions: (1) the Affected Party must give the other Party at least 30 Days prior written notice (the “</w:t>
      </w:r>
      <w:r>
        <w:rPr>
          <w:b/>
          <w:i/>
        </w:rPr>
        <w:t>Agreement Period</w:t>
      </w:r>
      <w:r>
        <w:rPr/>
        <w:t>”) of its intent to declare an Early Termination Date (which notice shall be given no later than 90 Days after the later of the enactment or effective date of the relevant New Tax), and prior to the proposed Early Termination Date, Buyer and Seller shall attempt to reach a mutual agreement as to the sharing of the New Tax, (2) if a mutual sharing agreement is not reached, the non-Affected Party shall have the right, but not the obligation, upon written notice to the Affected Party within the Agreement Period, to pay the New Tax for any continuous period it so elects on a month-to-month basis, and in such case the Affected Party shall not have the right during such continuous period to declare the Early Termination Date on the basis of the New Tax, (3) should the non-Affected Party at its election agree to pay the New Tax on a month-to-month basis, then upon 30 Days prior written notice to the Affected Party of its election to cease payment of such New Tax, the Affected Party shall then be liable for the payment of the New Tax and the Parties shall again be subject to this Section as if the New Tax had an effective date as of the date the non-Affected Party ceases payment of such New Tax, (4) if a mutual sharing agreement is not reached and the non-Affected Party does not elect to pay the New Tax for any period of time within the Agreement Period, the Early Termination Date shall take effect, all Transactions affected by the New Tax shall be terminated as of the Early Termination Date, and the Termination Payment shall be calculated and paid in accordance with Section ____ including the procedures for arbitration referenced therein) without taking into consideration the impact of the New Taxes.</w:t>
      </w:r>
    </w:p>
    <w:p>
      <w:pPr>
        <w:pStyle w:val="BodyTextIndent2"/>
        <w:ind w:hanging="720" w:start="1440" w:end="0"/>
        <w:jc w:val="both"/>
        <w:rPr/>
      </w:pPr>
      <w:r>
        <w:rPr/>
        <w:t>C.</w:t>
        <w:tab/>
        <w:t>Additional New Tax Options from other long-term PPA forms used by Reliant and others:</w:t>
      </w:r>
    </w:p>
    <w:p>
      <w:pPr>
        <w:pStyle w:val="Normal"/>
        <w:tabs>
          <w:tab w:val="clear" w:pos="720"/>
          <w:tab w:val="left" w:pos="1440" w:leader="none"/>
        </w:tabs>
        <w:ind w:start="720" w:end="0"/>
        <w:jc w:val="both"/>
        <w:rPr/>
      </w:pPr>
      <w:r>
        <w:rPr/>
      </w:r>
    </w:p>
    <w:p>
      <w:pPr>
        <w:pStyle w:val="Normal"/>
        <w:tabs>
          <w:tab w:val="clear" w:pos="720"/>
          <w:tab w:val="left" w:pos="-1440" w:leader="none"/>
        </w:tabs>
        <w:ind w:hanging="1440" w:start="1440" w:end="0"/>
        <w:jc w:val="both"/>
        <w:rPr>
          <w:b/>
          <w:u w:val="single"/>
        </w:rPr>
      </w:pPr>
      <w:r>
        <w:rPr>
          <w:b/>
        </w:rPr>
        <w:tab/>
      </w:r>
      <w:r>
        <w:rPr>
          <w:b/>
          <w:u w:val="single"/>
        </w:rPr>
        <w:t>OPTION 1</w:t>
      </w:r>
      <w:r>
        <w:rPr>
          <w:b/>
        </w:rPr>
        <w:t>:</w:t>
        <w:tab/>
      </w:r>
      <w:r>
        <w:rPr/>
        <w:t xml:space="preserve">Pass-through (if possible) or if no pass-through, in order:  mutually agreed sharing of New Tax </w:t>
      </w:r>
      <w:r>
        <w:rPr>
          <w:u w:val="single"/>
        </w:rPr>
        <w:t>or</w:t>
      </w:r>
      <w:r>
        <w:rPr/>
        <w:t xml:space="preserve"> optional payment by affected party </w:t>
      </w:r>
      <w:r>
        <w:rPr>
          <w:u w:val="single"/>
        </w:rPr>
        <w:t>or</w:t>
      </w:r>
      <w:r>
        <w:rPr/>
        <w:t xml:space="preserve"> termination of </w:t>
      </w:r>
      <w:r>
        <w:rPr>
          <w:u w:val="single"/>
        </w:rPr>
        <w:t>affected</w:t>
      </w:r>
      <w:r>
        <w:rPr/>
        <w:t xml:space="preserve"> Transactions and 50/50 split of termination economics</w:t>
      </w:r>
    </w:p>
    <w:p>
      <w:pPr>
        <w:pStyle w:val="Normal"/>
        <w:jc w:val="both"/>
        <w:rPr>
          <w:b/>
          <w:u w:val="single"/>
        </w:rPr>
      </w:pPr>
      <w:r>
        <w:rPr>
          <w:b/>
          <w:u w:val="single"/>
        </w:rPr>
      </w:r>
    </w:p>
    <w:p>
      <w:pPr>
        <w:pStyle w:val="Normal"/>
        <w:ind w:firstLine="720" w:start="720" w:end="0"/>
        <w:jc w:val="both"/>
        <w:rPr/>
      </w:pPr>
      <w:r>
        <w:rPr>
          <w:b/>
          <w:u w:val="single"/>
        </w:rPr>
        <w:t>New Taxes</w:t>
      </w:r>
      <w:r>
        <w:rPr/>
        <w:t>.</w:t>
      </w:r>
    </w:p>
    <w:p>
      <w:pPr>
        <w:pStyle w:val="Normal"/>
        <w:jc w:val="both"/>
        <w:rPr/>
      </w:pPr>
      <w:r>
        <w:rPr/>
      </w:r>
    </w:p>
    <w:p>
      <w:pPr>
        <w:pStyle w:val="Normal"/>
        <w:tabs>
          <w:tab w:val="clear" w:pos="720"/>
          <w:tab w:val="left" w:pos="2160" w:leader="none"/>
        </w:tabs>
        <w:ind w:hanging="720" w:start="2160" w:end="0"/>
        <w:jc w:val="both"/>
        <w:rPr/>
      </w:pPr>
      <w:r>
        <w:rPr/>
        <w:t>(a)</w:t>
        <w:tab/>
        <w:t>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ind w:firstLine="720" w:end="0"/>
        <w:jc w:val="both"/>
        <w:rPr/>
      </w:pPr>
      <w:r>
        <w:rPr/>
      </w:r>
    </w:p>
    <w:p>
      <w:pPr>
        <w:pStyle w:val="Normal"/>
        <w:ind w:hanging="720" w:start="2160" w:end="0"/>
        <w:jc w:val="both"/>
        <w:rPr/>
      </w:pPr>
      <w:r>
        <w:rPr/>
        <w:t>(b)</w:t>
        <w:tab/>
        <w:t>If (i) a New Tax is imposed and (ii) Buyer or Seller would be responsible for paying such New Tax and (iii) paragraph (a) does not apply, the Party responsible for the New Tax ("Affected Party") shall be entitled to declare an Early Termination Date with respect to those Transactions affected by the New Tax ("Affected Transactions") in accordance with the provisions of this Agreement subject to the following conditions: (a) the Affected Party must give the other Party ("Non-Affected Party") at least 30 Days prior written notice (the "Agreement Period") of its intent to declare an Early Termination Date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30 Days prior written notice to the Affected Party of its election to cease payment of such New Tax, the Affected Party shall then be liable for the payment of the New Tax and the Parties shall again be subject to this Section ____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and all Affected Transactions must be terminated and be subject to the same Early Termination Date, (e) the Early Termination Date shall be effected as if an Event of Default had occurred; provided, however, that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however, that each Party's Gains and Losses shall be determined without taking into effect the impact of the New Taxes, (f) (i)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fifty percent (50%) of the sum of the absolute value of the net Gain and the absolute value of the net Loss and (g) such payment shall be payable as provided in Section ____.  Prior to and including the initial Agreement Period invoked under this Section ____, New Taxes shall be allocated as if they were Governmental Charges as provided in Section ____.  The intent of this Section ____ is to leave neither Party with an unfair burden as a result of New Taxes.</w:t>
      </w:r>
    </w:p>
    <w:p>
      <w:pPr>
        <w:pStyle w:val="Normal"/>
        <w:tabs>
          <w:tab w:val="clear" w:pos="720"/>
          <w:tab w:val="left" w:pos="1440" w:leader="none"/>
        </w:tabs>
        <w:ind w:start="720" w:end="0"/>
        <w:jc w:val="both"/>
        <w:rPr/>
      </w:pPr>
      <w:r>
        <w:rPr/>
      </w:r>
    </w:p>
    <w:p>
      <w:pPr>
        <w:pStyle w:val="Normal"/>
        <w:tabs>
          <w:tab w:val="clear" w:pos="720"/>
          <w:tab w:val="left" w:pos="1440" w:leader="none"/>
        </w:tabs>
        <w:jc w:val="both"/>
        <w:rPr/>
      </w:pPr>
      <w:r>
        <w:rPr/>
        <w:tab/>
        <w:tab/>
      </w:r>
    </w:p>
    <w:p>
      <w:pPr>
        <w:pStyle w:val="Normal"/>
        <w:tabs>
          <w:tab w:val="clear" w:pos="720"/>
          <w:tab w:val="left" w:pos="-1440" w:leader="none"/>
        </w:tabs>
        <w:ind w:hanging="1440" w:start="1440" w:end="0"/>
        <w:jc w:val="both"/>
        <w:rPr/>
      </w:pPr>
      <w:r>
        <w:rPr>
          <w:b/>
        </w:rPr>
        <w:tab/>
      </w:r>
      <w:r>
        <w:rPr>
          <w:b/>
          <w:u w:val="single"/>
        </w:rPr>
        <w:t>OPTION 2</w:t>
      </w:r>
      <w:r>
        <w:rPr>
          <w:b/>
        </w:rPr>
        <w:t>:</w:t>
      </w:r>
      <w:r>
        <w:rPr/>
        <w:tab/>
        <w:t xml:space="preserve">Pass-through (if possible) or if no pass-through, in order:  mutually agreed sharing of New Tax </w:t>
      </w:r>
      <w:r>
        <w:rPr>
          <w:u w:val="single"/>
        </w:rPr>
        <w:t>or</w:t>
      </w:r>
      <w:r>
        <w:rPr/>
        <w:t xml:space="preserve"> optional payment by affected party </w:t>
      </w:r>
      <w:r>
        <w:rPr>
          <w:u w:val="single"/>
        </w:rPr>
        <w:t>or</w:t>
      </w:r>
      <w:r>
        <w:rPr/>
        <w:t xml:space="preserve"> termination of </w:t>
      </w:r>
      <w:r>
        <w:rPr>
          <w:u w:val="single"/>
        </w:rPr>
        <w:t>all</w:t>
      </w:r>
      <w:r>
        <w:rPr/>
        <w:t xml:space="preserve"> Transactions one year out (resulting in a net settlement payment per Section ____)</w:t>
      </w:r>
    </w:p>
    <w:p>
      <w:pPr>
        <w:pStyle w:val="Normal"/>
        <w:jc w:val="both"/>
        <w:rPr/>
      </w:pPr>
      <w:r>
        <w:rPr/>
      </w:r>
    </w:p>
    <w:p>
      <w:pPr>
        <w:pStyle w:val="Normal"/>
        <w:ind w:firstLine="720" w:start="720" w:end="0"/>
        <w:jc w:val="both"/>
        <w:rPr/>
      </w:pPr>
      <w:r>
        <w:rPr>
          <w:b/>
          <w:u w:val="single"/>
        </w:rPr>
        <w:t>New Taxes</w:t>
      </w:r>
      <w:r>
        <w:rPr/>
        <w:t>.</w:t>
      </w:r>
    </w:p>
    <w:p>
      <w:pPr>
        <w:pStyle w:val="Normal"/>
        <w:ind w:firstLine="720" w:start="720" w:end="0"/>
        <w:jc w:val="both"/>
        <w:rPr>
          <w:b/>
          <w:u w:val="single"/>
        </w:rPr>
      </w:pPr>
      <w:r>
        <w:rPr>
          <w:b/>
          <w:u w:val="single"/>
        </w:rPr>
      </w:r>
    </w:p>
    <w:p>
      <w:pPr>
        <w:pStyle w:val="Normal"/>
        <w:tabs>
          <w:tab w:val="clear" w:pos="720"/>
          <w:tab w:val="left" w:pos="2160" w:leader="none"/>
        </w:tabs>
        <w:ind w:hanging="720" w:start="2160" w:end="0"/>
        <w:jc w:val="both"/>
        <w:rPr/>
      </w:pPr>
      <w:r>
        <w:fldChar w:fldCharType="begin"/>
      </w:r>
      <w:r>
        <w:rPr/>
        <w:instrText xml:space="preserve"> TC "OPTION 2:</w:instrText>
        <w:tab/>
        <w:instrText xml:space="preserve">Pass-through (if possible) or if no pass-through, in order:  mutually agreed sharing of New Tax or optional payment by affected party or termination of all Transactions one year out (resulting in a net settlement payment per Section 5.3)9.3.</w:instrText>
        <w:tab/>
        <w:instrText xml:space="preserve">New Taxes." \l 2 </w:instrText>
      </w:r>
      <w:r>
        <w:rPr/>
        <w:fldChar w:fldCharType="separate"/>
      </w:r>
      <w:r>
        <w:rPr/>
      </w:r>
      <w:r>
        <w:rPr/>
        <w:fldChar w:fldCharType="end"/>
      </w:r>
      <w:r>
        <w:rPr/>
        <w:t>(a)</w:t>
        <w:tab/>
        <w:t>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attempt to pass through to, or be reimbursed by, such other person or entity for such New Tax only to the extent that such attempt by Buyer shall not reduce Buyer's competitive position with respect to its sales of Products to third parties.  To the extent that Buyer is unable to so pass through or be reimbursed, the Parties shall resolve the payment of any New Tax in accordance with paragraph (b) below.</w:t>
      </w:r>
    </w:p>
    <w:p>
      <w:pPr>
        <w:pStyle w:val="Normal"/>
        <w:jc w:val="both"/>
        <w:rPr/>
      </w:pPr>
      <w:r>
        <w:rPr/>
      </w:r>
    </w:p>
    <w:p>
      <w:pPr>
        <w:pStyle w:val="Normal"/>
        <w:ind w:hanging="720" w:start="2160" w:end="0"/>
        <w:jc w:val="both"/>
        <w:rPr/>
      </w:pPr>
      <w:r>
        <w:rPr/>
        <w:t>(b)</w:t>
        <w:tab/>
        <w:t>Notwithstanding any other provisions of this Agreement to the contrary, if  (i) a New Tax is imposed, and (ii) Buyer or Seller would be responsible for paying such New Tax, and (iii) paragraph (a) of this Section does not apply, the Party responsible for the New Tax ("Affected Party") in respect of the purchase or sale of any Product hereunder affected by the New Tax shall be liable for and pay such New Tax in accordance with the provisions of this Agreement, subject to the following conditions: (a) the Affected Party must give the other Party ("Non-Affected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Non-Affected Party shall have the right, but not the obligation, upon written Notice to the Affected Party within the Agreement Period, to pay the New Tax for any continuous period it so elects on a Month to Month basis, and in such case, the Affected Party shall not have the right during such continuous period to declare the Early Termination Date on the basis of the New Tax, (c) should the Non-Affected Party at its election agree to pay the New Tax on a Month to Month basis, then upon thirty (30) Days prior written Notice to the Affected Party of its election to cease payment of such New Tax, the Affected Party shall then be liable for the payment of the New Tax, and the Parties shall again be subject to this Section as if the New Tax had an effective date as of the date the Non-Affected Party ceases payment of such New Tax, (d) if a mutual sharing agreement is not reached, and the Non-Affected Party does not elect to pay the New Tax for any period of time within the Agreement Period, the Early Termination Date shall take effect one (1) year after the Non-Affected Party elects not to pay the relevant New Tax, but such one (1) year period shall commence no earlier than the commencement of the first Delivery Period.  Prior to and including the initial Agreement Period invoked under this Section, New Taxes shall be allocated as if they were Governmental Charges as provided in Section ___.</w:t>
      </w:r>
    </w:p>
    <w:p>
      <w:pPr>
        <w:pStyle w:val="Normal"/>
        <w:jc w:val="both"/>
        <w:rPr/>
      </w:pPr>
      <w:r>
        <w:rPr/>
      </w:r>
    </w:p>
    <w:p>
      <w:pPr>
        <w:pStyle w:val="Normal"/>
        <w:tabs>
          <w:tab w:val="clear" w:pos="720"/>
          <w:tab w:val="left" w:pos="-1440" w:leader="none"/>
        </w:tabs>
        <w:ind w:hanging="1440" w:start="1440" w:end="0"/>
        <w:jc w:val="both"/>
        <w:rPr/>
      </w:pPr>
      <w:r>
        <w:rPr>
          <w:b/>
        </w:rPr>
        <w:tab/>
      </w:r>
      <w:r>
        <w:rPr>
          <w:b/>
          <w:u w:val="single"/>
        </w:rPr>
        <w:t>OPTION 3</w:t>
      </w:r>
      <w:r>
        <w:rPr>
          <w:b/>
        </w:rPr>
        <w:t>:</w:t>
      </w:r>
      <w:r>
        <w:rPr/>
        <w:tab/>
        <w:t>New Taxes imposed at the state or federal level borne by Seller; other New Taxes borne by Buyer.</w:t>
      </w:r>
    </w:p>
    <w:p>
      <w:pPr>
        <w:pStyle w:val="Normal"/>
        <w:jc w:val="both"/>
        <w:rPr/>
      </w:pPr>
      <w:r>
        <w:rPr/>
      </w:r>
    </w:p>
    <w:p>
      <w:pPr>
        <w:pStyle w:val="Normal"/>
        <w:tabs>
          <w:tab w:val="clear" w:pos="720"/>
          <w:tab w:val="left" w:pos="1440" w:leader="none"/>
          <w:tab w:val="left" w:pos="2160" w:leader="none"/>
        </w:tabs>
        <w:ind w:hanging="720" w:start="1440" w:end="0"/>
        <w:jc w:val="both"/>
        <w:rPr/>
      </w:pPr>
      <w:r>
        <w:rPr>
          <w:b/>
        </w:rPr>
        <w:tab/>
      </w:r>
      <w:r>
        <w:rPr>
          <w:b/>
          <w:u w:val="single"/>
        </w:rPr>
        <w:t>New Taxes</w:t>
      </w:r>
      <w:r>
        <w:rPr/>
        <w:t>.  Notwithstanding any other provision of this Agreement to the contrary, if (i) a New Tax is imposed and Buyer or Seller would be responsible for such New Tax and (ii) such New Tax is (A) imposed on or applicable to any Transactions contemplated by this Agreement, and not imposed on and generally applicable to the sale of Products in the State of __________, Seller shall pay or cause to be paid, or reimburse Buyer if Buyer shall have paid, all such New Taxes and Seller shall indemnify, defend and hold harmless Buyer from any liability for such New Taxes, or (B) imposed on and generally applicable to the sale of Products in the State of __________, then Buyer shall pay or cause to be paid, or reimburse Seller if Seller shall have paid, all such New Taxes and Buyer shall indemnify, defend and hold harmless Seller from any liability for such New Taxes.</w:t>
      </w:r>
    </w:p>
    <w:p>
      <w:pPr>
        <w:pStyle w:val="Normal"/>
        <w:jc w:val="both"/>
        <w:rPr/>
      </w:pPr>
      <w:r>
        <w:rPr/>
      </w:r>
    </w:p>
    <w:p>
      <w:pPr>
        <w:pStyle w:val="Normal"/>
        <w:tabs>
          <w:tab w:val="clear" w:pos="720"/>
          <w:tab w:val="left" w:pos="-1440" w:leader="none"/>
        </w:tabs>
        <w:ind w:hanging="1440" w:start="1440" w:end="0"/>
        <w:jc w:val="both"/>
        <w:rPr>
          <w:i/>
          <w:i/>
        </w:rPr>
      </w:pPr>
      <w:r>
        <w:rPr>
          <w:b/>
        </w:rPr>
        <w:tab/>
      </w:r>
      <w:r>
        <w:rPr>
          <w:b/>
          <w:u w:val="single"/>
        </w:rPr>
        <w:t>OPTION 4</w:t>
      </w:r>
      <w:r>
        <w:rPr>
          <w:b/>
        </w:rPr>
        <w:t>:</w:t>
      </w:r>
      <w:r>
        <w:rPr/>
        <w:tab/>
        <w:t>Pass-through (if possible) or if no pass-through, equitable adjustment of Contract Price (requires arbitration clause)</w:t>
      </w:r>
    </w:p>
    <w:p>
      <w:pPr>
        <w:pStyle w:val="Normal"/>
        <w:jc w:val="both"/>
        <w:rPr>
          <w:i/>
          <w:i/>
        </w:rPr>
      </w:pPr>
      <w:r>
        <w:rPr>
          <w:i/>
        </w:rPr>
      </w:r>
    </w:p>
    <w:p>
      <w:pPr>
        <w:pStyle w:val="Normal"/>
        <w:ind w:firstLine="720" w:start="720" w:end="0"/>
        <w:jc w:val="both"/>
        <w:rPr/>
      </w:pPr>
      <w:r>
        <w:rPr>
          <w:b/>
          <w:u w:val="single"/>
        </w:rPr>
        <w:t>New Taxes</w:t>
      </w:r>
      <w:r>
        <w:rPr/>
        <w:t>.</w:t>
      </w:r>
    </w:p>
    <w:p>
      <w:pPr>
        <w:pStyle w:val="Normal"/>
        <w:jc w:val="both"/>
        <w:rPr/>
      </w:pPr>
      <w:r>
        <w:rPr/>
      </w:r>
    </w:p>
    <w:p>
      <w:pPr>
        <w:pStyle w:val="Normal"/>
        <w:tabs>
          <w:tab w:val="clear" w:pos="720"/>
          <w:tab w:val="left" w:pos="2160" w:leader="none"/>
        </w:tabs>
        <w:ind w:hanging="720" w:start="2160" w:end="0"/>
        <w:jc w:val="both"/>
        <w:rPr/>
      </w:pPr>
      <w:r>
        <w:rPr/>
        <w:t>(a)</w:t>
        <w:tab/>
        <w:t>Notwithstanding any other provision of this Agreement to the contrary, if (i) a New Tax is imposed and (ii) Buyer or Seller would be responsible for such New Tax and (iii) such New Tax is (as a result of laws, regulations and applicable contracts of Buyer in effect as of the effective date of the New Tax) of the type that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jc w:val="both"/>
        <w:rPr/>
      </w:pPr>
      <w:r>
        <w:rPr/>
      </w:r>
    </w:p>
    <w:p>
      <w:pPr>
        <w:pStyle w:val="Normal"/>
        <w:ind w:hanging="720" w:start="2160" w:end="0"/>
        <w:jc w:val="both"/>
        <w:rPr>
          <w:i/>
          <w:i/>
        </w:rPr>
      </w:pPr>
      <w:r>
        <w:rPr/>
        <w:t>(b)</w:t>
        <w:tab/>
        <w:t>If (i) a New Tax is imposed and (ii) Buyer or Seller would be responsible for paying such New Tax and (iii) paragraph (a) does not apply, the Party responsible for the New Tax ("Affected Party") shall be entitled to an equitable adjustment of the Contract Price.</w:t>
      </w:r>
    </w:p>
    <w:p>
      <w:pPr>
        <w:pStyle w:val="Normal"/>
        <w:jc w:val="both"/>
        <w:rPr>
          <w:i/>
          <w:i/>
        </w:rPr>
      </w:pPr>
      <w:r>
        <w:rPr>
          <w:i/>
        </w:rPr>
      </w:r>
    </w:p>
    <w:p>
      <w:pPr>
        <w:pStyle w:val="Normal"/>
        <w:jc w:val="both"/>
        <w:rPr>
          <w:i/>
          <w:i/>
        </w:rPr>
      </w:pPr>
      <w:r>
        <w:rPr>
          <w:i/>
        </w:rPr>
      </w:r>
    </w:p>
    <w:p>
      <w:pPr>
        <w:pStyle w:val="Normal"/>
        <w:ind w:start="1440" w:end="0"/>
        <w:jc w:val="both"/>
        <w:rPr/>
      </w:pPr>
      <w:r>
        <w:rPr/>
        <w:t>"</w:t>
      </w:r>
      <w:r>
        <w:rPr>
          <w:b/>
          <w:i/>
          <w:u w:val="single"/>
        </w:rPr>
        <w:t>New Taxes</w:t>
      </w:r>
      <w:r>
        <w:rPr/>
        <w:t>" - (i) any Governmental Charges or modifications therein enacted and effective after the Effective Date, including without limitation, that portion of any such Governmental Charge that constitutes an increase in the rate thereof (but excluding an increase in the value of the base upon or from which computed), or (ii) any law, order, rule or regulation, or interpretation thereof, enacted or promulgated and effective after the Effective Date resulting in application of any Governmental Charge to a new or different class of Persons.</w:t>
      </w:r>
    </w:p>
    <w:p>
      <w:pPr>
        <w:pStyle w:val="Normal"/>
        <w:jc w:val="both"/>
        <w:rPr/>
      </w:pPr>
      <w:r>
        <w:rPr/>
      </w:r>
    </w:p>
    <w:p>
      <w:pPr>
        <w:pStyle w:val="Normal"/>
        <w:numPr>
          <w:ilvl w:val="0"/>
          <w:numId w:val="10"/>
        </w:numPr>
        <w:jc w:val="both"/>
        <w:rPr/>
      </w:pPr>
      <w:r>
        <w:rPr/>
        <w:t>Change In Law/Other Events:</w:t>
      </w:r>
    </w:p>
    <w:p>
      <w:pPr>
        <w:pStyle w:val="Normal"/>
        <w:jc w:val="both"/>
        <w:rPr/>
      </w:pPr>
      <w:r>
        <w:rPr/>
      </w:r>
    </w:p>
    <w:p>
      <w:pPr>
        <w:pStyle w:val="Normal"/>
        <w:ind w:start="720" w:end="0"/>
        <w:jc w:val="both"/>
        <w:rPr/>
      </w:pPr>
      <w:r>
        <w:rPr/>
        <w:t>Like New Taxes, a “Change in Law” provision is often added for longer term transactions.  It can be added to a Transaction Confirmation so as to limit its applicability to a particular “custom” transaction:</w:t>
      </w:r>
    </w:p>
    <w:p>
      <w:pPr>
        <w:pStyle w:val="Normal"/>
        <w:ind w:start="720" w:end="0"/>
        <w:jc w:val="both"/>
        <w:rPr/>
      </w:pPr>
      <w:r>
        <w:rPr/>
      </w:r>
    </w:p>
    <w:p>
      <w:pPr>
        <w:pStyle w:val="Normal"/>
        <w:numPr>
          <w:ilvl w:val="0"/>
          <w:numId w:val="5"/>
        </w:numPr>
        <w:jc w:val="both"/>
        <w:rPr/>
      </w:pPr>
      <w:r>
        <w:rPr/>
        <w:t>Excerpt from a long-term PPA:</w:t>
      </w:r>
    </w:p>
    <w:p>
      <w:pPr>
        <w:pStyle w:val="Normal"/>
        <w:ind w:start="720" w:end="0"/>
        <w:jc w:val="both"/>
        <w:rPr/>
      </w:pPr>
      <w:r>
        <w:rPr/>
      </w:r>
    </w:p>
    <w:p>
      <w:pPr>
        <w:pStyle w:val="Normal"/>
        <w:jc w:val="both"/>
        <w:rPr/>
      </w:pPr>
      <w:r>
        <w:rPr>
          <w:b/>
        </w:rPr>
        <w:tab/>
        <w:tab/>
      </w:r>
      <w:r>
        <w:rPr>
          <w:b/>
          <w:u w:val="single"/>
        </w:rPr>
        <w:t>Other Events</w:t>
      </w:r>
      <w:r>
        <w:rPr/>
        <w:t>.</w:t>
      </w:r>
    </w:p>
    <w:p>
      <w:pPr>
        <w:pStyle w:val="Normal"/>
        <w:jc w:val="both"/>
        <w:rPr/>
      </w:pPr>
      <w:r>
        <w:rPr/>
      </w:r>
    </w:p>
    <w:p>
      <w:pPr>
        <w:pStyle w:val="Heading3"/>
        <w:numPr>
          <w:ilvl w:val="0"/>
          <w:numId w:val="0"/>
        </w:numPr>
        <w:ind w:hanging="720" w:start="2160" w:end="0"/>
        <w:rPr/>
      </w:pPr>
      <w:r>
        <w:rPr/>
        <w:t>(a)</w:t>
        <w:tab/>
        <w:t>In the event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activities hereunder become subject to regulation of any kind whatsoever under any Law to a greater or different extent than that existing on the earlier of the Effective Date or the scheduled date of the first delivery under this Agreement (any such event being a “</w:t>
      </w:r>
      <w:r>
        <w:rPr>
          <w:b/>
          <w:i/>
        </w:rPr>
        <w:t>Change in Law</w:t>
      </w:r>
      <w:r>
        <w:rPr/>
        <w:t>”) and such Change in Law either (i) renders this Agreement illegal of performance by, or unenforceable against, a Party (for purposes of this Section, the “</w:t>
      </w:r>
      <w:r>
        <w:rPr>
          <w:b/>
          <w:i/>
        </w:rPr>
        <w:t>Affected Party</w:t>
      </w:r>
      <w:r>
        <w:rPr/>
        <w:t>”), or (ii) materially adversely affects the business of a Party (for purposes of this Section, the “</w:t>
      </w:r>
      <w:r>
        <w:rPr>
          <w:b/>
          <w:i/>
        </w:rPr>
        <w:t>Affected Party</w:t>
      </w:r>
      <w:r>
        <w:rPr/>
        <w:t>”), with respect to its financial position or otherwise, then in the case of (i) above, either Party, and in the case of (ii) above, only the Affected Party, shall at such time have the right to require good faith negotiations to restructure the affected Transactions in a manner intended to place the Parties in the same position as if the Change in Law had not occurred.  If the Parties are unable to reach agreement on a mutually acceptable restructuring, the Affected Party in the case of (ii) above, and either Party in the case of (i) above shall have the right upon five (5) Business Days prior written notice to declare an early termination date (for purposes of this Section, the “</w:t>
      </w:r>
      <w:r>
        <w:rPr>
          <w:b/>
          <w:i/>
        </w:rPr>
        <w:t>Early Termination Date</w:t>
      </w:r>
      <w:r>
        <w:rPr/>
        <w:t xml:space="preserve">”) with respect to all of the Transactions affected by the Change in Law, which Early Termination Date shall be no less than five (5) Business Days after receipt of written notice and no more than twenty (20) Business Days after the receipt of written notice.  Settlement Amounts calculated in accordance with paragraph </w:t>
      </w:r>
      <w:r>
        <w:rPr>
          <w:u w:val="single"/>
        </w:rPr>
        <w:t>(b)</w:t>
      </w:r>
      <w:r>
        <w:rPr/>
        <w:t xml:space="preserve"> below shall be determined without taking into consideration the impact of the Change in Law.</w:t>
      </w:r>
    </w:p>
    <w:p>
      <w:pPr>
        <w:pStyle w:val="Heading3"/>
        <w:numPr>
          <w:ilvl w:val="0"/>
          <w:numId w:val="0"/>
        </w:numPr>
        <w:ind w:hanging="720" w:start="2160" w:end="0"/>
        <w:rPr/>
      </w:pPr>
      <w:r>
        <w:rPr/>
        <w:t>(b)</w:t>
        <w:tab/>
        <w:t xml:space="preserve">Each Party shall calculate Settlement Amounts in accordance with </w:t>
      </w:r>
      <w:r>
        <w:rPr>
          <w:u w:val="single"/>
        </w:rPr>
        <w:t xml:space="preserve">Section    </w:t>
      </w:r>
      <w:r>
        <w:rPr/>
        <w:t xml:space="preserve"> for the terminated Transaction and the Termination Payment payable by or to such Party as if it were the Non-Defaulting Party, except that Costs shall not be taken into account in calculating Settlement Amounts and the Termination Payment.</w:t>
      </w:r>
      <w:r>
        <w:rPr>
          <w:b/>
        </w:rPr>
        <w:t xml:space="preserve">  </w:t>
      </w:r>
      <w:r>
        <w:rPr/>
        <w:t xml:space="preserve">If the Parties agree on the amount and the Party owing the Termination Payment by the Early Termination Date, then the Termination Payment shall be due on the Early Termination Date.  If the Parties do not agree on the amount and Party owing the Termination Payment by the Early Termination Date, then (i) the Parties shall in good faith attempt to negotiate a resolution of that disagreement, (ii) to the extent that the Parties are in disagreement only as to the amount of the Termination Payment, the Party owing the Termination Payment shall pay the Termination Payment determined by it on the Early Termination Date, and (iii) the remaining Termination Payment, if any, shall be due the Party held (or subsequently agreed) to be owed the Termination Payment within five (5) Business Days of the date of such holding (or agreement) together with interest on such sum at the Interest Rate from the Early Termination Date to the date of payment.  If no mutually agreeable resolution is reached before the Early Termination Date, then either Party may submit the dispute to arbitration in accordance with Article </w:t>
      </w:r>
      <w:r>
        <w:rPr>
          <w:u w:val="single"/>
        </w:rPr>
        <w:t xml:space="preserve">      </w:t>
      </w:r>
      <w:r>
        <w:rPr/>
        <w:t xml:space="preserve"> at any time after such date.</w:t>
      </w:r>
    </w:p>
    <w:p>
      <w:pPr>
        <w:pStyle w:val="Normal"/>
        <w:numPr>
          <w:ilvl w:val="0"/>
          <w:numId w:val="5"/>
        </w:numPr>
        <w:jc w:val="both"/>
        <w:rPr/>
      </w:pPr>
      <w:r>
        <w:rPr/>
        <w:t>Another Option excerpted from a long-term PPA:</w:t>
      </w:r>
    </w:p>
    <w:p>
      <w:pPr>
        <w:pStyle w:val="Normal"/>
        <w:ind w:start="720" w:end="0"/>
        <w:jc w:val="both"/>
        <w:rPr/>
      </w:pPr>
      <w:r>
        <w:rPr/>
      </w:r>
    </w:p>
    <w:p>
      <w:pPr>
        <w:pStyle w:val="Normal"/>
        <w:ind w:firstLine="720" w:start="720" w:end="0"/>
        <w:jc w:val="both"/>
        <w:rPr>
          <w:vanish/>
          <w:color w:val="FF0000"/>
        </w:rPr>
      </w:pPr>
      <w:r>
        <w:rPr>
          <w:u w:val="single"/>
        </w:rPr>
        <w:t>Adjustment of Payments</w:t>
      </w:r>
      <w:r>
        <w:rPr/>
        <w:t>.</w:t>
      </w:r>
    </w:p>
    <w:p>
      <w:pPr>
        <w:pStyle w:val="Normal"/>
        <w:ind w:hanging="1440" w:start="1440" w:end="0"/>
        <w:jc w:val="both"/>
        <w:rPr/>
      </w:pPr>
      <w:r>
        <w:rPr/>
        <w:t xml:space="preserve">  </w:t>
      </w:r>
      <w:r>
        <w:rPr/>
        <w:t>If, after the Effective Date and before the Termination Date, there occurs any change (including enactment, repeal and amendment) in Applicable Laws (including those relating to Taxes (but not income taxes) or to environmental matters) or in the interpretation or application of any Applicable Law by any Governmental Authority (a “Change in Law”) and such change causes Seller to incur any capital, operating or other costs relating to the Plant or this Agreement (in excess of those that would have been incurred in the absence of the Change in Law) in order to maintain substantially the same levels of operation and production of Energy and Ancillary Services as were being undertaken by Seller before the Change in Law (a “Cost Impact Change in Law”), the amounts payable to Seller with respect to this Agreement will be equitably adjusted so that Seller is compensated for these excess costs.  This adjustment will take into account the timing of when Seller incurs the costs, any costs of financing, a reasonable return on capital investment, the time remaining in the term of this Agreement and the useful life of any capital items installed or upgraded as a result of the Change in Law.</w:t>
      </w:r>
    </w:p>
    <w:p>
      <w:pPr>
        <w:pStyle w:val="Normal"/>
        <w:jc w:val="both"/>
        <w:rPr/>
      </w:pPr>
      <w:r>
        <w:rPr/>
      </w:r>
    </w:p>
    <w:p>
      <w:pPr>
        <w:pStyle w:val="Normal"/>
        <w:ind w:firstLine="720" w:start="720" w:end="0"/>
        <w:jc w:val="both"/>
        <w:rPr/>
      </w:pPr>
      <w:r>
        <w:rPr>
          <w:u w:val="single"/>
        </w:rPr>
        <w:t>Procedure</w:t>
      </w:r>
      <w:r>
        <w:rPr/>
        <w:t>.</w:t>
      </w:r>
    </w:p>
    <w:p>
      <w:pPr>
        <w:pStyle w:val="Normal"/>
        <w:ind w:firstLine="720" w:start="720" w:end="0"/>
        <w:jc w:val="both"/>
        <w:rPr/>
      </w:pPr>
      <w:r>
        <w:rPr/>
      </w:r>
    </w:p>
    <w:p>
      <w:pPr>
        <w:pStyle w:val="Normal"/>
        <w:numPr>
          <w:ilvl w:val="0"/>
          <w:numId w:val="11"/>
        </w:numPr>
        <w:tabs>
          <w:tab w:val="clear" w:pos="720"/>
          <w:tab w:val="left" w:pos="1440" w:leader="none"/>
        </w:tabs>
        <w:jc w:val="both"/>
        <w:rPr/>
      </w:pPr>
      <w:r>
        <w:rPr/>
        <w:t>After any Change in Law occurs, Seller will notify Buyer of the Change in Law, its expected impact on Seller’s costs and the adjustment of any one or more of the Capacity Reservation Rate, the Fixed O&amp;M Rate, the Variable Fuel Rate, the Variable O&amp;M Rate, the Reference Heat Rate, the [Start Payments], the compensation for Ancillary Services and any other amounts payable under this Agreement that will be required to compensate Seller for the increased costs resulting from the Change in Law based on the principles set forth in Section ___ (“Seller’s Proposed Price Adjustment”).  If Seller gives its notice within 90 Days of the effective date of the Change in Law, the adjustment will take effect as of the effective date of the Change in Law.  If Seller gives its notice later than 90 Days after the effective date of the Change in Law, the adjustment will take effect as of the date Buyer receives Seller’s notice.  If Buyer agrees with Seller’s Proposed Price Adjustment or if Buyer does not object in writing to Seller’s Proposed Price Adjustment within 30 Days after Buyer receives Seller’s notice, Seller’s Proposed Price Adjustment will take effect and bind the Parties.</w:t>
      </w:r>
    </w:p>
    <w:p>
      <w:pPr>
        <w:pStyle w:val="Normal"/>
        <w:tabs>
          <w:tab w:val="clear" w:pos="720"/>
          <w:tab w:val="left" w:pos="1440" w:leader="none"/>
          <w:tab w:val="left" w:pos="2160" w:leader="none"/>
        </w:tabs>
        <w:ind w:start="1440" w:end="0"/>
        <w:jc w:val="both"/>
        <w:rPr/>
      </w:pPr>
      <w:r>
        <w:rPr/>
      </w:r>
    </w:p>
    <w:p>
      <w:pPr>
        <w:pStyle w:val="Normal"/>
        <w:tabs>
          <w:tab w:val="clear" w:pos="720"/>
          <w:tab w:val="left" w:pos="1440" w:leader="none"/>
          <w:tab w:val="left" w:pos="2160" w:leader="none"/>
        </w:tabs>
        <w:ind w:hanging="720" w:start="2160" w:end="0"/>
        <w:jc w:val="both"/>
        <w:rPr/>
      </w:pPr>
      <w:r>
        <w:rPr/>
        <w:t>(2)</w:t>
        <w:tab/>
        <w:t>If Buyer disagrees with Seller’s Proposed Price Adjustment, Buyer may, within 30 Days after Buyer receives Seller’s notice, notify Seller of Buyer’s determination of the expected impact of the Change in Law on Seller’s costs and the adjustment to any or all of the components mentioned in paragraph 1 that will be required to compensate Seller for the increased costs resulting from the Change in Law based on the principles set forth in paragraph 1, provided that Buyer may not propose a change in a component unless Seller’s Proposed Price Adjustment included a proposed change to that component (“Buyer’s Proposed Price Adjustment”).  The Parties then will in good faith negotiate and endeavor to agree upon an equitable adjustment to the components specified in Seller’s Proposed Price Adjustment.</w:t>
      </w:r>
    </w:p>
    <w:p>
      <w:pPr>
        <w:pStyle w:val="Normal"/>
        <w:jc w:val="both"/>
        <w:rPr/>
      </w:pPr>
      <w:r>
        <w:rPr/>
      </w:r>
    </w:p>
    <w:p>
      <w:pPr>
        <w:pStyle w:val="Normal"/>
        <w:tabs>
          <w:tab w:val="clear" w:pos="720"/>
          <w:tab w:val="left" w:pos="1440" w:leader="none"/>
        </w:tabs>
        <w:ind w:hanging="2160" w:start="2160" w:end="0"/>
        <w:jc w:val="both"/>
        <w:rPr/>
      </w:pPr>
      <w:r>
        <w:rPr/>
        <w:tab/>
        <w:t>(3)</w:t>
        <w:tab/>
        <w:t>If the Parties do not agree on an adjustment within 30 Days after Seller receives Buyer’s notice, either Party may elect to resolve the disagreement according to Sections ____ and ____.</w:t>
      </w:r>
    </w:p>
    <w:p>
      <w:pPr>
        <w:pStyle w:val="Normal"/>
        <w:jc w:val="both"/>
        <w:rPr/>
      </w:pPr>
      <w:r>
        <w:rPr/>
      </w:r>
    </w:p>
    <w:p>
      <w:pPr>
        <w:pStyle w:val="Normal"/>
        <w:numPr>
          <w:ilvl w:val="0"/>
          <w:numId w:val="10"/>
        </w:numPr>
        <w:jc w:val="both"/>
        <w:rPr/>
      </w:pPr>
      <w:r>
        <w:rPr/>
        <w:t>Regulatory Out:</w:t>
      </w:r>
    </w:p>
    <w:p>
      <w:pPr>
        <w:pStyle w:val="Normal"/>
        <w:jc w:val="both"/>
        <w:rPr/>
      </w:pPr>
      <w:r>
        <w:rPr/>
      </w:r>
    </w:p>
    <w:p>
      <w:pPr>
        <w:pStyle w:val="Normal"/>
        <w:ind w:start="720" w:end="0"/>
        <w:jc w:val="both"/>
        <w:rPr/>
      </w:pPr>
      <w:r>
        <w:rPr/>
        <w:t>The following provision was considered by WSPP at a recent meeting in response to concerns over the California regulatory environment.  It was agreed that the provision was broader than intended and was not adopted by WSPP.</w:t>
      </w:r>
    </w:p>
    <w:p>
      <w:pPr>
        <w:pStyle w:val="Normal"/>
        <w:ind w:start="720" w:end="0"/>
        <w:jc w:val="both"/>
        <w:rPr/>
      </w:pPr>
      <w:r>
        <w:rPr/>
      </w:r>
    </w:p>
    <w:p>
      <w:pPr>
        <w:pStyle w:val="Normal"/>
        <w:numPr>
          <w:ilvl w:val="0"/>
          <w:numId w:val="9"/>
        </w:numPr>
        <w:jc w:val="both"/>
        <w:rPr/>
      </w:pPr>
      <w:r>
        <w:rPr/>
        <w:t>Proposed WSPP provision:</w:t>
      </w:r>
    </w:p>
    <w:p>
      <w:pPr>
        <w:pStyle w:val="Normal"/>
        <w:ind w:start="720" w:end="0"/>
        <w:jc w:val="both"/>
        <w:rPr/>
      </w:pPr>
      <w:r>
        <w:rPr/>
      </w:r>
    </w:p>
    <w:p>
      <w:pPr>
        <w:pStyle w:val="Normal"/>
        <w:ind w:start="720" w:end="0"/>
        <w:jc w:val="both"/>
        <w:rPr/>
      </w:pPr>
      <w:r>
        <w:rPr/>
      </w:r>
    </w:p>
    <w:p>
      <w:pPr>
        <w:pStyle w:val="Normal"/>
        <w:ind w:start="1440" w:end="0"/>
        <w:jc w:val="both"/>
        <w:rPr/>
      </w:pPr>
      <w:r>
        <w:rPr/>
        <w:t xml:space="preserve">If any Governmental Body changes, modifies, or rejects any or all of the terms of a transaction under this Agreement, the adversely affected Party may terminate the transaction, with such transaction terminated upon written notice delivered to the other Party.  Before terminating the transaction by providing such written notice, however, the adversely affected Party shall contact the other Party and negotiate in good faith to attempt to develop new terms for the transaction that would be mutually acceptable to the Parties and consistent with the Governmental Body order.  </w:t>
      </w:r>
    </w:p>
    <w:p>
      <w:pPr>
        <w:pStyle w:val="Normal"/>
        <w:ind w:start="1440" w:end="0"/>
        <w:jc w:val="both"/>
        <w:rPr/>
      </w:pPr>
      <w:r>
        <w:rPr/>
      </w:r>
    </w:p>
    <w:p>
      <w:pPr>
        <w:pStyle w:val="Normal"/>
        <w:ind w:hanging="720" w:start="1440" w:end="0"/>
        <w:jc w:val="both"/>
        <w:rPr/>
      </w:pPr>
      <w:r>
        <w:rPr/>
        <w:tab/>
      </w:r>
      <w:r>
        <w:rPr>
          <w:b/>
        </w:rPr>
        <w:t>[New Definition]</w:t>
      </w:r>
      <w:r>
        <w:rPr/>
        <w:t xml:space="preserve"> Governmental Body-A federal or state governmental agency, regulatory body, or legislature with the authority to change, modify, or reject any or all of the terms of a transaction under this Agreement or with the authority to take any other action which affects performance under this Agreement.  Governmental Body shall not include any federal or state governmental agencies or entities that are Parties to this Agreement.</w:t>
      </w:r>
    </w:p>
    <w:p>
      <w:pPr>
        <w:pStyle w:val="Normal"/>
        <w:ind w:start="1440" w:end="0"/>
        <w:jc w:val="both"/>
        <w:rPr/>
      </w:pPr>
      <w:r>
        <w:rPr/>
      </w:r>
    </w:p>
    <w:p>
      <w:pPr>
        <w:pStyle w:val="Normal"/>
        <w:numPr>
          <w:ilvl w:val="0"/>
          <w:numId w:val="9"/>
        </w:numPr>
        <w:jc w:val="both"/>
        <w:rPr/>
      </w:pPr>
      <w:r>
        <w:rPr/>
        <w:t>Product Specific Regulatory Outs:</w:t>
      </w:r>
    </w:p>
    <w:p>
      <w:pPr>
        <w:pStyle w:val="Normal"/>
        <w:tabs>
          <w:tab w:val="clear" w:pos="720"/>
          <w:tab w:val="left" w:pos="2160" w:leader="none"/>
        </w:tabs>
        <w:ind w:start="1440" w:end="0"/>
        <w:jc w:val="both"/>
        <w:rPr/>
      </w:pPr>
      <w:r>
        <w:rPr/>
      </w:r>
    </w:p>
    <w:p>
      <w:pPr>
        <w:pStyle w:val="Normal"/>
        <w:tabs>
          <w:tab w:val="clear" w:pos="720"/>
          <w:tab w:val="left" w:pos="2160" w:leader="none"/>
        </w:tabs>
        <w:ind w:start="1440" w:end="0"/>
        <w:jc w:val="both"/>
        <w:rPr/>
      </w:pPr>
      <w:r>
        <w:rPr/>
        <w:t>The following provisions greatly narrow the scope of the above Regulatory Out provision and address the particular concern of the Parties:</w:t>
      </w:r>
    </w:p>
    <w:p>
      <w:pPr>
        <w:pStyle w:val="Normal"/>
        <w:tabs>
          <w:tab w:val="clear" w:pos="720"/>
          <w:tab w:val="left" w:pos="2160" w:leader="none"/>
        </w:tabs>
        <w:ind w:start="1440" w:end="0"/>
        <w:jc w:val="both"/>
        <w:rPr/>
      </w:pPr>
      <w:r>
        <w:rPr/>
      </w:r>
    </w:p>
    <w:p>
      <w:pPr>
        <w:pStyle w:val="Normal"/>
        <w:numPr>
          <w:ilvl w:val="0"/>
          <w:numId w:val="12"/>
        </w:numPr>
        <w:jc w:val="both"/>
        <w:rPr/>
      </w:pPr>
      <w:r>
        <w:rPr/>
        <w:t xml:space="preserve">SP-15 </w:t>
      </w:r>
    </w:p>
    <w:p>
      <w:pPr>
        <w:pStyle w:val="Normal"/>
        <w:ind w:start="1440" w:end="0"/>
        <w:jc w:val="both"/>
        <w:rPr/>
      </w:pPr>
      <w:r>
        <w:rPr/>
      </w:r>
    </w:p>
    <w:p>
      <w:pPr>
        <w:pStyle w:val="Normal"/>
        <w:ind w:start="2160" w:end="0"/>
        <w:jc w:val="both"/>
        <w:rPr>
          <w:color w:val="000000"/>
          <w:lang w:eastAsia="en-US"/>
        </w:rPr>
      </w:pPr>
      <w:r>
        <w:rPr>
          <w:color w:val="000000"/>
          <w:lang w:eastAsia="en-US"/>
        </w:rPr>
        <w:t>In the event that SP-15 is split into multiple zones or otherwise redefined, deliveries will be made to the Zone(s), Node(s) and/or Delivery Point(s) that most nearly resemble SP-15 as it exists on the day this Transaction is entered into.</w:t>
      </w:r>
    </w:p>
    <w:p>
      <w:pPr>
        <w:pStyle w:val="Normal"/>
        <w:tabs>
          <w:tab w:val="clear" w:pos="720"/>
          <w:tab w:val="left" w:pos="2160" w:leader="none"/>
        </w:tabs>
        <w:ind w:start="1440" w:end="0"/>
        <w:jc w:val="both"/>
        <w:rPr/>
      </w:pPr>
      <w:r>
        <w:rPr/>
      </w:r>
    </w:p>
    <w:p>
      <w:pPr>
        <w:pStyle w:val="Normal"/>
        <w:numPr>
          <w:ilvl w:val="0"/>
          <w:numId w:val="12"/>
        </w:numPr>
        <w:jc w:val="both"/>
        <w:rPr/>
      </w:pPr>
      <w:r>
        <w:rPr/>
        <w:t>ERCOT</w:t>
      </w:r>
    </w:p>
    <w:p>
      <w:pPr>
        <w:pStyle w:val="Normal"/>
        <w:jc w:val="both"/>
        <w:rPr/>
      </w:pPr>
      <w:r>
        <w:rPr/>
      </w:r>
    </w:p>
    <w:p>
      <w:pPr>
        <w:pStyle w:val="BodyText"/>
        <w:ind w:start="2160" w:end="0"/>
        <w:jc w:val="both"/>
        <w:rPr>
          <w:rFonts w:ascii="Times New Roman" w:hAnsi="Times New Roman" w:cs="Times New Roman"/>
        </w:rPr>
      </w:pPr>
      <w:r>
        <w:rPr>
          <w:rFonts w:cs="Times New Roman" w:ascii="Times New Roman" w:hAnsi="Times New Roman"/>
        </w:rPr>
        <w:t>The Parties to this Transaction recognize and understand that the Product purchased and sold in this Transaction and which is currently referred to as "B" and defined in the ERCOT Protocols and/or Operating Guides will change effective June 1, 2001.  The Parties further agree that neither Party has a right to terminate this Transaction solely on that basis.  The Product currently referred to as "B" is a firm product and the Parties agree that the performance obligations of the Parties to this Transaction will continue to be firm.</w:t>
      </w:r>
    </w:p>
    <w:p>
      <w:pPr>
        <w:pStyle w:val="Normal"/>
        <w:tabs>
          <w:tab w:val="clear" w:pos="720"/>
          <w:tab w:val="left" w:pos="2160" w:leader="none"/>
        </w:tabs>
        <w:jc w:val="both"/>
        <w:rPr>
          <w:rFonts w:ascii="Times New Roman" w:hAnsi="Times New Roman" w:cs="Times New Roman"/>
        </w:rPr>
      </w:pPr>
      <w:r>
        <w:rPr>
          <w:rFonts w:cs="Times New Roman"/>
        </w:rPr>
      </w:r>
    </w:p>
    <w:p>
      <w:pPr>
        <w:pStyle w:val="Normal"/>
        <w:numPr>
          <w:ilvl w:val="0"/>
          <w:numId w:val="12"/>
        </w:numPr>
        <w:tabs>
          <w:tab w:val="clear" w:pos="720"/>
          <w:tab w:val="left" w:pos="1440" w:leader="none"/>
        </w:tabs>
        <w:jc w:val="both"/>
        <w:rPr/>
      </w:pPr>
      <w:r>
        <w:rPr/>
        <w:t>UCC</w:t>
      </w:r>
    </w:p>
    <w:p>
      <w:pPr>
        <w:pStyle w:val="Normal"/>
        <w:tabs>
          <w:tab w:val="clear" w:pos="720"/>
          <w:tab w:val="left" w:pos="1440" w:leader="none"/>
          <w:tab w:val="left" w:pos="2160" w:leader="none"/>
        </w:tabs>
        <w:ind w:start="1440" w:end="0"/>
        <w:jc w:val="both"/>
        <w:rPr/>
      </w:pPr>
      <w:r>
        <w:rPr/>
      </w:r>
    </w:p>
    <w:p>
      <w:pPr>
        <w:pStyle w:val="Normal"/>
        <w:tabs>
          <w:tab w:val="clear" w:pos="720"/>
          <w:tab w:val="left" w:pos="1440" w:leader="none"/>
          <w:tab w:val="left" w:pos="2160" w:leader="none"/>
        </w:tabs>
        <w:ind w:start="2160" w:end="0"/>
        <w:jc w:val="both"/>
        <w:rPr/>
      </w:pPr>
      <w:r>
        <w:rPr/>
        <w:t>If… (UCC is no longer required… any changes to UCC requirements… any changes to unforced capacity credits as defined in PJM… etc.) this Transaction will terminate effective upon such “change” and neither Party shall have any remaining obligation…</w:t>
      </w:r>
    </w:p>
    <w:p>
      <w:pPr>
        <w:pStyle w:val="Normal"/>
        <w:tabs>
          <w:tab w:val="clear" w:pos="720"/>
          <w:tab w:val="left" w:pos="1440" w:leader="none"/>
          <w:tab w:val="left" w:pos="2160" w:leader="none"/>
        </w:tabs>
        <w:ind w:start="2160" w:end="0"/>
        <w:jc w:val="both"/>
        <w:rPr/>
      </w:pPr>
      <w:r>
        <w:rPr/>
      </w:r>
    </w:p>
    <w:p>
      <w:pPr>
        <w:pStyle w:val="Normal"/>
        <w:tabs>
          <w:tab w:val="clear" w:pos="720"/>
          <w:tab w:val="left" w:pos="1440" w:leader="none"/>
          <w:tab w:val="left" w:pos="2160" w:leader="none"/>
        </w:tabs>
        <w:ind w:start="2160" w:end="0"/>
        <w:jc w:val="both"/>
        <w:rPr/>
      </w:pPr>
      <w:r>
        <w:rPr/>
        <w:t>Issue:  transfer of UCC credits up front vs. piecemeal transfer and payment terms</w:t>
      </w:r>
    </w:p>
    <w:p>
      <w:pPr>
        <w:pStyle w:val="Normal"/>
        <w:tabs>
          <w:tab w:val="clear" w:pos="720"/>
          <w:tab w:val="left" w:pos="1440" w:leader="none"/>
          <w:tab w:val="left" w:pos="2160" w:leader="none"/>
        </w:tabs>
        <w:jc w:val="both"/>
        <w:rPr/>
      </w:pPr>
      <w:r>
        <w:rPr/>
      </w:r>
    </w:p>
    <w:p>
      <w:pPr>
        <w:pStyle w:val="Normal"/>
        <w:numPr>
          <w:ilvl w:val="0"/>
          <w:numId w:val="10"/>
        </w:numPr>
        <w:tabs>
          <w:tab w:val="clear" w:pos="720"/>
          <w:tab w:val="left" w:pos="1440" w:leader="none"/>
          <w:tab w:val="left" w:pos="2160" w:leader="none"/>
        </w:tabs>
        <w:jc w:val="both"/>
        <w:rPr/>
      </w:pPr>
      <w:r>
        <w:rPr/>
        <w:t>Arbitration:</w:t>
      </w:r>
    </w:p>
    <w:p>
      <w:pPr>
        <w:pStyle w:val="Normal"/>
        <w:tabs>
          <w:tab w:val="left" w:pos="720" w:leader="none"/>
          <w:tab w:val="left" w:pos="1440" w:leader="none"/>
          <w:tab w:val="left" w:pos="2160" w:leader="none"/>
        </w:tabs>
        <w:jc w:val="both"/>
        <w:rPr/>
      </w:pPr>
      <w:r>
        <w:rPr/>
      </w:r>
    </w:p>
    <w:p>
      <w:pPr>
        <w:pStyle w:val="Normal"/>
        <w:tabs>
          <w:tab w:val="left" w:pos="720" w:leader="none"/>
          <w:tab w:val="left" w:pos="1440" w:leader="none"/>
          <w:tab w:val="left" w:pos="2160" w:leader="none"/>
        </w:tabs>
        <w:ind w:start="720" w:end="0"/>
        <w:jc w:val="both"/>
        <w:rPr/>
      </w:pPr>
      <w:r>
        <w:rPr/>
        <w:t>Parties often wish to resolve all or some disputes arising out of or in any way relating to a contract via arbitration.  The following are examples of arbitration provisions:</w:t>
      </w:r>
    </w:p>
    <w:p>
      <w:pPr>
        <w:pStyle w:val="Normal"/>
        <w:tabs>
          <w:tab w:val="left" w:pos="720" w:leader="none"/>
          <w:tab w:val="left" w:pos="1440" w:leader="none"/>
          <w:tab w:val="left" w:pos="2160" w:leader="none"/>
        </w:tabs>
        <w:ind w:start="720" w:end="0"/>
        <w:jc w:val="both"/>
        <w:rPr/>
      </w:pPr>
      <w:r>
        <w:rPr/>
      </w:r>
    </w:p>
    <w:p>
      <w:pPr>
        <w:pStyle w:val="Normal"/>
        <w:ind w:hanging="720" w:start="1440" w:end="0"/>
        <w:jc w:val="both"/>
        <w:rPr/>
      </w:pPr>
      <w:r>
        <w:rPr/>
        <w:t>A.</w:t>
        <w:tab/>
      </w:r>
      <w:r>
        <w:rPr>
          <w:u w:val="single"/>
        </w:rPr>
        <w:t>Arbitration</w:t>
      </w:r>
      <w:r>
        <w:rPr/>
        <w:t>. For disputes involving or arising under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which have not been resolved by face-to-face negotiations between the Parties, shall be settled by binding arbitration in accordance with the then-current CPR Rules for Non-Administered Arbitration in effect on the date of this Agreement by three independent and impartial arbitrators.  The arbitrators chosen shall not have been previously employed by either Party and shall not have a direct or indirect interest in either Party or the subject of arbitration.  The arbitration shall be governed by the Federal Arbitration Act, 9 U.S.C. 1-16 to the exclusion of state laws inconsistent therewith, and judgement upon the award rendered by the arbitrators may be entered by any court having jurisdiction thereof.</w:t>
      </w:r>
    </w:p>
    <w:p>
      <w:pPr>
        <w:pStyle w:val="Normal"/>
        <w:jc w:val="both"/>
        <w:rPr/>
      </w:pPr>
      <w:r>
        <w:rPr/>
      </w:r>
    </w:p>
    <w:p>
      <w:pPr>
        <w:pStyle w:val="Normal"/>
        <w:ind w:start="1440" w:end="0"/>
        <w:jc w:val="both"/>
        <w:rPr/>
      </w:pPr>
      <w:r>
        <w:rPr/>
        <w:t>The arbitration hearing shall take place in Houston, Texas or at some other mutually-agreeable location, and the hearing shall take place within four (4) months from the date of demand for arbitration.</w:t>
      </w:r>
    </w:p>
    <w:p>
      <w:pPr>
        <w:pStyle w:val="Normal"/>
        <w:ind w:start="1440" w:end="0"/>
        <w:jc w:val="both"/>
        <w:rPr/>
      </w:pPr>
      <w:r>
        <w:rPr/>
      </w:r>
    </w:p>
    <w:p>
      <w:pPr>
        <w:pStyle w:val="Normal"/>
        <w:ind w:start="1440" w:end="0"/>
        <w:jc w:val="both"/>
        <w:rPr/>
      </w:pPr>
      <w:r>
        <w:rPr/>
        <w:t>The arbitrators shall base their award on the terms of this Agreement and shall follow the law and judicial precedents which a United States District Judge sitting in the Southern District of Texas would apply in the event the dispute were litigated in such court.</w:t>
      </w:r>
    </w:p>
    <w:p>
      <w:pPr>
        <w:pStyle w:val="Normal"/>
        <w:ind w:start="1440" w:end="0"/>
        <w:jc w:val="both"/>
        <w:rPr/>
      </w:pPr>
      <w:r>
        <w:rPr/>
      </w:r>
    </w:p>
    <w:p>
      <w:pPr>
        <w:pStyle w:val="Normal"/>
        <w:ind w:start="1440" w:end="0"/>
        <w:jc w:val="both"/>
        <w:rPr/>
      </w:pPr>
      <w:r>
        <w:rPr/>
        <w:t>The Parties expressly agree that this Agreement shall confer no power or authority upon the arbitrators to render any judgement or award that is erroneous in its application of substantive law and expressly agree that no such erroneous judgement or award shall be eligible for confirmation.  The arbitrators have no authority to award exemplary or punitive damages of any type whether or not such damages are recoverable by law.</w:t>
      </w:r>
    </w:p>
    <w:p>
      <w:pPr>
        <w:pStyle w:val="Normal"/>
        <w:ind w:start="1440" w:end="0"/>
        <w:jc w:val="both"/>
        <w:rPr/>
      </w:pPr>
      <w:r>
        <w:rPr/>
      </w:r>
    </w:p>
    <w:p>
      <w:pPr>
        <w:pStyle w:val="Normal"/>
        <w:ind w:start="1440" w:end="0"/>
        <w:jc w:val="both"/>
        <w:rPr/>
      </w:pPr>
      <w:r>
        <w:rPr/>
        <w:t>The arbitrators shall render their award in writing and shall include detailed findings of fact and conclusions of law upon which their award is based.  The arbitration shall be governed by the substantive laws of New York, without regard to conflicts of law rules, and by the arbitration law of the Federal Arbitration Act.</w:t>
      </w:r>
    </w:p>
    <w:p>
      <w:pPr>
        <w:pStyle w:val="Normal"/>
        <w:jc w:val="both"/>
        <w:rPr/>
      </w:pPr>
      <w:r>
        <w:rPr/>
      </w:r>
    </w:p>
    <w:p>
      <w:pPr>
        <w:pStyle w:val="Normal"/>
        <w:ind w:start="1440" w:end="0"/>
        <w:jc w:val="both"/>
        <w:rPr/>
      </w:pPr>
      <w:r>
        <w:rPr/>
        <w:t>The arbitration hearings shall be continuous, subject to weekends, holidays, or other days to be mutually agreed and the total days of hearing shall not exceed (10) hearing days per Party.</w:t>
      </w:r>
    </w:p>
    <w:p>
      <w:pPr>
        <w:pStyle w:val="Normal"/>
        <w:ind w:start="1440" w:end="0"/>
        <w:jc w:val="both"/>
        <w:rPr/>
      </w:pPr>
      <w:r>
        <w:rPr/>
      </w:r>
    </w:p>
    <w:p>
      <w:pPr>
        <w:pStyle w:val="Normal"/>
        <w:ind w:start="1440" w:end="0"/>
        <w:jc w:val="both"/>
        <w:rPr/>
      </w:pPr>
      <w:r>
        <w:rPr/>
        <w:t>The arbitrators shall render their award no later than (30) days after the conclusion of the hearings.  The submission of post-hearing legal briefs shall be subject to the discretion of the arbitrators, but in no event shall the briefs delay the arbitrators’ decision in this matter.  The award shall be confidential, to the extent permitted by law.</w:t>
      </w:r>
    </w:p>
    <w:p>
      <w:pPr>
        <w:pStyle w:val="Normal"/>
        <w:ind w:start="1440" w:end="0"/>
        <w:jc w:val="both"/>
        <w:rPr/>
      </w:pPr>
      <w:r>
        <w:rPr/>
      </w:r>
    </w:p>
    <w:p>
      <w:pPr>
        <w:pStyle w:val="Normal"/>
        <w:ind w:start="1440" w:end="0"/>
        <w:jc w:val="both"/>
        <w:rPr/>
      </w:pPr>
      <w:r>
        <w:rPr/>
        <w:t>The Parties agree that discovery is permissible as part of the arbitration process, but that discovery shall be limited to the following:</w:t>
      </w:r>
    </w:p>
    <w:p>
      <w:pPr>
        <w:pStyle w:val="Normal"/>
        <w:jc w:val="both"/>
        <w:rPr/>
      </w:pPr>
      <w:r>
        <w:rPr/>
      </w:r>
    </w:p>
    <w:p>
      <w:pPr>
        <w:pStyle w:val="Normal"/>
        <w:numPr>
          <w:ilvl w:val="0"/>
          <w:numId w:val="7"/>
        </w:numPr>
        <w:jc w:val="both"/>
        <w:rPr/>
      </w:pPr>
      <w:r>
        <w:rPr/>
        <w:t>Each Party will provide the other with copies of all non-privileged documents relevant to the issues raised by any claim or counter-claim, including copies of all documents in their possession or control on which they rely in support of their position or which they intend to introduce or exhibits at the arbitration hearing within three (3) weeks of the selection of the arbitrators.</w:t>
      </w:r>
    </w:p>
    <w:p>
      <w:pPr>
        <w:pStyle w:val="Normal"/>
        <w:ind w:start="1440" w:end="0"/>
        <w:jc w:val="both"/>
        <w:rPr/>
      </w:pPr>
      <w:r>
        <w:rPr/>
      </w:r>
    </w:p>
    <w:p>
      <w:pPr>
        <w:pStyle w:val="Normal"/>
        <w:numPr>
          <w:ilvl w:val="0"/>
          <w:numId w:val="7"/>
        </w:numPr>
        <w:jc w:val="both"/>
        <w:rPr/>
      </w:pPr>
      <w:r>
        <w:rPr/>
        <w:t>Deposition of the employees or representatives of the Parties shall be limited to five (5) each with the aggregate total hours of deposition time being limited to forty (40) hours per Party.</w:t>
      </w:r>
    </w:p>
    <w:p>
      <w:pPr>
        <w:pStyle w:val="Normal"/>
        <w:jc w:val="both"/>
        <w:rPr/>
      </w:pPr>
      <w:r>
        <w:rPr/>
      </w:r>
    </w:p>
    <w:p>
      <w:pPr>
        <w:pStyle w:val="Normal"/>
        <w:numPr>
          <w:ilvl w:val="0"/>
          <w:numId w:val="7"/>
        </w:numPr>
        <w:jc w:val="both"/>
        <w:rPr/>
      </w:pPr>
      <w:r>
        <w:rPr/>
        <w:t>Depositions of third parties shall be limited to five (5) per Party with the aggregate total hours of deposition time being limited to forty (40) hours per Party.</w:t>
      </w:r>
    </w:p>
    <w:p>
      <w:pPr>
        <w:pStyle w:val="Normal"/>
        <w:jc w:val="both"/>
        <w:rPr/>
      </w:pPr>
      <w:r>
        <w:rPr/>
      </w:r>
    </w:p>
    <w:p>
      <w:pPr>
        <w:pStyle w:val="Normal"/>
        <w:ind w:start="1440" w:end="0"/>
        <w:jc w:val="both"/>
        <w:rPr/>
      </w:pPr>
      <w:r>
        <w:rPr/>
        <w:t>All expenses and fees of the arbitrators and expenses for hearing facilities and other expenses of the arbitration shall be borne equally by the Parties unless they agree otherwise.</w:t>
      </w:r>
    </w:p>
    <w:p>
      <w:pPr>
        <w:pStyle w:val="Normal"/>
        <w:tabs>
          <w:tab w:val="left" w:pos="720" w:leader="none"/>
          <w:tab w:val="left" w:pos="1440" w:leader="none"/>
          <w:tab w:val="left" w:pos="2160" w:leader="none"/>
        </w:tabs>
        <w:jc w:val="both"/>
        <w:rPr/>
      </w:pPr>
      <w:r>
        <w:rPr/>
      </w:r>
    </w:p>
    <w:p>
      <w:pPr>
        <w:pStyle w:val="Normal"/>
        <w:tabs>
          <w:tab w:val="left" w:pos="720" w:leader="none"/>
          <w:tab w:val="left" w:pos="1440" w:leader="none"/>
          <w:tab w:val="left" w:pos="2160" w:leader="none"/>
        </w:tabs>
        <w:ind w:hanging="720" w:start="1440" w:end="0"/>
        <w:jc w:val="both"/>
        <w:rPr>
          <w:lang w:eastAsia="en-US"/>
        </w:rPr>
      </w:pPr>
      <w:r>
        <w:rPr/>
        <w:t>B.</w:t>
        <w:tab/>
      </w:r>
      <w:r>
        <w:rPr>
          <w:u w:val="single"/>
          <w:lang w:eastAsia="en-US"/>
        </w:rPr>
        <w:t>Agreement to Arbitrate</w:t>
      </w:r>
      <w:r>
        <w:rPr>
          <w:lang w:eastAsia="en-US"/>
        </w:rPr>
        <w:t>. Any dispute or need of interpretation [involving] [arising under]</w:t>
      </w:r>
      <w:r>
        <w:rPr>
          <w:vertAlign w:val="superscript"/>
          <w:lang w:eastAsia="en-US"/>
        </w:rPr>
        <w:t>1</w:t>
      </w:r>
      <w:r>
        <w:rPr>
          <w:lang w:eastAsia="en-US"/>
        </w:rPr>
        <w:t xml:space="preserve"> this Agreement [,excluding disputes with respect to (a) credit support, unless otherwise provided in the relevant credit support documents or (b) the merger or consolidation of a party] shall be submitted to binding arbitration. Such arbitration shall be conducted by one arbitrator qualified by education, experience or training to render a decision upon the issues in dispute, who has not previously been employed by either Party, and who does not have a direct or indirect interest in either Party or the subject matter of the arbitration.</w:t>
      </w:r>
      <w:r>
        <w:rPr>
          <w:vertAlign w:val="superscript"/>
          <w:lang w:eastAsia="en-US"/>
        </w:rPr>
        <w:t>2</w:t>
      </w:r>
      <w:r>
        <w:rPr>
          <w:lang w:eastAsia="en-US"/>
        </w:rPr>
        <w:t xml:space="preserve">  Such arbitrator shall either be mutually agreed upon by the Parties within 10 days after written notice from either Party to the other Party requesting arbitration, or failing agreement, the arbitration shall be conducted by a panel of three arbitrators having the qualifications set forth in the preceding sentence, one to be selected by each Party and the third arbitrator to be selected by the two arbitrators selected by the Parties.</w:t>
      </w:r>
      <w:r>
        <w:rPr>
          <w:vertAlign w:val="superscript"/>
          <w:lang w:eastAsia="en-US"/>
        </w:rPr>
        <w:t>3</w:t>
      </w:r>
      <w:r>
        <w:rPr>
          <w:lang w:eastAsia="en-US"/>
        </w:rPr>
        <w:t xml:space="preserve">  If either Party fails to notify the other Party of the arbitrator selected by it within 5 days after receiving notice of the other Party’s arbitrator, or if the two arbitrators selected fail to select a third arbitrator within 10 days after notice is given of the selection of the second arbitrator, then such arbitrator shall be selected under the expedited rules of the American Arbitration Association (the "AAA”).</w:t>
      </w:r>
      <w:r>
        <w:rPr>
          <w:vertAlign w:val="superscript"/>
          <w:lang w:eastAsia="en-US"/>
        </w:rPr>
        <w:t>4</w:t>
      </w:r>
    </w:p>
    <w:p>
      <w:pPr>
        <w:pStyle w:val="Normal"/>
        <w:jc w:val="both"/>
        <w:rPr>
          <w:lang w:eastAsia="en-US"/>
        </w:rPr>
      </w:pPr>
      <w:r>
        <w:rPr>
          <w:lang w:eastAsia="en-US"/>
        </w:rPr>
      </w:r>
    </w:p>
    <w:p>
      <w:pPr>
        <w:pStyle w:val="Normal"/>
        <w:ind w:start="1440" w:end="0"/>
        <w:jc w:val="both"/>
        <w:rPr>
          <w:lang w:eastAsia="en-US"/>
        </w:rPr>
      </w:pPr>
      <w:r>
        <w:rPr>
          <w:lang w:eastAsia="en-US"/>
        </w:rPr>
        <w:t>Such arbitration shall be held in [alternating locations of the home offices of the Parties, commencing with the initiating Party’s home office, or in] any other location agreed upon by the arbitrator(s).</w:t>
      </w:r>
      <w:r>
        <w:rPr>
          <w:vertAlign w:val="superscript"/>
          <w:lang w:eastAsia="en-US"/>
        </w:rPr>
        <w:t>5</w:t>
      </w:r>
      <w:r>
        <w:rPr>
          <w:lang w:eastAsia="en-US"/>
        </w:rPr>
        <w:t xml:space="preserve">  The Parties shall divide equally the cost of the arbitrators and the arbitration proceeding, and each Party shall be responsible for its own expenses and those of its counsel or other representative. The [commercial arbitration rules of the AAA] shall apply to the extent not inconsistent with the rules herein specified. </w:t>
      </w:r>
      <w:r>
        <w:rPr>
          <w:vertAlign w:val="superscript"/>
          <w:lang w:eastAsia="en-US"/>
        </w:rPr>
        <w:t>6</w:t>
      </w:r>
    </w:p>
    <w:p>
      <w:pPr>
        <w:pStyle w:val="Normal"/>
        <w:jc w:val="both"/>
        <w:rPr>
          <w:lang w:eastAsia="en-US"/>
        </w:rPr>
      </w:pPr>
      <w:r>
        <w:rPr>
          <w:lang w:eastAsia="en-US"/>
        </w:rPr>
      </w:r>
    </w:p>
    <w:p>
      <w:pPr>
        <w:pStyle w:val="Normal"/>
        <w:ind w:firstLine="720" w:start="720" w:end="0"/>
        <w:jc w:val="both"/>
        <w:rPr>
          <w:lang w:eastAsia="en-US"/>
        </w:rPr>
      </w:pPr>
      <w:r>
        <w:rPr>
          <w:lang w:eastAsia="en-US"/>
        </w:rPr>
        <w:t>The arbitration shall be conducted according to the following:</w:t>
      </w:r>
    </w:p>
    <w:p>
      <w:pPr>
        <w:pStyle w:val="Normal"/>
        <w:jc w:val="both"/>
        <w:rPr>
          <w:lang w:eastAsia="en-US"/>
        </w:rPr>
      </w:pPr>
      <w:r>
        <w:rPr>
          <w:lang w:eastAsia="en-US"/>
        </w:rPr>
      </w:r>
    </w:p>
    <w:p>
      <w:pPr>
        <w:pStyle w:val="Normal"/>
        <w:tabs>
          <w:tab w:val="clear" w:pos="720"/>
          <w:tab w:val="left" w:pos="2160" w:leader="none"/>
        </w:tabs>
        <w:ind w:hanging="720" w:start="2160" w:end="0"/>
        <w:jc w:val="both"/>
        <w:rPr>
          <w:lang w:eastAsia="en-US"/>
        </w:rPr>
      </w:pPr>
      <w:r>
        <w:rPr>
          <w:lang w:eastAsia="en-US"/>
        </w:rPr>
        <w:t>(a)</w:t>
        <w:tab/>
        <w:t>the arbitration hearing shall be conducted over a period of no more than 5 business days, without continuance or adjournment, under time constraints imposed by the arbitrator(s) to give each Party equal time;</w:t>
      </w:r>
    </w:p>
    <w:p>
      <w:pPr>
        <w:pStyle w:val="Normal"/>
        <w:jc w:val="both"/>
        <w:rPr>
          <w:lang w:eastAsia="en-US"/>
        </w:rPr>
      </w:pPr>
      <w:r>
        <w:rPr>
          <w:lang w:eastAsia="en-US"/>
        </w:rPr>
      </w:r>
    </w:p>
    <w:p>
      <w:pPr>
        <w:pStyle w:val="Normal"/>
        <w:ind w:hanging="720" w:start="2160" w:end="0"/>
        <w:jc w:val="both"/>
        <w:rPr>
          <w:lang w:eastAsia="en-US"/>
        </w:rPr>
      </w:pPr>
      <w:r>
        <w:rPr>
          <w:lang w:eastAsia="en-US"/>
        </w:rPr>
        <w:t>(b)</w:t>
        <w:tab/>
        <w:t>there shall be no pre-hearing written interrogatories, written requests for admission or discovery depositions;</w:t>
      </w:r>
    </w:p>
    <w:p>
      <w:pPr>
        <w:pStyle w:val="Normal"/>
        <w:jc w:val="both"/>
        <w:rPr>
          <w:lang w:eastAsia="en-US"/>
        </w:rPr>
      </w:pPr>
      <w:r>
        <w:rPr>
          <w:lang w:eastAsia="en-US"/>
        </w:rPr>
      </w:r>
    </w:p>
    <w:p>
      <w:pPr>
        <w:pStyle w:val="Normal"/>
        <w:ind w:hanging="720" w:start="2160" w:end="0"/>
        <w:jc w:val="both"/>
        <w:rPr>
          <w:lang w:eastAsia="en-US"/>
        </w:rPr>
      </w:pPr>
      <w:r>
        <w:rPr>
          <w:lang w:eastAsia="en-US"/>
        </w:rPr>
        <w:t>(c)</w:t>
        <w:tab/>
        <w:t>the arbitrator(s) may require the Parties to respond to limited and reasonable requests for pre-hearing production of documents from the opposing Party, however the arbitrator(s) shall require such document production only where necessary to avoid injustice;</w:t>
      </w:r>
    </w:p>
    <w:p>
      <w:pPr>
        <w:pStyle w:val="Normal"/>
        <w:jc w:val="both"/>
        <w:rPr>
          <w:lang w:eastAsia="en-US"/>
        </w:rPr>
      </w:pPr>
      <w:r>
        <w:rPr>
          <w:lang w:eastAsia="en-US"/>
        </w:rPr>
      </w:r>
    </w:p>
    <w:p>
      <w:pPr>
        <w:pStyle w:val="Normal"/>
        <w:ind w:hanging="720" w:start="2160" w:end="0"/>
        <w:jc w:val="both"/>
        <w:rPr>
          <w:lang w:eastAsia="en-US"/>
        </w:rPr>
      </w:pPr>
      <w:r>
        <w:rPr>
          <w:lang w:eastAsia="en-US"/>
        </w:rPr>
        <w:t>(d)</w:t>
        <w:tab/>
        <w:t>the arbitrator(s) shall require that a Party requesting pre-hearing production of documents reimburse the producing Party for the costs associated with responding to such requests; and</w:t>
      </w:r>
    </w:p>
    <w:p>
      <w:pPr>
        <w:pStyle w:val="Normal"/>
        <w:jc w:val="both"/>
        <w:rPr>
          <w:lang w:eastAsia="en-US"/>
        </w:rPr>
      </w:pPr>
      <w:r>
        <w:rPr>
          <w:lang w:eastAsia="en-US"/>
        </w:rPr>
      </w:r>
    </w:p>
    <w:p>
      <w:pPr>
        <w:pStyle w:val="Normal"/>
        <w:ind w:hanging="720" w:start="2160" w:end="0"/>
        <w:jc w:val="both"/>
        <w:rPr>
          <w:lang w:eastAsia="en-US"/>
        </w:rPr>
      </w:pPr>
      <w:r>
        <w:rPr>
          <w:lang w:eastAsia="en-US"/>
        </w:rPr>
        <w:t>(e)</w:t>
        <w:tab/>
        <w:t>Parties may submit brief statements of their arguments, not more than 10 pages in length, no later than five (5) days prior to the hearing date; and</w:t>
      </w:r>
    </w:p>
    <w:p>
      <w:pPr>
        <w:pStyle w:val="Normal"/>
        <w:jc w:val="both"/>
        <w:rPr>
          <w:lang w:eastAsia="en-US"/>
        </w:rPr>
      </w:pPr>
      <w:r>
        <w:rPr>
          <w:lang w:eastAsia="en-US"/>
        </w:rPr>
      </w:r>
    </w:p>
    <w:p>
      <w:pPr>
        <w:pStyle w:val="Normal"/>
        <w:ind w:hanging="720" w:start="2160" w:end="0"/>
        <w:jc w:val="both"/>
        <w:rPr>
          <w:lang w:eastAsia="en-US"/>
        </w:rPr>
      </w:pPr>
      <w:r>
        <w:rPr>
          <w:lang w:eastAsia="en-US"/>
        </w:rPr>
        <w:t>(f)</w:t>
        <w:tab/>
        <w:t>Evidence shall not be permissible concerning the financial position or organizational make-up of the Parties, any offer made or the details of any negotiation conducted prior to the arbitration or the cost to the Parties of their representatives and counsel.</w:t>
      </w:r>
      <w:r>
        <w:rPr>
          <w:vertAlign w:val="superscript"/>
          <w:lang w:eastAsia="en-US"/>
        </w:rPr>
        <w:t>7</w:t>
      </w:r>
    </w:p>
    <w:p>
      <w:pPr>
        <w:pStyle w:val="Normal"/>
        <w:jc w:val="both"/>
        <w:rPr>
          <w:lang w:eastAsia="en-US"/>
        </w:rPr>
      </w:pPr>
      <w:r>
        <w:rPr>
          <w:lang w:eastAsia="en-US"/>
        </w:rPr>
      </w:r>
    </w:p>
    <w:p>
      <w:pPr>
        <w:pStyle w:val="Normal"/>
        <w:ind w:start="1440" w:end="0"/>
        <w:jc w:val="both"/>
        <w:rPr>
          <w:lang w:eastAsia="en-US"/>
        </w:rPr>
      </w:pPr>
      <w:r>
        <w:rPr>
          <w:lang w:eastAsia="en-US"/>
        </w:rPr>
        <w:t>[In addition to the foregoing rules, for the arbitration of disputes pertaining solely to the calculation of a Termination Payment, a payment required pursuant to Section ____ or a credit assurance amount required pursuant to Article ___, the Parties shall submit, not later than two (2) days prior to the hearing date set by the arbitrator, a single proposal for settlement and the arbitrator(s) shall be limited to selecting only one of the two proposals submitted by the Parties.]</w:t>
      </w:r>
      <w:r>
        <w:rPr>
          <w:vertAlign w:val="superscript"/>
          <w:lang w:eastAsia="en-US"/>
        </w:rPr>
        <w:t>8</w:t>
      </w:r>
    </w:p>
    <w:p>
      <w:pPr>
        <w:pStyle w:val="Normal"/>
        <w:jc w:val="both"/>
        <w:rPr>
          <w:lang w:eastAsia="en-US"/>
        </w:rPr>
      </w:pPr>
      <w:r>
        <w:rPr>
          <w:lang w:eastAsia="en-US"/>
        </w:rPr>
      </w:r>
    </w:p>
    <w:p>
      <w:pPr>
        <w:pStyle w:val="Normal"/>
        <w:ind w:start="1440" w:end="0"/>
        <w:jc w:val="both"/>
        <w:rPr/>
      </w:pPr>
      <w:r>
        <w:rPr>
          <w:lang w:eastAsia="en-US"/>
        </w:rPr>
        <w:t>The validity, construction and interpretation of this agreement to arbitrate, and all procedural aspects of the arbitration conducted pursuant hereto shall be decided by the arbitrator(s).</w:t>
      </w:r>
      <w:r>
        <w:rPr>
          <w:vertAlign w:val="superscript"/>
          <w:lang w:eastAsia="en-US"/>
        </w:rPr>
        <w:t>9</w:t>
      </w:r>
      <w:r>
        <w:rPr>
          <w:lang w:eastAsia="en-US"/>
        </w:rPr>
        <w:t xml:space="preserve">  In deciding the substance of the Parties’ claims, the arbitrator(s) shall refer to the governing law referenced in this Master Agreement. It is agreed that the arbitrator(s) shall have no authority to award treble, exemplary or punitive damages of any type under any circumstances whether or not such damages may be available under state or federal law, or the rules of the AAA.</w:t>
      </w:r>
      <w:r>
        <w:rPr>
          <w:vertAlign w:val="superscript"/>
          <w:lang w:eastAsia="en-US"/>
        </w:rPr>
        <w:t>10</w:t>
      </w:r>
      <w:r>
        <w:rPr>
          <w:lang w:eastAsia="en-US"/>
        </w:rPr>
        <w:t xml:space="preserve">  The arbitrator(s) shall have the right only to interpret and apply the terms and conditions of this Agreement, but may not change any term or condition of this Agreement, deprive either Party of any right or remedy expressly provided hereunder, or provide any right or remedy that has been excluded hereunder. To the fullest extent permitted by law, any arbitration proceeding and subsequent arbitration award shall be maintained in confidence by the Parties.</w:t>
      </w:r>
    </w:p>
    <w:p>
      <w:pPr>
        <w:pStyle w:val="Normal"/>
        <w:jc w:val="both"/>
        <w:rPr>
          <w:lang w:eastAsia="en-US"/>
        </w:rPr>
      </w:pPr>
      <w:r>
        <w:rPr>
          <w:lang w:eastAsia="en-US"/>
        </w:rPr>
      </w:r>
    </w:p>
    <w:p>
      <w:pPr>
        <w:pStyle w:val="Normal"/>
        <w:ind w:start="1440" w:end="0"/>
        <w:jc w:val="both"/>
        <w:rPr>
          <w:lang w:eastAsia="en-US"/>
        </w:rPr>
      </w:pPr>
      <w:r>
        <w:rPr>
          <w:u w:val="single"/>
          <w:lang w:eastAsia="en-US"/>
        </w:rPr>
        <w:t>Binding Nature of the Proceedings</w:t>
      </w:r>
      <w:r>
        <w:rPr>
          <w:lang w:eastAsia="en-US"/>
        </w:rPr>
        <w:t>. Each Party understands that this Agreement contains an agreement to arbitrate. After signing this Agreement, each Party understands that it will not be able to bring a lawsuit concerning any issue which is covered by this arbitration provision.  Instead, each Party agrees to submit any such dispute to arbitration. Any award of the arbitrator(s) may be enforced in any court of competent jurisdiction by the Party in whose favor such award is made.</w:t>
      </w:r>
      <w:r>
        <w:rPr>
          <w:vertAlign w:val="superscript"/>
          <w:lang w:eastAsia="en-US"/>
        </w:rPr>
        <w:t>11</w:t>
      </w:r>
    </w:p>
    <w:p>
      <w:pPr>
        <w:pStyle w:val="Normal"/>
        <w:ind w:start="1440" w:end="0"/>
        <w:jc w:val="both"/>
        <w:rPr>
          <w:u w:val="single"/>
          <w:lang w:eastAsia="en-US"/>
        </w:rPr>
      </w:pPr>
      <w:r>
        <w:rPr>
          <w:u w:val="single"/>
          <w:lang w:eastAsia="en-US"/>
        </w:rPr>
      </w:r>
    </w:p>
    <w:p>
      <w:pPr>
        <w:pStyle w:val="Normal"/>
        <w:pBdr>
          <w:top w:val="single" w:sz="18" w:space="1" w:color="000000"/>
        </w:pBdr>
        <w:ind w:start="1440" w:end="0"/>
        <w:jc w:val="both"/>
        <w:rPr/>
      </w:pPr>
      <w:r>
        <w:rPr>
          <w:vertAlign w:val="superscript"/>
          <w:lang w:eastAsia="en-US"/>
        </w:rPr>
        <w:t>1</w:t>
      </w:r>
      <w:r>
        <w:rPr>
          <w:lang w:eastAsia="en-US"/>
        </w:rPr>
        <w:t>This language defines the scope of the arbitration clause. This language is an attempt to strike a balance between the more narrow arbitration clauses which limit arbitration to disputes pertaining to the calculation of settlement amounts or termination payments, and the very broad clauses which purport to make the agreement to arbitrate applicable to any claim, cause of action or controversy arising out of not only the agreement itself, but the relationship between the Parties regardless of whether such claims are extra-contractual in nature.</w:t>
      </w:r>
    </w:p>
    <w:p>
      <w:pPr>
        <w:pStyle w:val="Normal"/>
        <w:ind w:start="1440" w:end="0"/>
        <w:jc w:val="both"/>
        <w:rPr/>
      </w:pPr>
      <w:r>
        <w:rPr>
          <w:vertAlign w:val="superscript"/>
          <w:lang w:eastAsia="en-US"/>
        </w:rPr>
        <w:t>2</w:t>
      </w:r>
      <w:r>
        <w:rPr>
          <w:lang w:eastAsia="en-US"/>
        </w:rPr>
        <w:t>This clause seeks to establish certain minimal qualification requirements for the arbitrator. Parties may also set forth very specific requirements. For instance, some marketers have required arbitrators to have at least eight (8) years professional experience in energy related transactions.</w:t>
      </w:r>
    </w:p>
    <w:p>
      <w:pPr>
        <w:pStyle w:val="Normal"/>
        <w:ind w:start="1440" w:end="0"/>
        <w:jc w:val="both"/>
        <w:rPr/>
      </w:pPr>
      <w:r>
        <w:rPr>
          <w:vertAlign w:val="superscript"/>
          <w:lang w:eastAsia="en-US"/>
        </w:rPr>
        <w:t>3</w:t>
      </w:r>
      <w:r>
        <w:rPr>
          <w:lang w:eastAsia="en-US"/>
        </w:rPr>
        <w:t xml:space="preserve">To provide greater flexibility for the Parties, this language provides for arbitration with one arbitrator or a panel of three should the Parties be unable to agree upon a single arbitrator. The time period for agreeing upon a single arbitrator is often the subject of negotiation between to the Parties. </w:t>
      </w:r>
      <w:r>
        <w:rPr>
          <w:vertAlign w:val="superscript"/>
          <w:lang w:eastAsia="en-US"/>
        </w:rPr>
        <w:t>4</w:t>
      </w:r>
      <w:r>
        <w:rPr>
          <w:lang w:eastAsia="en-US"/>
        </w:rPr>
        <w:t>The process set forth in the expedited rules of the AAA for the selection of an arbitrator takes seven (7) days.</w:t>
      </w:r>
    </w:p>
    <w:p>
      <w:pPr>
        <w:pStyle w:val="Normal"/>
        <w:ind w:start="1440" w:end="0"/>
        <w:jc w:val="both"/>
        <w:rPr/>
      </w:pPr>
      <w:r>
        <w:rPr>
          <w:vertAlign w:val="superscript"/>
          <w:lang w:eastAsia="en-US"/>
        </w:rPr>
        <w:t>5</w:t>
      </w:r>
      <w:r>
        <w:rPr>
          <w:lang w:eastAsia="en-US"/>
        </w:rPr>
        <w:t xml:space="preserve">any of the arbitration clauses reviewed are drafted by Parties to provide that the arbitration is to take place at their home office. To strike a balance between the competing interests of the counterparties utilizing the agreement, this language provides for alternating locations for arbitration. </w:t>
      </w:r>
    </w:p>
    <w:p>
      <w:pPr>
        <w:pStyle w:val="Normal"/>
        <w:ind w:start="1440" w:end="0"/>
        <w:jc w:val="both"/>
        <w:rPr>
          <w:lang w:eastAsia="en-US"/>
        </w:rPr>
      </w:pPr>
      <w:r>
        <w:rPr>
          <w:lang w:eastAsia="en-US"/>
        </w:rPr>
        <w:t>An alternative approach allows the arbitrator(s) to decide the location.</w:t>
      </w:r>
    </w:p>
    <w:p>
      <w:pPr>
        <w:pStyle w:val="Normal"/>
        <w:ind w:start="1440" w:end="0"/>
        <w:jc w:val="both"/>
        <w:rPr/>
      </w:pPr>
      <w:r>
        <w:rPr>
          <w:vertAlign w:val="superscript"/>
          <w:lang w:eastAsia="en-US"/>
        </w:rPr>
        <w:t>6</w:t>
      </w:r>
      <w:r>
        <w:rPr>
          <w:lang w:eastAsia="en-US"/>
        </w:rPr>
        <w:t>Many arbitration clauses provide for the arbitration to be governed by the commercial arbitration rules of the AAA. However, Parties may take other approaches. An example of an alternative approach would be arbitration conducted in accordance with the Federal Arbitration Act, applying the AAA rules to the extent an issue is not covered by the Federal Arbitration Act.</w:t>
      </w:r>
    </w:p>
    <w:p>
      <w:pPr>
        <w:pStyle w:val="Normal"/>
        <w:ind w:start="1440" w:end="0"/>
        <w:jc w:val="both"/>
        <w:rPr/>
      </w:pPr>
      <w:r>
        <w:rPr>
          <w:vertAlign w:val="superscript"/>
          <w:lang w:eastAsia="en-US"/>
        </w:rPr>
        <w:t>7</w:t>
      </w:r>
      <w:r>
        <w:rPr>
          <w:lang w:eastAsia="en-US"/>
        </w:rPr>
        <w:t>Rules “a” and “e” appear in some provisions in particular those that sought to establish “baseball” arbitration between the Parties. Rules “b,” “c,” “d” &amp; “e” comprise an effort to expedite and restrict the scope of any pre-hearing discovery that may be requested by one or both Parties to the  arbitration. A different approach is might provide a fixed time period for discovery, presentation of evidence, and argument, giving responsibility for expediting the process to the arbitrator.</w:t>
      </w:r>
    </w:p>
    <w:p>
      <w:pPr>
        <w:pStyle w:val="Normal"/>
        <w:ind w:start="1440" w:end="0"/>
        <w:jc w:val="both"/>
        <w:rPr/>
      </w:pPr>
      <w:r>
        <w:rPr>
          <w:vertAlign w:val="superscript"/>
          <w:lang w:eastAsia="en-US"/>
        </w:rPr>
        <w:t>8</w:t>
      </w:r>
      <w:r>
        <w:rPr>
          <w:lang w:eastAsia="en-US"/>
        </w:rPr>
        <w:t>This clause seeks to retain the concept of “baseball” arbitration solely with respect to strictly monetary disputes.</w:t>
      </w:r>
    </w:p>
    <w:p>
      <w:pPr>
        <w:pStyle w:val="Normal"/>
        <w:ind w:start="1440" w:end="0"/>
        <w:jc w:val="both"/>
        <w:rPr/>
      </w:pPr>
      <w:r>
        <w:rPr>
          <w:vertAlign w:val="superscript"/>
          <w:lang w:eastAsia="en-US"/>
        </w:rPr>
        <w:t>9</w:t>
      </w:r>
      <w:r>
        <w:rPr>
          <w:lang w:eastAsia="en-US"/>
        </w:rPr>
        <w:t>This clause seeks to limit disputes about dispute resolution to arbitration, avoiding litigation over the validity and interpretation of the arbitration clause itself.</w:t>
      </w:r>
    </w:p>
    <w:p>
      <w:pPr>
        <w:pStyle w:val="Normal"/>
        <w:ind w:start="1440" w:end="0"/>
        <w:jc w:val="both"/>
        <w:rPr/>
      </w:pPr>
      <w:r>
        <w:rPr>
          <w:vertAlign w:val="superscript"/>
          <w:lang w:eastAsia="en-US"/>
        </w:rPr>
        <w:t>10</w:t>
      </w:r>
      <w:r>
        <w:rPr>
          <w:lang w:eastAsia="en-US"/>
        </w:rPr>
        <w:t>This clause attempts to exclude damages in the arbitration context in a manner consistent with the exclusion of damages in the master agreement itself.</w:t>
      </w:r>
    </w:p>
    <w:p>
      <w:pPr>
        <w:pStyle w:val="Normal"/>
        <w:ind w:start="1440" w:end="0"/>
        <w:jc w:val="both"/>
        <w:rPr/>
      </w:pPr>
      <w:r>
        <w:rPr>
          <w:vertAlign w:val="superscript"/>
          <w:lang w:eastAsia="en-US"/>
        </w:rPr>
        <w:t>11</w:t>
      </w:r>
      <w:r>
        <w:rPr>
          <w:lang w:eastAsia="en-US"/>
        </w:rPr>
        <w:t>Other notable issues addressed by arbitration clauses but not included in this sample include: carve-outs for disputes subject to FERC jurisdiction, time limitations on the assertion of claims under the arbitration clause, the posting of bond or collateral during the course of an arbitration, provisions barring the creation of a transcript or record of the proceedings, and time limits on the decision-making process itself.</w:t>
      </w:r>
    </w:p>
    <w:p>
      <w:pPr>
        <w:pStyle w:val="Normal"/>
        <w:ind w:start="1440" w:end="0"/>
        <w:jc w:val="both"/>
        <w:rPr>
          <w:lang w:eastAsia="en-US"/>
        </w:rPr>
      </w:pPr>
      <w:r>
        <w:rPr>
          <w:lang w:eastAsia="en-US"/>
        </w:rPr>
      </w:r>
    </w:p>
    <w:p>
      <w:pPr>
        <w:pStyle w:val="Normal"/>
        <w:numPr>
          <w:ilvl w:val="0"/>
          <w:numId w:val="10"/>
        </w:numPr>
        <w:jc w:val="both"/>
        <w:rPr/>
      </w:pPr>
      <w:r>
        <w:rPr/>
        <w:t>Agency Provisions:</w:t>
      </w:r>
    </w:p>
    <w:p>
      <w:pPr>
        <w:pStyle w:val="Normal"/>
        <w:jc w:val="both"/>
        <w:rPr/>
      </w:pPr>
      <w:r>
        <w:rPr/>
      </w:r>
    </w:p>
    <w:p>
      <w:pPr>
        <w:pStyle w:val="Normal"/>
        <w:ind w:start="720" w:end="0"/>
        <w:jc w:val="both"/>
        <w:rPr/>
      </w:pPr>
      <w:r>
        <w:rPr/>
        <w:t>Oftentimes an agent will perform certain acts for the contracting party and it is appropriate to include a provision dealing with this on the Cover Sheet or on the Transaction Confirmation:</w:t>
      </w:r>
    </w:p>
    <w:p>
      <w:pPr>
        <w:pStyle w:val="Normal"/>
        <w:ind w:start="720" w:end="0"/>
        <w:jc w:val="both"/>
        <w:rPr/>
      </w:pPr>
      <w:r>
        <w:rPr/>
      </w:r>
    </w:p>
    <w:p>
      <w:pPr>
        <w:pStyle w:val="Normal"/>
        <w:ind w:start="720" w:end="0"/>
        <w:jc w:val="both"/>
        <w:rPr/>
      </w:pPr>
      <w:r>
        <w:rPr/>
        <w:t>Issues include:  Limited Authority of Agent i.e., for all or limited scheduling and nominations (but not for payment)</w:t>
      </w:r>
    </w:p>
    <w:p>
      <w:pPr>
        <w:pStyle w:val="Normal"/>
        <w:jc w:val="both"/>
        <w:rPr/>
      </w:pPr>
      <w:r>
        <w:rPr/>
      </w:r>
    </w:p>
    <w:p>
      <w:pPr>
        <w:pStyle w:val="Normal"/>
        <w:numPr>
          <w:ilvl w:val="0"/>
          <w:numId w:val="10"/>
        </w:numPr>
        <w:jc w:val="both"/>
        <w:rPr/>
      </w:pPr>
      <w:r>
        <w:rPr/>
        <w:t>Market Disruptions:</w:t>
      </w:r>
    </w:p>
    <w:p>
      <w:pPr>
        <w:pStyle w:val="Normal"/>
        <w:jc w:val="both"/>
        <w:rPr/>
      </w:pPr>
      <w:r>
        <w:rPr/>
      </w:r>
    </w:p>
    <w:p>
      <w:pPr>
        <w:pStyle w:val="Normal"/>
        <w:ind w:start="720" w:end="0"/>
        <w:jc w:val="both"/>
        <w:rPr/>
      </w:pPr>
      <w:r>
        <w:rPr/>
        <w:t>When prices are based on an index, a market disruption provision is appropriate and recommended:</w:t>
      </w:r>
    </w:p>
    <w:p>
      <w:pPr>
        <w:pStyle w:val="Normal"/>
        <w:ind w:start="720" w:end="0"/>
        <w:jc w:val="both"/>
        <w:rPr/>
      </w:pPr>
      <w:r>
        <w:rPr/>
      </w:r>
    </w:p>
    <w:p>
      <w:pPr>
        <w:pStyle w:val="BodyText"/>
        <w:tabs>
          <w:tab w:val="clear" w:pos="1440"/>
          <w:tab w:val="left" w:pos="720" w:leader="none"/>
        </w:tabs>
        <w:jc w:val="both"/>
        <w:rPr>
          <w:rFonts w:ascii="Times New Roman" w:hAnsi="Times New Roman" w:cs="Times New Roman"/>
        </w:rPr>
      </w:pPr>
      <w:r>
        <w:rPr>
          <w:rFonts w:cs="Times New Roman" w:ascii="Times New Roman" w:hAnsi="Times New Roman"/>
        </w:rPr>
        <w:tab/>
        <w:t>Index Transactions.  The following provision is added as Section ____:</w:t>
      </w:r>
    </w:p>
    <w:p>
      <w:pPr>
        <w:pStyle w:val="Normal"/>
        <w:spacing w:lineRule="atLeast" w:line="240"/>
        <w:jc w:val="both"/>
        <w:rPr>
          <w:rFonts w:ascii="Times New Roman" w:hAnsi="Times New Roman" w:cs="Times New Roman"/>
          <w:color w:val="000000"/>
          <w:lang w:eastAsia="en-US"/>
        </w:rPr>
      </w:pPr>
      <w:r>
        <w:rPr>
          <w:rFonts w:cs="Times New Roman"/>
          <w:color w:val="000000"/>
          <w:lang w:eastAsia="en-US"/>
        </w:rPr>
      </w:r>
    </w:p>
    <w:p>
      <w:pPr>
        <w:pStyle w:val="BodyTextIndent2"/>
        <w:tabs>
          <w:tab w:val="clear" w:pos="720"/>
          <w:tab w:val="left" w:pos="1440" w:leader="none"/>
        </w:tabs>
        <w:ind w:hanging="1440" w:start="1440" w:end="0"/>
        <w:jc w:val="both"/>
        <w:rPr/>
      </w:pPr>
      <w:r>
        <w:rPr/>
        <w:tab/>
        <w:t>(a)</w:t>
        <w:tab/>
        <w:t xml:space="preserve">Market Disruption.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provided, however,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w:t>
      </w:r>
      <w:r>
        <w:rPr>
          <w:color w:val="000000"/>
        </w:rPr>
        <w:t>determined with each party obtaining in good faith a quote from a leading dealer in the relevant market and averaging the two quotes.</w:t>
      </w:r>
    </w:p>
    <w:p>
      <w:pPr>
        <w:pStyle w:val="Normal"/>
        <w:spacing w:lineRule="atLeast" w:line="240"/>
        <w:jc w:val="both"/>
        <w:rPr>
          <w:color w:val="000000"/>
          <w:lang w:eastAsia="en-US"/>
        </w:rPr>
      </w:pPr>
      <w:r>
        <w:rPr>
          <w:color w:val="000000"/>
          <w:lang w:eastAsia="en-US"/>
        </w:rPr>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Determination Period” means each calendar month during the term of the relevant Transaction; provided that if the term of the Transaction is less than one calendar month the Determination Period shall be the term of the Transaction.</w:t>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t>"Floating Price" means the price specified in the Transaction as being based upon a specified index.</w:t>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Market Disruption Event"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r>
    </w:p>
    <w:p>
      <w:pPr>
        <w:pStyle w:val="BodyText"/>
        <w:tabs>
          <w:tab w:val="clear" w:pos="1440"/>
          <w:tab w:val="left" w:pos="630" w:leader="none"/>
        </w:tabs>
        <w:ind w:start="216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Trading Day” means a day in respect of which the relevant price source published the relevant price.</w:t>
      </w:r>
    </w:p>
    <w:p>
      <w:pPr>
        <w:pStyle w:val="Normal"/>
        <w:spacing w:lineRule="atLeast" w:line="240"/>
        <w:jc w:val="both"/>
        <w:rPr>
          <w:rFonts w:ascii="Times New Roman" w:hAnsi="Times New Roman" w:cs="Times New Roman"/>
          <w:color w:val="000000"/>
          <w:lang w:eastAsia="en-US"/>
        </w:rPr>
      </w:pPr>
      <w:r>
        <w:rPr>
          <w:rFonts w:cs="Times New Roman"/>
          <w:color w:val="000000"/>
          <w:lang w:eastAsia="en-US"/>
        </w:rPr>
      </w:r>
    </w:p>
    <w:p>
      <w:pPr>
        <w:pStyle w:val="BodyText"/>
        <w:tabs>
          <w:tab w:val="left" w:pos="720" w:leader="none"/>
          <w:tab w:val="left" w:pos="1440" w:leader="none"/>
        </w:tabs>
        <w:ind w:hanging="1440" w:start="1440" w:end="0"/>
        <w:jc w:val="both"/>
        <w:rPr>
          <w:rFonts w:ascii="Times New Roman" w:hAnsi="Times New Roman" w:cs="Times New Roman"/>
        </w:rPr>
      </w:pPr>
      <w:r>
        <w:rPr>
          <w:rFonts w:cs="Times New Roman" w:ascii="Times New Roman" w:hAnsi="Times New Roman"/>
        </w:rPr>
        <w:tab/>
        <w:t>(b)</w:t>
        <w:tab/>
        <w:t>Corrections to Published Prices.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lineRule="atLeast" w:line="240"/>
        <w:jc w:val="both"/>
        <w:rPr>
          <w:color w:val="000000"/>
          <w:lang w:eastAsia="en-US"/>
        </w:rPr>
      </w:pPr>
      <w:r>
        <w:rPr>
          <w:color w:val="000000"/>
          <w:lang w:eastAsia="en-US"/>
        </w:rPr>
      </w:r>
    </w:p>
    <w:p>
      <w:pPr>
        <w:pStyle w:val="BodyText"/>
        <w:tabs>
          <w:tab w:val="left" w:pos="720" w:leader="none"/>
          <w:tab w:val="left" w:pos="1440" w:leader="none"/>
        </w:tabs>
        <w:ind w:hanging="1440" w:start="1440" w:end="0"/>
        <w:jc w:val="both"/>
        <w:rPr>
          <w:rFonts w:ascii="Times New Roman" w:hAnsi="Times New Roman" w:cs="Times New Roman"/>
        </w:rPr>
      </w:pPr>
      <w:r>
        <w:rPr>
          <w:rFonts w:cs="Times New Roman" w:ascii="Times New Roman" w:hAnsi="Times New Roman"/>
        </w:rPr>
        <w:tab/>
        <w:t>(c)</w:t>
        <w:tab/>
        <w:t>Calculation of Floating Price.   For the purposes of the calculation of a Floating Price,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p>
    <w:p>
      <w:pPr>
        <w:pStyle w:val="Normal"/>
        <w:jc w:val="both"/>
        <w:rPr>
          <w:rFonts w:ascii="Times New Roman" w:hAnsi="Times New Roman" w:cs="Times New Roman"/>
        </w:rPr>
      </w:pPr>
      <w:r>
        <w:rPr>
          <w:rFonts w:cs="Times New Roman"/>
        </w:rPr>
      </w:r>
    </w:p>
    <w:p>
      <w:pPr>
        <w:pStyle w:val="Normal"/>
        <w:numPr>
          <w:ilvl w:val="0"/>
          <w:numId w:val="10"/>
        </w:numPr>
        <w:jc w:val="both"/>
        <w:rPr/>
      </w:pPr>
      <w:r>
        <w:rPr/>
        <w:t>Additional Set-off Language:</w:t>
      </w:r>
    </w:p>
    <w:p>
      <w:pPr>
        <w:pStyle w:val="Normal"/>
        <w:jc w:val="both"/>
        <w:rPr/>
      </w:pPr>
      <w:r>
        <w:rPr/>
      </w:r>
    </w:p>
    <w:p>
      <w:pPr>
        <w:pStyle w:val="Normal"/>
        <w:ind w:start="720" w:end="0"/>
        <w:jc w:val="both"/>
        <w:rPr/>
      </w:pPr>
      <w:r>
        <w:rPr/>
        <w:t>Many users of the EEI Agreement like to add additional set-off language when multiple transactions with a counterparty (and their Affiliates) is contemplated:</w:t>
      </w:r>
    </w:p>
    <w:p>
      <w:pPr>
        <w:pStyle w:val="Normal"/>
        <w:ind w:start="720" w:end="0"/>
        <w:jc w:val="both"/>
        <w:rPr/>
      </w:pPr>
      <w:r>
        <w:rPr/>
      </w:r>
    </w:p>
    <w:p>
      <w:pPr>
        <w:pStyle w:val="BodyText"/>
        <w:tabs>
          <w:tab w:val="clear" w:pos="1440"/>
          <w:tab w:val="left" w:pos="720" w:leader="none"/>
        </w:tabs>
        <w:ind w:hanging="720" w:start="1440" w:end="0"/>
        <w:jc w:val="both"/>
        <w:rPr>
          <w:rFonts w:ascii="Times New Roman" w:hAnsi="Times New Roman" w:cs="Times New Roman"/>
        </w:rPr>
      </w:pPr>
      <w:r>
        <w:rPr>
          <w:rFonts w:cs="Times New Roman" w:ascii="Times New Roman" w:hAnsi="Times New Roman"/>
        </w:rPr>
        <w:t>A.</w:t>
        <w:tab/>
        <w:t>Notice of Payment of Termination Payment.  The following shall be added to the end of Section ____:</w:t>
      </w:r>
    </w:p>
    <w:p>
      <w:pPr>
        <w:pStyle w:val="Normal"/>
        <w:spacing w:lineRule="atLeast" w:line="240"/>
        <w:jc w:val="both"/>
        <w:rPr>
          <w:rFonts w:ascii="Times New Roman" w:hAnsi="Times New Roman" w:cs="Times New Roman"/>
          <w:color w:val="000000"/>
          <w:lang w:eastAsia="en-US"/>
        </w:rPr>
      </w:pPr>
      <w:r>
        <w:rPr>
          <w:rFonts w:cs="Times New Roman"/>
          <w:color w:val="000000"/>
          <w:lang w:eastAsia="en-US"/>
        </w:rPr>
      </w:r>
    </w:p>
    <w:p>
      <w:pPr>
        <w:pStyle w:val="BodyText"/>
        <w:tabs>
          <w:tab w:val="clear" w:pos="1440"/>
          <w:tab w:val="left" w:pos="720" w:leader="none"/>
        </w:tabs>
        <w:ind w:start="2160" w:end="0"/>
        <w:jc w:val="both"/>
        <w:rPr>
          <w:rFonts w:ascii="Times New Roman" w:hAnsi="Times New Roman" w:cs="Times New Roman"/>
        </w:rPr>
      </w:pPr>
      <w:r>
        <w:rPr>
          <w:rFonts w:cs="Times New Roman" w:ascii="Times New Roman" w:hAnsi="Times New Roman"/>
        </w:rPr>
        <w:t>"Notwithstanding any provision to the contrary contained in this Agreement, the Non-Defaulting Party shall not be required to pay to the Defaulting Party any amount under Article ____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jc w:val="both"/>
        <w:rPr>
          <w:rFonts w:ascii="Times New Roman" w:hAnsi="Times New Roman" w:cs="Times New Roman"/>
        </w:rPr>
      </w:pPr>
      <w:r>
        <w:rPr>
          <w:rFonts w:cs="Times New Roman"/>
        </w:rPr>
      </w:r>
    </w:p>
    <w:p>
      <w:pPr>
        <w:pStyle w:val="Normal"/>
        <w:ind w:hanging="720" w:start="1440" w:end="0"/>
        <w:jc w:val="both"/>
        <w:rPr/>
      </w:pPr>
      <w:r>
        <w:rPr/>
        <w:t>B.</w:t>
        <w:tab/>
        <w:t>Such a provision can be expanded to grant a security interests in other agreements:</w:t>
      </w:r>
    </w:p>
    <w:p>
      <w:pPr>
        <w:pStyle w:val="Normal"/>
        <w:ind w:start="720" w:end="0"/>
        <w:jc w:val="both"/>
        <w:rPr/>
      </w:pPr>
      <w:r>
        <w:rPr/>
      </w:r>
    </w:p>
    <w:p>
      <w:pPr>
        <w:pStyle w:val="coverbody"/>
        <w:spacing w:before="0" w:after="0"/>
        <w:ind w:start="1440" w:end="0"/>
        <w:rPr>
          <w:sz w:val="24"/>
        </w:rPr>
      </w:pPr>
      <w:r>
        <w:rPr>
          <w:sz w:val="24"/>
        </w:rPr>
        <w:t>Each Party hereby grants to the other Party a continuing security interest in all of its right, title and interest in, to and under any Commodity Contract, Forward Contract, Securities Contract, Swap Agreement, and Repurchase Agreement (each as defined in the United States Bankruptcy Code) between the Parties (collectively, the “Financial Contracts”), together with all proceeds thereof (the “Collateral”) in order to margin, guaranty, secure or settle the performance and payment of its obligations owing under each and every Financial Contract (the “Secured Obligations”). In addition to the other remedies provided  herein, each Party shall have all of the rights and remedies of a secured party under the Uniform Commercial Code as in effect in the State of New York.”</w:t>
      </w:r>
    </w:p>
    <w:p>
      <w:pPr>
        <w:pStyle w:val="Normal"/>
        <w:ind w:start="1440" w:end="0"/>
        <w:jc w:val="both"/>
        <w:rPr>
          <w:sz w:val="24"/>
        </w:rPr>
      </w:pPr>
      <w:r>
        <w:rPr>
          <w:sz w:val="24"/>
        </w:rPr>
      </w:r>
    </w:p>
    <w:p>
      <w:pPr>
        <w:pStyle w:val="Normal"/>
        <w:jc w:val="both"/>
        <w:rPr/>
      </w:pPr>
      <w:r>
        <w:rPr/>
      </w:r>
    </w:p>
    <w:p>
      <w:pPr>
        <w:pStyle w:val="Normal"/>
        <w:numPr>
          <w:ilvl w:val="0"/>
          <w:numId w:val="10"/>
        </w:numPr>
        <w:jc w:val="both"/>
        <w:rPr/>
      </w:pPr>
      <w:r>
        <w:rPr/>
        <w:t>Cross Termination:</w:t>
      </w:r>
    </w:p>
    <w:p>
      <w:pPr>
        <w:pStyle w:val="Normal"/>
        <w:jc w:val="both"/>
        <w:rPr/>
      </w:pPr>
      <w:r>
        <w:rPr/>
      </w:r>
    </w:p>
    <w:p>
      <w:pPr>
        <w:pStyle w:val="Normal"/>
        <w:ind w:start="720" w:end="0"/>
        <w:jc w:val="both"/>
        <w:rPr/>
      </w:pPr>
      <w:r>
        <w:rPr/>
        <w:t>In addition to set-off, Parties may want to be able to accelerate, liquidate and terminate their other agreements with a particular counterparty.  The following provisions is intended to provide such results:</w:t>
      </w:r>
    </w:p>
    <w:p>
      <w:pPr>
        <w:pStyle w:val="Normal"/>
        <w:ind w:start="720" w:end="0"/>
        <w:jc w:val="both"/>
        <w:rPr/>
      </w:pPr>
      <w:r>
        <w:rPr/>
      </w:r>
    </w:p>
    <w:p>
      <w:pPr>
        <w:pStyle w:val="coverbody"/>
        <w:tabs>
          <w:tab w:val="clear" w:pos="720"/>
          <w:tab w:val="left" w:pos="702" w:leader="none"/>
        </w:tabs>
        <w:spacing w:before="0" w:after="0"/>
        <w:ind w:start="720" w:end="0"/>
        <w:rPr>
          <w:sz w:val="24"/>
        </w:rPr>
      </w:pPr>
      <w:r>
        <w:rPr>
          <w:sz w:val="24"/>
        </w:rPr>
        <w:t>The following provision is added to the end of Section ____: “Notwithstanding anything to the contrary contained in this Agreement, or any other agreement between the Parties, if an Early Termination Date has been designated pursuant to Section 5.2, in addition to the other remedies provided herein, the Non-Defaulting Party may accelerate, liquidate and terminate any other Financial Contracts between the Parties.  In such event, the rights, procedures, and obligations set forth in Sections 5.2 through 5.6 shall apply to the acceleration, liquidation, and termination of such terminated agreements, and the calculation of the Settlement Amount(s) applicable thereto.  The Settlement Amount(s) shall be aggregated and netted to a single liquidated amount which amount shall be “the Termination Payment applicable to the Other Agreements”, and may be set off pursuant to Section 5.6 Option A against the Termination Payment applicable to this Agreement.  Upon the declaration of an Early Termination Date hereunder, the Non-Defaulting Party shall also have the right to suspend performance under any or all other  agreements between the Parties.”  [Section cross references to the EEI Contract.]</w:t>
      </w:r>
    </w:p>
    <w:p>
      <w:pPr>
        <w:pStyle w:val="Normal"/>
        <w:ind w:start="720" w:end="0"/>
        <w:jc w:val="both"/>
        <w:rPr>
          <w:sz w:val="24"/>
        </w:rPr>
      </w:pPr>
      <w:r>
        <w:rPr>
          <w:sz w:val="24"/>
        </w:rPr>
      </w:r>
    </w:p>
    <w:p>
      <w:pPr>
        <w:pStyle w:val="Normal"/>
        <w:numPr>
          <w:ilvl w:val="0"/>
          <w:numId w:val="10"/>
        </w:numPr>
        <w:jc w:val="both"/>
        <w:rPr/>
      </w:pPr>
      <w:r>
        <w:rPr/>
        <w:t>Jurisdiction, Process, and Waiver of Jury Trial:</w:t>
      </w:r>
    </w:p>
    <w:p>
      <w:pPr>
        <w:pStyle w:val="Header"/>
        <w:tabs>
          <w:tab w:val="clear" w:pos="4320"/>
          <w:tab w:val="clear" w:pos="8640"/>
        </w:tabs>
        <w:jc w:val="both"/>
        <w:rPr/>
      </w:pPr>
      <w:r>
        <w:rPr/>
      </w:r>
    </w:p>
    <w:p>
      <w:pPr>
        <w:pStyle w:val="Header"/>
        <w:tabs>
          <w:tab w:val="clear" w:pos="4320"/>
          <w:tab w:val="clear" w:pos="8640"/>
        </w:tabs>
        <w:ind w:start="720" w:end="0"/>
        <w:jc w:val="both"/>
        <w:rPr/>
      </w:pPr>
      <w:r>
        <w:rPr/>
        <w:t>These may also be added to a Cover Sheet:</w:t>
      </w:r>
    </w:p>
    <w:p>
      <w:pPr>
        <w:pStyle w:val="Header"/>
        <w:tabs>
          <w:tab w:val="clear" w:pos="4320"/>
          <w:tab w:val="clear" w:pos="8640"/>
        </w:tabs>
        <w:ind w:start="720" w:end="0"/>
        <w:jc w:val="both"/>
        <w:rPr/>
      </w:pPr>
      <w:r>
        <w:rPr/>
      </w:r>
    </w:p>
    <w:p>
      <w:pPr>
        <w:pStyle w:val="Normal"/>
        <w:numPr>
          <w:ilvl w:val="0"/>
          <w:numId w:val="4"/>
        </w:numPr>
        <w:spacing w:before="0" w:after="120"/>
        <w:jc w:val="both"/>
        <w:rPr/>
      </w:pPr>
      <w:r>
        <w:rPr>
          <w:u w:val="single"/>
        </w:rPr>
        <w:t>SUBMISSION TO JURISDICTION; SERVICE OF PROCESS</w:t>
      </w:r>
      <w:r>
        <w:rPr/>
        <w:t>. SUBJECT TO THE PROVISIONS OF 10.13 ABOVE, THE PARTIES AGREE TO SUBMIT TO THE NON-EXCLUSIVE JURISDICTION OF THE COURTS OF THE SOUTHERN DISTRICT OF NEW YORK.  EACH PARTY AGREES TO APPOINT AN AGENT FOR SERVICE OF PROCESS IN NEW YORK UPON THE REQUEST OF THE OTHER PARTY.</w:t>
      </w:r>
    </w:p>
    <w:p>
      <w:pPr>
        <w:pStyle w:val="Normal"/>
        <w:numPr>
          <w:ilvl w:val="0"/>
          <w:numId w:val="4"/>
        </w:numPr>
        <w:spacing w:before="0" w:after="120"/>
        <w:jc w:val="both"/>
        <w:rPr/>
      </w:pPr>
      <w:r>
        <w:rPr>
          <w:u w:val="single"/>
        </w:rPr>
        <w:t>Waiver of Jury Trial</w:t>
      </w:r>
      <w:r>
        <w:rPr/>
        <w:t xml:space="preserve">.  EACH PARTY WAIVES, TO THE FULLEST EXTENT PERMITTED BY LAW, ANY RIGHT IT MAY HAVE TO A TRIAL BY JURY IN RESPECT OF ANY SUIT, ACTION, CLAIM OR PROCEEDING RELATING TO THIS AGREEMENT, </w:t>
      </w:r>
      <w:r>
        <w:rPr>
          <w:u w:val="single"/>
        </w:rPr>
        <w:t>PROVIDED</w:t>
      </w:r>
      <w:r>
        <w:rPr/>
        <w:t xml:space="preserve">, </w:t>
      </w:r>
      <w:r>
        <w:rPr>
          <w:u w:val="single"/>
        </w:rPr>
        <w:t>HOWEVER</w:t>
      </w:r>
      <w:r>
        <w:rPr/>
        <w:t>, THE PARTIES DO NOT WAIVE JURY TRIAL IF ANY PROCEEDING RELATED TO THIS AGREEMENT IS BROUGHT IN THE STATE OF TEXAS.</w:t>
      </w:r>
    </w:p>
    <w:p>
      <w:pPr>
        <w:pStyle w:val="Normal"/>
        <w:jc w:val="both"/>
        <w:rPr/>
      </w:pPr>
      <w:r>
        <w:rPr/>
      </w:r>
    </w:p>
    <w:p>
      <w:pPr>
        <w:pStyle w:val="Normal"/>
        <w:numPr>
          <w:ilvl w:val="0"/>
          <w:numId w:val="10"/>
        </w:numPr>
        <w:jc w:val="both"/>
        <w:rPr/>
      </w:pPr>
      <w:r>
        <w:rPr/>
        <w:t>Additional Suspension of Performance when no Credit Exchanged:</w:t>
      </w:r>
    </w:p>
    <w:p>
      <w:pPr>
        <w:pStyle w:val="Normal"/>
        <w:jc w:val="both"/>
        <w:rPr/>
      </w:pPr>
      <w:r>
        <w:rPr/>
      </w:r>
    </w:p>
    <w:p>
      <w:pPr>
        <w:pStyle w:val="Normal"/>
        <w:ind w:start="720" w:end="0"/>
        <w:jc w:val="both"/>
        <w:rPr/>
      </w:pPr>
      <w:r>
        <w:rPr/>
        <w:t>This allows a party to mitigate its exposure by suspending performance prior to early termination.</w:t>
      </w:r>
    </w:p>
    <w:p>
      <w:pPr>
        <w:pStyle w:val="Normal"/>
        <w:ind w:start="720" w:end="0"/>
        <w:jc w:val="both"/>
        <w:rPr/>
      </w:pPr>
      <w:r>
        <w:rPr/>
      </w:r>
    </w:p>
    <w:p>
      <w:pPr>
        <w:pStyle w:val="Normal"/>
        <w:tabs>
          <w:tab w:val="clear" w:pos="720"/>
          <w:tab w:val="left" w:pos="702" w:leader="none"/>
        </w:tabs>
        <w:ind w:start="720" w:end="0"/>
        <w:jc w:val="both"/>
        <w:rPr/>
      </w:pPr>
      <w:r>
        <w:rPr>
          <w:u w:val="single"/>
        </w:rPr>
        <w:t>Suspension of Performance</w:t>
      </w:r>
      <w:r>
        <w:rPr/>
        <w:t>.  Notwithstanding, and in addition to the remedies provided pursuant to Sections 4.1 and 4.2, if Seller or Buyer fails to schedule and/or deliver/receive all or part of the Product pursuant to a Transaction, and such failure is not excused under the terms of the Product or by the other Party’s failure to perform, then upon one (1) Business Day prior notice, and for so long as the non-performing Party fails to perform, the performing Party shall have the right to suspend its performance under any or all Transactions.</w:t>
      </w:r>
    </w:p>
    <w:p>
      <w:pPr>
        <w:pStyle w:val="Normal"/>
        <w:jc w:val="both"/>
        <w:rPr/>
      </w:pPr>
      <w:r>
        <w:rPr/>
      </w:r>
    </w:p>
    <w:p>
      <w:pPr>
        <w:pStyle w:val="Normal"/>
        <w:numPr>
          <w:ilvl w:val="0"/>
          <w:numId w:val="10"/>
        </w:numPr>
        <w:jc w:val="both"/>
        <w:rPr/>
      </w:pPr>
      <w:r>
        <w:rPr/>
        <w:t>Additional Early Termination Calculation Language:</w:t>
      </w:r>
    </w:p>
    <w:p>
      <w:pPr>
        <w:pStyle w:val="Normal"/>
        <w:jc w:val="both"/>
        <w:rPr/>
      </w:pPr>
      <w:r>
        <w:rPr/>
      </w:r>
    </w:p>
    <w:p>
      <w:pPr>
        <w:pStyle w:val="Normal"/>
        <w:ind w:start="720" w:end="0"/>
        <w:jc w:val="both"/>
        <w:rPr/>
      </w:pPr>
      <w:r>
        <w:rPr/>
        <w:t>Sometimes Parties desire to elaborate on the manner in which Gains and Losses may be calculated under the EEI Agreement.  The following is an example of how that can be accomplished via an addition to the Cover Sheet:</w:t>
      </w:r>
    </w:p>
    <w:p>
      <w:pPr>
        <w:pStyle w:val="Normal"/>
        <w:ind w:start="720" w:end="0"/>
        <w:jc w:val="both"/>
        <w:rPr/>
      </w:pPr>
      <w:r>
        <w:rPr/>
      </w:r>
    </w:p>
    <w:p>
      <w:pPr>
        <w:pStyle w:val="Normal"/>
        <w:ind w:start="720" w:end="0"/>
        <w:jc w:val="both"/>
        <w:rPr/>
      </w:pPr>
      <w:r>
        <w:rPr/>
        <w:t>“</w:t>
      </w:r>
      <w:r>
        <w:rPr/>
        <w:t>The following shall be added at the end of Section 5.2:</w:t>
      </w:r>
    </w:p>
    <w:p>
      <w:pPr>
        <w:pStyle w:val="Normal"/>
        <w:ind w:start="720" w:end="0"/>
        <w:jc w:val="both"/>
        <w:rPr/>
      </w:pPr>
      <w:r>
        <w:rPr/>
      </w:r>
    </w:p>
    <w:p>
      <w:pPr>
        <w:pStyle w:val="coverbody"/>
        <w:spacing w:before="0" w:after="0"/>
        <w:ind w:start="720" w:end="0"/>
        <w:rPr>
          <w:sz w:val="24"/>
        </w:rPr>
      </w:pPr>
      <w:r>
        <w:rPr>
          <w:sz w:val="24"/>
        </w:rPr>
        <w:t>The Gains and Losses for each Terminated Transaction shall be determined by calculating the amount that would be incurred or realized to replace or to provide the economic equivalent of the remaining payments or deliveries in respect of that Terminated Transaction.  The Non- 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ind w:start="720" w:end="0"/>
        <w:jc w:val="both"/>
        <w:rPr>
          <w:sz w:val="24"/>
        </w:rPr>
      </w:pPr>
      <w:r>
        <w:rPr>
          <w:sz w:val="24"/>
        </w:rPr>
      </w:r>
    </w:p>
    <w:p>
      <w:pPr>
        <w:pStyle w:val="Normal"/>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imes New Roman Bold">
    <w:charset w:val="00" w:characterSet="windows-1252"/>
    <w:family w:val="roma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p>
    <w:pPr>
      <w:pStyle w:val="Normal"/>
      <w:spacing w:lineRule="exact" w:line="240"/>
      <w:rPr/>
    </w:pPr>
    <w:r>
      <w:rPr/>
    </w:r>
  </w:p>
  <w:p>
    <w:pPr>
      <w:pStyle w:val="Footer"/>
      <w:rPr>
        <w:sz w:val="16"/>
      </w:rPr>
    </w:pPr>
    <w:r>
      <w:rPr>
        <w:sz w:val="16"/>
      </w:rPr>
      <w:t>These provisions are provided as examples of provisions that can be added to a Cover Sheet.  They are for illustrative purposes only and are not intended to result in anticompetitive behavior including restraint of trade, conspiracy to monopolize, unfair or deceptive business acts or practices, price discrimination, division of markets, allocation of production, imposition of boycotts, and exclusive dealing arrangements.</w:t>
    </w:r>
  </w:p>
  <w:p>
    <w:pPr>
      <w:pStyle w:val="Normal"/>
      <w:spacing w:lineRule="exact" w:line="240"/>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These provisions are provided as examples of provisions that can be added to a Cover Sheet.  They are for illustrative purposes only and are not intended to result in anticompetitive behavior including restraint of trade, conspiracy to monopolize, unfair or deceptive business acts or practices, price discrimination, division of markets, allocation of production, imposition of boycotts, and exclusive dealing arrangements.</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ARTICLE %1"/>
      <w:lvlJc w:val="start"/>
      <w:pPr>
        <w:tabs>
          <w:tab w:val="num" w:pos="0"/>
        </w:tabs>
        <w:ind w:start="0" w:hanging="0"/>
      </w:pPr>
      <w:rPr>
        <w:sz w:val="24"/>
        <w:i w:val="false"/>
        <w:b/>
        <w:rFonts w:ascii="Times New Roman Bold" w:hAnsi="Times New Roman Bold" w:cs="BauerBodoni-Bold"/>
      </w:rPr>
    </w:lvl>
    <w:lvl w:ilvl="1">
      <w:start w:val="1"/>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720" w:firstLine="720"/>
      </w:pPr>
      <w:rPr>
        <w:sz w:val="24"/>
        <w:i w:val="false"/>
        <w:b w:val="false"/>
        <w:rFonts w:ascii="Times New Roman" w:hAnsi="Times New Roman" w:cs="Times New Roman"/>
      </w:rPr>
    </w:lvl>
    <w:lvl w:ilvl="3">
      <w:start w:val="1"/>
      <w:numFmt w:val="lowerRoman"/>
      <w:lvlText w:val="(%4)"/>
      <w:lvlJc w:val="start"/>
      <w:pPr>
        <w:tabs>
          <w:tab w:val="num" w:pos="2880"/>
        </w:tabs>
        <w:ind w:start="1440" w:firstLine="720"/>
      </w:pPr>
      <w:rPr>
        <w:sz w:val="24"/>
        <w:i w:val="false"/>
        <w:b w:val="false"/>
        <w:rFonts w:ascii="Times New Roman" w:hAnsi="Times New Roman" w:cs="Times New Roman"/>
      </w:rPr>
    </w:lvl>
    <w:lvl w:ilvl="4">
      <w:start w:val="1"/>
      <w:numFmt w:val="upperRoman"/>
      <w:suff w:val="nothing"/>
      <w:lvlText w:val="ARTICLE %5"/>
      <w:lvlJc w:val="start"/>
      <w:pPr>
        <w:tabs>
          <w:tab w:val="num" w:pos="0"/>
        </w:tabs>
        <w:ind w:start="0" w:hanging="0"/>
      </w:pPr>
      <w:rPr>
        <w:sz w:val="24"/>
        <w:i w:val="false"/>
        <w:b w:val="false"/>
        <w:rFonts w:ascii="Times New Roman" w:hAnsi="Times New Roman" w:cs="Times New Roman"/>
      </w:rPr>
    </w:lvl>
    <w:lvl w:ilvl="5">
      <w:start w:val="1"/>
      <w:isLgl/>
      <w:numFmt w:val="decimal"/>
      <w:lvlText w:val="%1.%6"/>
      <w:lvlJc w:val="start"/>
      <w:pPr>
        <w:tabs>
          <w:tab w:val="num" w:pos="1080"/>
        </w:tabs>
        <w:ind w:start="0" w:firstLine="720"/>
      </w:pPr>
      <w:rPr>
        <w:sz w:val="24"/>
        <w:i w:val="false"/>
        <w:b w:val="false"/>
        <w:rFonts w:ascii="Times New Roman" w:hAnsi="Times New Roman" w:cs="Times New Roman"/>
      </w:rPr>
    </w:lvl>
    <w:lvl w:ilvl="6">
      <w:start w:val="1"/>
      <w:isLgl/>
      <w:numFmt w:val="decimal"/>
      <w:lvlText w:val="%5.%6.%7"/>
      <w:lvlJc w:val="start"/>
      <w:pPr>
        <w:tabs>
          <w:tab w:val="num" w:pos="2160"/>
        </w:tabs>
        <w:ind w:start="0" w:firstLine="1440"/>
      </w:pPr>
      <w:rPr>
        <w:sz w:val="24"/>
        <w:i w:val="false"/>
        <w:b w:val="false"/>
        <w:rFonts w:ascii="Times New Roman" w:hAnsi="Times New Roman" w:cs="Times New Roman"/>
      </w:rPr>
    </w:lvl>
    <w:lvl w:ilvl="7">
      <w:start w:val="1"/>
      <w:numFmt w:val="lowerLetter"/>
      <w:lvlText w:val="(%8)"/>
      <w:lvlJc w:val="start"/>
      <w:pPr>
        <w:tabs>
          <w:tab w:val="num" w:pos="1080"/>
        </w:tabs>
        <w:ind w:start="0" w:firstLine="720"/>
      </w:pPr>
      <w:rPr>
        <w:sz w:val="24"/>
        <w:i w:val="false"/>
        <w:b w:val="false"/>
        <w:rFonts w:ascii="Times New Roman" w:hAnsi="Times New Roman" w:cs="Times New Roman"/>
      </w:rPr>
    </w:lvl>
    <w:lvl w:ilvl="8">
      <w:start w:val="1"/>
      <w:numFmt w:val="decimal"/>
      <w:lvlText w:val="%1.%2.%3.%4.%5.%6.%7.%8.%9."/>
      <w:lvlJc w:val="start"/>
      <w:pPr>
        <w:tabs>
          <w:tab w:val="num" w:pos="5040"/>
        </w:tabs>
        <w:ind w:start="4320" w:hanging="1440"/>
      </w:pPr>
    </w:lvl>
  </w:abstractNum>
  <w:abstractNum w:abstractNumId="2">
    <w:lvl w:ilvl="0">
      <w:start w:val="2"/>
      <w:numFmt w:val="lowerLetter"/>
      <w:lvlText w:val="(%1)"/>
      <w:lvlJc w:val="start"/>
      <w:pPr>
        <w:tabs>
          <w:tab w:val="num" w:pos="2160"/>
        </w:tabs>
        <w:ind w:start="2160" w:hanging="720"/>
      </w:pPr>
      <w:rPr/>
    </w:lvl>
  </w:abstractNum>
  <w:abstractNum w:abstractNumId="3">
    <w:lvl w:ilvl="0">
      <w:start w:val="1"/>
      <w:numFmt w:val="lowerRoman"/>
      <w:lvlText w:val="(%1)"/>
      <w:lvlJc w:val="start"/>
      <w:pPr>
        <w:tabs>
          <w:tab w:val="num" w:pos="2880"/>
        </w:tabs>
        <w:ind w:start="2880" w:hanging="720"/>
      </w:pPr>
      <w:rPr>
        <w:u w:val="none"/>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lowerRoman"/>
      <w:lvlText w:val="(%1)"/>
      <w:lvlJc w:val="start"/>
      <w:pPr>
        <w:tabs>
          <w:tab w:val="num" w:pos="2880"/>
        </w:tabs>
        <w:ind w:start="2880" w:hanging="72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440"/>
        </w:tabs>
        <w:ind w:start="1440" w:hanging="720"/>
      </w:pPr>
      <w:rPr/>
    </w:lvl>
  </w:abstractNum>
  <w:abstractNum w:abstractNumId="10">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160"/>
        </w:tabs>
        <w:ind w:start="2160" w:hanging="720"/>
      </w:pPr>
      <w:rPr/>
    </w:lvl>
  </w:abstractNum>
  <w:abstractNum w:abstractNumId="12">
    <w:lvl w:ilvl="0">
      <w:start w:val="1"/>
      <w:numFmt w:val="decimal"/>
      <w:lvlText w:val="(%1)"/>
      <w:lvlJc w:val="start"/>
      <w:pPr>
        <w:tabs>
          <w:tab w:val="num" w:pos="2160"/>
        </w:tabs>
        <w:ind w:start="2160" w:hanging="720"/>
      </w:pPr>
      <w:rPr/>
    </w:lvl>
  </w:abstractNum>
  <w:abstractNum w:abstractNumId="13">
    <w:lvl w:ilvl="0">
      <w:start w:val="1"/>
      <w:numFmt w:val="upp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outlineLvl w:val="0"/>
    </w:pPr>
    <w:rPr>
      <w:b/>
      <w:sz w:val="28"/>
      <w:u w:val="single"/>
    </w:rPr>
  </w:style>
  <w:style w:type="paragraph" w:styleId="Heading2">
    <w:name w:val="heading 2"/>
    <w:basedOn w:val="Normal"/>
    <w:next w:val="Normal"/>
    <w:qFormat/>
    <w:pPr>
      <w:spacing w:before="0" w:after="120"/>
      <w:jc w:val="both"/>
      <w:outlineLvl w:val="1"/>
    </w:pPr>
    <w:rPr>
      <w:rFonts w:ascii="Arial Narrow" w:hAnsi="Arial Narrow" w:cs="Arial Narrow"/>
      <w:sz w:val="20"/>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0"/>
        <w:numId w:val="10"/>
      </w:numPr>
      <w:spacing w:before="0" w:after="240"/>
      <w:jc w:val="both"/>
      <w:outlineLvl w:val="3"/>
    </w:pPr>
    <w:rPr/>
  </w:style>
  <w:style w:type="character" w:styleId="WW8Num1z0">
    <w:name w:val="WW8Num1z0"/>
    <w:qFormat/>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style>
  <w:style w:type="character" w:styleId="WW8Num5z0">
    <w:name w:val="WW8Num5z0"/>
    <w:qFormat/>
    <w:rPr>
      <w:rFonts w:ascii="Times New Roman Bold" w:hAnsi="Times New Roman Bold" w:cs="BauerBodoni-Bold"/>
      <w:b/>
      <w:i w:val="false"/>
      <w:sz w:val="24"/>
    </w:rPr>
  </w:style>
  <w:style w:type="character" w:styleId="WW8Num5z1">
    <w:name w:val="WW8Num5z1"/>
    <w:qFormat/>
    <w:rPr>
      <w:rFonts w:ascii="Times New Roman" w:hAnsi="Times New Roman" w:cs="Times New Roman"/>
      <w:b w:val="false"/>
      <w:i w:val="false"/>
      <w:sz w:val="24"/>
    </w:rPr>
  </w:style>
  <w:style w:type="character" w:styleId="WW8Num6z0">
    <w:name w:val="WW8Num6z0"/>
    <w:qFormat/>
    <w:rPr>
      <w:color w:val="000000"/>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spacing w:lineRule="atLeast" w:line="240"/>
    </w:pPr>
    <w:rPr>
      <w:rFonts w:ascii="Courier;Courier New" w:hAnsi="Courier;Courier New" w:cs="Courier;Courier New"/>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720" w:end="0"/>
    </w:pPr>
    <w:rPr>
      <w:color w:val="000000"/>
      <w:lang w:eastAsia="en-US"/>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tabs>
        <w:tab w:val="left" w:pos="720" w:leader="none"/>
      </w:tabs>
      <w:ind w:hanging="720" w:start="720" w:end="0"/>
    </w:pPr>
    <w:rPr/>
  </w:style>
  <w:style w:type="paragraph" w:styleId="HParHeading2">
    <w:name w:val="_HParHeading 2"/>
    <w:basedOn w:val="Heading2"/>
    <w:next w:val="Normal"/>
    <w:qFormat/>
    <w:pPr>
      <w:tabs>
        <w:tab w:val="clear" w:pos="720"/>
        <w:tab w:val="left" w:pos="360" w:leader="none"/>
        <w:tab w:val="left" w:pos="1440" w:leader="none"/>
      </w:tabs>
      <w:spacing w:before="0" w:after="240"/>
      <w:ind w:firstLine="720" w:start="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verbody">
    <w:name w:val="coverbody"/>
    <w:basedOn w:val="Normal"/>
    <w:qFormat/>
    <w:pPr>
      <w:spacing w:before="0" w:after="200"/>
      <w:jc w:val="both"/>
    </w:pPr>
    <w:rPr>
      <w:sz w:val="20"/>
    </w:rPr>
  </w:style>
  <w:style w:type="paragraph" w:styleId="BodyText2">
    <w:name w:val="Body Text 2"/>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2001-05-17T13:15:00Z</dcterms:created>
  <dc:creator>200909</dc:creator>
  <dc:description/>
  <dc:language>en-CA</dc:language>
  <cp:lastModifiedBy>200909</cp:lastModifiedBy>
  <cp:lastPrinted>2001-04-03T16:38:00Z</cp:lastPrinted>
  <dcterms:modified xsi:type="dcterms:W3CDTF">2001-05-17T13:15:00Z</dcterms:modified>
  <cp:revision>2</cp:revision>
  <dc:subject/>
  <dc:title>OPTIONAL PROVISIONS</dc:title>
</cp:coreProperties>
</file>