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Black" w:hAnsi="Arial Black" w:cs="Arial Black"/>
          <w:b/>
          <w:sz w:val="28"/>
        </w:rPr>
      </w:pPr>
      <w:r>
        <w:rPr>
          <w:sz w:val="24"/>
        </w:rPr>
        <w:drawing>
          <wp:inline distT="0" distB="0" distL="0" distR="0">
            <wp:extent cx="92964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9640" cy="914400"/>
                    </a:xfrm>
                    <a:prstGeom prst="rect">
                      <a:avLst/>
                    </a:prstGeom>
                    <a:noFill/>
                  </pic:spPr>
                </pic:pic>
              </a:graphicData>
            </a:graphic>
          </wp:inline>
        </w:drawing>
      </w:r>
      <w:r>
        <w:rPr>
          <w:sz w:val="24"/>
        </w:rPr>
        <w:tab/>
      </w:r>
    </w:p>
    <w:p>
      <w:pPr>
        <w:pStyle w:val="Normal"/>
        <w:rPr>
          <w:rFonts w:ascii="Arial Black" w:hAnsi="Arial Black" w:cs="Arial Black"/>
          <w:b/>
          <w:sz w:val="24"/>
        </w:rPr>
      </w:pPr>
      <w:r>
        <w:rPr>
          <w:rFonts w:cs="Arial Black" w:ascii="Arial Black" w:hAnsi="Arial Black"/>
          <w:b/>
          <w:sz w:val="24"/>
        </w:rPr>
      </w:r>
    </w:p>
    <w:p>
      <w:pPr>
        <w:pStyle w:val="Normal"/>
        <w:rPr/>
      </w:pPr>
      <w:r>
        <w:rPr>
          <w:sz w:val="24"/>
        </w:rPr>
        <w:tab/>
        <w:tab/>
        <w:tab/>
      </w:r>
      <w:r>
        <w:rPr>
          <w:rFonts w:cs="Arial Black" w:ascii="Arial Black" w:hAnsi="Arial Black"/>
          <w:sz w:val="24"/>
        </w:rPr>
        <w:t xml:space="preserve">Enron Transportation </w:t>
      </w:r>
    </w:p>
    <w:p>
      <w:pPr>
        <w:pStyle w:val="Normal"/>
        <w:ind w:firstLine="720" w:start="1440" w:end="0"/>
        <w:rPr>
          <w:rFonts w:ascii="Arial Black" w:hAnsi="Arial Black" w:cs="Arial Black"/>
          <w:sz w:val="24"/>
        </w:rPr>
      </w:pPr>
      <w:r>
        <w:rPr>
          <w:rFonts w:cs="Arial Black" w:ascii="Arial Black" w:hAnsi="Arial Black"/>
          <w:sz w:val="24"/>
        </w:rPr>
        <w:t>&amp; Storage</w:t>
      </w:r>
    </w:p>
    <w:p>
      <w:pPr>
        <w:pStyle w:val="Normal"/>
        <w:rPr>
          <w:rFonts w:ascii="Arial Black" w:hAnsi="Arial Black" w:cs="Arial Black"/>
          <w:sz w:val="24"/>
        </w:rPr>
      </w:pPr>
      <w:r>
        <w:rPr>
          <w:rFonts w:cs="Arial Black" w:ascii="Arial Black" w:hAnsi="Arial Black"/>
          <w:sz w:val="24"/>
        </w:rPr>
      </w:r>
    </w:p>
    <w:p>
      <w:pPr>
        <w:pStyle w:val="Normal"/>
        <w:ind w:firstLine="720" w:start="1440" w:end="0"/>
        <w:rPr/>
      </w:pPr>
      <w:r>
        <w:rPr>
          <w:sz w:val="24"/>
        </w:rPr>
        <w:tab/>
        <w:tab/>
        <w:tab/>
        <w:tab/>
      </w:r>
      <w:r>
        <w:rPr>
          <w:i/>
          <w:sz w:val="24"/>
        </w:rPr>
        <w:t>Attorney-Client Communication</w:t>
      </w:r>
    </w:p>
    <w:p>
      <w:pPr>
        <w:pStyle w:val="Heading1"/>
        <w:ind w:hanging="0" w:start="0"/>
        <w:rPr/>
      </w:pPr>
      <w:r>
        <w:rPr/>
        <w:tab/>
        <w:tab/>
        <w:tab/>
        <w:tab/>
        <w:tab/>
        <w:tab/>
        <w:tab/>
        <w:t>Privileged &amp; Confidential</w:t>
      </w:r>
    </w:p>
    <w:p>
      <w:pPr>
        <w:pStyle w:val="Normal"/>
        <w:jc w:val="center"/>
        <w:rPr>
          <w:sz w:val="24"/>
        </w:rPr>
      </w:pPr>
      <w:r>
        <w:rPr>
          <w:sz w:val="24"/>
        </w:rPr>
      </w:r>
    </w:p>
    <w:p>
      <w:pPr>
        <w:pStyle w:val="Normal"/>
        <w:jc w:val="center"/>
        <w:rPr>
          <w:sz w:val="24"/>
        </w:rPr>
      </w:pPr>
      <w:r>
        <w:rPr>
          <w:sz w:val="24"/>
        </w:rPr>
        <w:t xml:space="preserve"> </w:t>
      </w:r>
    </w:p>
    <w:p>
      <w:pPr>
        <w:pStyle w:val="BodyTextIndent2"/>
        <w:rPr/>
      </w:pPr>
      <w:r>
        <w:rPr/>
        <w:t xml:space="preserve">To:  </w:t>
        <w:tab/>
        <w:t>Transwestern Commercial Group, Julia White, Shelley Corman,</w:t>
      </w:r>
    </w:p>
    <w:p>
      <w:pPr>
        <w:pStyle w:val="BodyTextIndent2"/>
        <w:rPr/>
      </w:pPr>
      <w:r>
        <w:rPr/>
        <w:tab/>
        <w:t>Drew Fossum, Mary Kay Miller</w:t>
      </w:r>
    </w:p>
    <w:p>
      <w:pPr>
        <w:pStyle w:val="Normal"/>
        <w:rPr>
          <w:sz w:val="24"/>
        </w:rPr>
      </w:pPr>
      <w:r>
        <w:rPr>
          <w:sz w:val="24"/>
        </w:rPr>
      </w:r>
    </w:p>
    <w:p>
      <w:pPr>
        <w:pStyle w:val="Normal"/>
        <w:rPr>
          <w:sz w:val="24"/>
        </w:rPr>
      </w:pPr>
      <w:r>
        <w:rPr>
          <w:sz w:val="24"/>
        </w:rPr>
        <w:t>From:</w:t>
        <w:tab/>
        <w:tab/>
        <w:t>Susan Scott</w:t>
      </w:r>
    </w:p>
    <w:p>
      <w:pPr>
        <w:pStyle w:val="Normal"/>
        <w:rPr>
          <w:sz w:val="24"/>
        </w:rPr>
      </w:pPr>
      <w:r>
        <w:rPr>
          <w:sz w:val="24"/>
        </w:rPr>
      </w:r>
    </w:p>
    <w:p>
      <w:pPr>
        <w:pStyle w:val="Normal"/>
        <w:rPr>
          <w:sz w:val="24"/>
        </w:rPr>
      </w:pPr>
      <w:r>
        <w:rPr>
          <w:sz w:val="24"/>
        </w:rPr>
        <w:t>Subject:</w:t>
        <w:tab/>
        <w:t>Capacity Options on Transwestern Pipeline</w:t>
      </w:r>
    </w:p>
    <w:p>
      <w:pPr>
        <w:pStyle w:val="Normal"/>
        <w:rPr>
          <w:sz w:val="24"/>
        </w:rPr>
      </w:pPr>
      <w:r>
        <w:rPr>
          <w:sz w:val="24"/>
        </w:rPr>
      </w:r>
    </w:p>
    <w:p>
      <w:pPr>
        <w:pStyle w:val="Normal"/>
        <w:rPr>
          <w:sz w:val="24"/>
        </w:rPr>
      </w:pPr>
      <w:r>
        <w:rPr>
          <w:sz w:val="24"/>
        </w:rPr>
        <w:t>Date:</w:t>
        <w:tab/>
        <w:tab/>
        <w:t>May 17, 2000</w:t>
      </w:r>
    </w:p>
    <w:p>
      <w:pPr>
        <w:pStyle w:val="Normal"/>
        <w:rPr>
          <w:sz w:val="24"/>
        </w:rPr>
      </w:pPr>
      <w:r>
        <w:rPr>
          <w:sz w:val="24"/>
        </w:rPr>
      </w:r>
    </w:p>
    <w:p>
      <w:pPr>
        <w:pStyle w:val="Normal"/>
        <w:rPr>
          <w:sz w:val="24"/>
        </w:rPr>
      </w:pPr>
      <w:r>
        <w:rPr>
          <w:sz w:val="24"/>
        </w:rPr>
      </w:r>
    </w:p>
    <w:p>
      <w:pPr>
        <w:pStyle w:val="BodyText"/>
        <w:rPr/>
      </w:pPr>
      <w:r>
        <w:rPr/>
        <w:tab/>
        <w:t>In order to expand the services available to its shippers, Transwestern has proposed to contract for various options that would guarantee the shipper or Transwestern (or both) rights to firm capacity in the future.  The option proposal is described in detail in Jeff Fawcett's May 11, 2000 memo.  This memo outlines the regulatory requirements for implementing Transwestern's proposal.</w:t>
      </w:r>
    </w:p>
    <w:p>
      <w:pPr>
        <w:pStyle w:val="Normal"/>
        <w:jc w:val="both"/>
        <w:rPr>
          <w:sz w:val="24"/>
        </w:rPr>
      </w:pPr>
      <w:r>
        <w:rPr>
          <w:sz w:val="24"/>
        </w:rPr>
      </w:r>
    </w:p>
    <w:p>
      <w:pPr>
        <w:pStyle w:val="Normal"/>
        <w:jc w:val="both"/>
        <w:rPr/>
      </w:pPr>
      <w:r>
        <w:rPr>
          <w:sz w:val="24"/>
        </w:rPr>
        <w:t xml:space="preserve">1.  </w:t>
      </w:r>
      <w:r>
        <w:rPr>
          <w:sz w:val="24"/>
          <w:u w:val="single"/>
        </w:rPr>
        <w:t>Capacity Options as Non-Conforming and Negotiated Rate Contracts</w:t>
      </w:r>
      <w:r>
        <w:rPr>
          <w:sz w:val="24"/>
        </w:rPr>
        <w:t xml:space="preserve"> </w:t>
      </w:r>
    </w:p>
    <w:p>
      <w:pPr>
        <w:pStyle w:val="Normal"/>
        <w:jc w:val="both"/>
        <w:rPr>
          <w:sz w:val="24"/>
        </w:rPr>
      </w:pPr>
      <w:r>
        <w:rPr>
          <w:sz w:val="24"/>
        </w:rPr>
      </w:r>
    </w:p>
    <w:p>
      <w:pPr>
        <w:pStyle w:val="Normal"/>
        <w:jc w:val="both"/>
        <w:rPr/>
      </w:pPr>
      <w:r>
        <w:rPr>
          <w:sz w:val="24"/>
        </w:rPr>
        <w:tab/>
        <w:t>Transwestern proposes to contract for two types of options that would operate to put capacity back in the hands of Transwestern:  a) Transwestern's right to recall some or all of shipper's capacity (a pipeline call), and b) a shipper's right to turn back some or all of its capacity (a shipper put).  Additionally, Transwestern proposes to contract for the option to require a shipper to take capacity (a pipeline put or "double-up").  Because these contracts involve negotiation of rate, term and/or quantity rather than the character of service provided or the operational conditions of service, Transwestern arguably already has authority under its tariff to contract for these types of capacity options.  However, because the contracts deviate from the pro forma service agreement they must be filed as non-conforming agreements with the FERC within 30 days before the effective date.</w:t>
      </w:r>
      <w:r>
        <w:rPr>
          <w:rStyle w:val="FootnoteCharacters"/>
          <w:rStyle w:val="FootnoteReference"/>
          <w:sz w:val="24"/>
        </w:rPr>
        <w:footnoteReference w:id="2"/>
      </w:r>
      <w:r>
        <w:rPr>
          <w:sz w:val="24"/>
        </w:rPr>
        <w:t xml:space="preserve">  In addition, these options should be treated as negotiated rates because they are granted or received in exchange for value not contemplated by the tariff rate schedules.</w:t>
      </w:r>
    </w:p>
    <w:p>
      <w:pPr>
        <w:pStyle w:val="Normal"/>
        <w:rPr>
          <w:sz w:val="24"/>
          <w:u w:val="single"/>
        </w:rPr>
      </w:pPr>
      <w:r>
        <w:rPr>
          <w:sz w:val="24"/>
          <w:u w:val="single"/>
        </w:rPr>
      </w:r>
    </w:p>
    <w:p>
      <w:pPr>
        <w:pStyle w:val="Normal"/>
        <w:jc w:val="both"/>
        <w:rPr>
          <w:sz w:val="24"/>
        </w:rPr>
      </w:pPr>
      <w:r>
        <w:rPr>
          <w:sz w:val="24"/>
        </w:rPr>
        <w:tab/>
        <w:t>In two recent cases involving Tennessee Gas Pipeline, the Commission approved contracts containing similar provisions filed as non-conforming agreements.</w:t>
      </w:r>
      <w:r>
        <w:rPr>
          <w:rStyle w:val="FootnoteCharacters"/>
          <w:rStyle w:val="FootnoteReference"/>
          <w:sz w:val="24"/>
        </w:rPr>
        <w:footnoteReference w:id="3"/>
      </w:r>
      <w:r>
        <w:rPr>
          <w:sz w:val="24"/>
        </w:rPr>
        <w:t xml:space="preserve">  Contracts filed by Tennessee allow the shipper to terminate its contract early, reduce its contract quantity or turn back a certain amount of capacity.  The contracts provide further that if shipper exercises any of the options, it must remit to Tennessee a certain percentage of its reservation rate.</w:t>
      </w:r>
      <w:r>
        <w:rPr>
          <w:rStyle w:val="FootnoteCharacters"/>
          <w:rStyle w:val="FootnoteReference"/>
          <w:sz w:val="24"/>
        </w:rPr>
        <w:footnoteReference w:id="4"/>
      </w:r>
      <w:r>
        <w:rPr>
          <w:sz w:val="24"/>
        </w:rPr>
        <w:t xml:space="preserve">  While the contracts did not specifically provide for an up-front payment for the options, one could assume that the cost of the option was embedded in the transportation rate (although this was not discussed in the Commission's order).  Accepting the contracts, the Commission commented that the nonconforming agreements "merely reflect that the shipper is willing to pay a negotiated rate in order to have the ability to terminate or reduce the contract level."</w:t>
      </w:r>
      <w:r>
        <w:rPr>
          <w:rStyle w:val="FootnoteCharacters"/>
          <w:rStyle w:val="FootnoteReference"/>
          <w:sz w:val="24"/>
        </w:rPr>
        <w:footnoteReference w:id="5"/>
      </w:r>
      <w:r>
        <w:rPr>
          <w:sz w:val="24"/>
        </w:rPr>
        <w:t xml:space="preserve">  In an order approving similar provisions in a Tennessee agreement, the Commission noted that the agreement was not a prohibited negotiation of terms and conditions of service.</w:t>
      </w:r>
      <w:r>
        <w:rPr>
          <w:rStyle w:val="FootnoteCharacters"/>
          <w:rStyle w:val="FootnoteReference"/>
          <w:sz w:val="24"/>
        </w:rPr>
        <w:footnoteReference w:id="6"/>
      </w:r>
      <w:r>
        <w:rPr>
          <w:sz w:val="24"/>
        </w:rPr>
        <w:t xml:space="preserve">  The Commission found it significant that the provisions will not change the character of the service provided or the operational conditions of service, nor does it affect service to any other shipper or to Tennessee's operations generally.</w:t>
      </w:r>
      <w:r>
        <w:rPr>
          <w:rStyle w:val="FootnoteCharacters"/>
          <w:rStyle w:val="FootnoteReference"/>
          <w:sz w:val="24"/>
        </w:rPr>
        <w:footnoteReference w:id="7"/>
      </w:r>
    </w:p>
    <w:p>
      <w:pPr>
        <w:pStyle w:val="Normal"/>
        <w:ind w:hanging="360" w:start="360" w:end="0"/>
        <w:rPr>
          <w:sz w:val="24"/>
        </w:rPr>
      </w:pPr>
      <w:r>
        <w:rPr>
          <w:sz w:val="24"/>
        </w:rPr>
        <w:t xml:space="preserve"> </w:t>
      </w:r>
    </w:p>
    <w:p>
      <w:pPr>
        <w:pStyle w:val="Normal"/>
        <w:jc w:val="both"/>
        <w:rPr/>
      </w:pPr>
      <w:r>
        <w:rPr>
          <w:sz w:val="24"/>
        </w:rPr>
        <w:t xml:space="preserve">2.  </w:t>
      </w:r>
      <w:r>
        <w:rPr>
          <w:sz w:val="24"/>
          <w:u w:val="single"/>
        </w:rPr>
        <w:t>Capacity Options Requiring a Tariff Modification</w:t>
      </w:r>
      <w:r>
        <w:rPr>
          <w:sz w:val="24"/>
        </w:rPr>
        <w:t xml:space="preserve">. </w:t>
      </w:r>
    </w:p>
    <w:p>
      <w:pPr>
        <w:pStyle w:val="Normal"/>
        <w:jc w:val="both"/>
        <w:rPr>
          <w:sz w:val="24"/>
          <w:u w:val="single"/>
        </w:rPr>
      </w:pPr>
      <w:r>
        <w:rPr>
          <w:sz w:val="24"/>
          <w:u w:val="single"/>
        </w:rPr>
      </w:r>
    </w:p>
    <w:p>
      <w:pPr>
        <w:pStyle w:val="Normal"/>
        <w:jc w:val="both"/>
        <w:rPr>
          <w:sz w:val="24"/>
        </w:rPr>
      </w:pPr>
      <w:r>
        <w:rPr>
          <w:sz w:val="24"/>
        </w:rPr>
        <w:tab/>
        <w:t xml:space="preserve">Transwestern has also proposed to sell an option guaranteeing a shipper capacity at some point in the future (a shipper call).  Because Transwestern is not currently authorized, either under its tariff or current FERC policy, to sell options on future capacity, it must amend its tariff in order to have authority to sell shipper call options. </w:t>
      </w:r>
    </w:p>
    <w:p>
      <w:pPr>
        <w:pStyle w:val="Normal"/>
        <w:jc w:val="both"/>
        <w:rPr>
          <w:sz w:val="24"/>
          <w:u w:val="single"/>
        </w:rPr>
      </w:pPr>
      <w:r>
        <w:rPr>
          <w:sz w:val="24"/>
          <w:u w:val="single"/>
        </w:rPr>
      </w:r>
    </w:p>
    <w:p>
      <w:pPr>
        <w:pStyle w:val="Normal"/>
        <w:rPr/>
      </w:pPr>
      <w:r>
        <w:rPr>
          <w:sz w:val="24"/>
        </w:rPr>
        <w:tab/>
        <w:t>Current FERC policy prevents pipelines from reserving firm capacity for a shipper at a future date without requiring the shipper to pay a reservation charge for that capacity shortly after the transportation contract is executed.</w:t>
      </w:r>
      <w:r>
        <w:rPr>
          <w:rStyle w:val="FootnoteCharacters"/>
          <w:rStyle w:val="FootnoteReference"/>
          <w:sz w:val="24"/>
        </w:rPr>
        <w:footnoteReference w:id="8"/>
      </w:r>
      <w:r>
        <w:rPr>
          <w:sz w:val="24"/>
        </w:rPr>
        <w:t xml:space="preserve">  The Commission's concern is that such reservation of capacity provides no economic disincentive to a shipper tying up future capacity to the disadvantage of other potential shippers that may need long-term firm transportation service.  This would mean that shippers that valued the firm service the most would be denied access to the service.</w:t>
      </w:r>
      <w:r>
        <w:rPr>
          <w:rStyle w:val="FootnoteCharacters"/>
          <w:rStyle w:val="FootnoteReference"/>
          <w:sz w:val="24"/>
        </w:rPr>
        <w:footnoteReference w:id="9"/>
      </w:r>
      <w:r>
        <w:rPr>
          <w:sz w:val="24"/>
        </w:rPr>
        <w:t xml:space="preserve">  </w:t>
      </w:r>
    </w:p>
    <w:p>
      <w:pPr>
        <w:pStyle w:val="Normal"/>
        <w:rPr>
          <w:sz w:val="24"/>
        </w:rPr>
      </w:pPr>
      <w:r>
        <w:rPr>
          <w:sz w:val="24"/>
        </w:rPr>
      </w:r>
    </w:p>
    <w:p>
      <w:pPr>
        <w:pStyle w:val="Normal"/>
        <w:jc w:val="both"/>
        <w:rPr>
          <w:sz w:val="24"/>
        </w:rPr>
      </w:pPr>
      <w:r>
        <w:rPr>
          <w:sz w:val="24"/>
        </w:rPr>
        <w:tab/>
        <w:t>More specifically, FERC's recent questioning of contracting practices of CNG indicates that tariff authority is required in order to sell options on future capacity.</w:t>
      </w:r>
      <w:r>
        <w:rPr>
          <w:rStyle w:val="FootnoteCharacters"/>
          <w:rStyle w:val="FootnoteReference"/>
          <w:sz w:val="24"/>
        </w:rPr>
        <w:footnoteReference w:id="10"/>
      </w:r>
      <w:r>
        <w:rPr>
          <w:sz w:val="24"/>
        </w:rPr>
        <w:t xml:space="preserve">  CNG had declined to make capacity available to a holder of a right of first refusal because a third party had an option to reserve the capacity.  The Commission observed that CNG's tariff does not have a provision that permits such an option, and that "[i]t would appear that CNG may be unlawfully withholding capacity from the interstate market."</w:t>
      </w:r>
      <w:r>
        <w:rPr>
          <w:rStyle w:val="FootnoteCharacters"/>
          <w:rStyle w:val="FootnoteReference"/>
          <w:sz w:val="24"/>
        </w:rPr>
        <w:footnoteReference w:id="11"/>
      </w:r>
      <w:r>
        <w:rPr>
          <w:sz w:val="24"/>
        </w:rPr>
        <w:t xml:space="preserve"> After requiring CNG to explain the contract with the third party, the Commission found that the option provision violated CNG's tariff (including posting requirements) and sections 4(c) and 4(d) of the NGA.</w:t>
      </w:r>
      <w:r>
        <w:rPr>
          <w:rStyle w:val="FootnoteCharacters"/>
          <w:rStyle w:val="FootnoteReference"/>
          <w:sz w:val="24"/>
        </w:rPr>
        <w:footnoteReference w:id="12"/>
      </w:r>
    </w:p>
    <w:p>
      <w:pPr>
        <w:pStyle w:val="Normal"/>
        <w:jc w:val="both"/>
        <w:rPr>
          <w:sz w:val="24"/>
        </w:rPr>
      </w:pPr>
      <w:r>
        <w:rPr>
          <w:sz w:val="24"/>
        </w:rPr>
      </w:r>
    </w:p>
    <w:p>
      <w:pPr>
        <w:pStyle w:val="BodyText"/>
        <w:rPr/>
      </w:pPr>
      <w:r>
        <w:rPr/>
        <w:tab/>
        <w:t xml:space="preserve">Obviously, current Commission policy presents an obstacle to the inclusion of an options rate schedule in Transwestern's tariff.  We will need to present FERC with compelling reasons for allowing options on future capacity.  Transwestern's option program could be structured so that options are awarded through an open bidding process, which would help eliminate concerns of undue discrimination and the unfair tying up of capacity.  Posting procedures should be clearly stated in the tariff, including procedures for posting options for capacity that is not presently available.  Additionally, the Commission has expressed a need to accommodate changes in the marketplace, and has acknowledged that presently there is not a forward market for transportation.  Concerns expressed ten years ago about the undervaluing of long-term capacity are no longer relevant; shippers are willing to pay in advance for the ability to obtain capacity in the future.  Transwestern should argue that it is time to change the Commission's policy on reservation of capacity in order to accommodate shippers' needs for greater flexibility.  </w:t>
      </w:r>
    </w:p>
    <w:p>
      <w:pPr>
        <w:pStyle w:val="Normal"/>
        <w:ind w:start="1440" w:end="0"/>
        <w:rPr>
          <w:sz w:val="24"/>
        </w:rPr>
      </w:pPr>
      <w:r>
        <w:rPr>
          <w:sz w:val="24"/>
        </w:rPr>
      </w:r>
    </w:p>
    <w:p>
      <w:pPr>
        <w:pStyle w:val="Normal"/>
        <w:rPr/>
      </w:pPr>
      <w:r>
        <w:rPr>
          <w:sz w:val="24"/>
        </w:rPr>
        <w:t>3.</w:t>
        <w:tab/>
      </w:r>
      <w:r>
        <w:rPr>
          <w:sz w:val="24"/>
          <w:u w:val="single"/>
        </w:rPr>
        <w:t>Conclusion</w:t>
      </w:r>
    </w:p>
    <w:p>
      <w:pPr>
        <w:pStyle w:val="Normal"/>
        <w:rPr>
          <w:sz w:val="24"/>
          <w:u w:val="single"/>
        </w:rPr>
      </w:pPr>
      <w:r>
        <w:rPr>
          <w:sz w:val="24"/>
          <w:u w:val="single"/>
        </w:rPr>
      </w:r>
    </w:p>
    <w:p>
      <w:pPr>
        <w:pStyle w:val="BodyText2"/>
        <w:jc w:val="both"/>
        <w:rPr/>
      </w:pPr>
      <w:r>
        <w:rPr/>
        <w:tab/>
        <w:t>Transwestern already has authority to sell shippers the option to turn back capacity, or to contract for options allowing Transwestern to recall capacity from a shipper or to require a shipper to take capacity.  These contracts must be filed with FERC as negotiated rate and non-conforming contracts.  Shipper call options will require a tariff modification.  The recommended approach is to include in a new rate schedule the authority to contract not only for shipper call options, but also for turn back, recall and double-up options.  This will eliminate the need to make the negotiated rate and material deviation filings described above.</w:t>
      </w:r>
    </w:p>
    <w:p>
      <w:pPr>
        <w:pStyle w:val="BodyText2"/>
        <w:jc w:val="both"/>
        <w:rPr/>
      </w:pPr>
      <w:r>
        <w:rPr/>
      </w:r>
    </w:p>
    <w:sectPr>
      <w:footerReference w:type="default" r:id="rId3"/>
      <w:footerReference w:type="first" r:id="rId4"/>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18 C.F.R. § 154.112.</w:t>
      </w:r>
    </w:p>
  </w:footnote>
  <w:footnote w:id="3">
    <w:p>
      <w:pPr>
        <w:pStyle w:val="FootnoteText"/>
        <w:jc w:val="both"/>
        <w:rPr/>
      </w:pPr>
      <w:r>
        <w:rPr>
          <w:rStyle w:val="FootnoteCharacters"/>
        </w:rPr>
        <w:footnoteRef/>
      </w:r>
      <w:r>
        <w:rPr/>
        <w:t xml:space="preserve"> </w:t>
      </w:r>
      <w:r>
        <w:rPr>
          <w:u w:val="single"/>
        </w:rPr>
        <w:t>Tennessee Gas Pipeline Company</w:t>
      </w:r>
      <w:r>
        <w:rPr/>
        <w:t xml:space="preserve">, 89 FERC ¶ 61,033 (1999); </w:t>
      </w:r>
      <w:r>
        <w:rPr>
          <w:u w:val="single"/>
        </w:rPr>
        <w:t>Tennessee Gas Pipeline Company</w:t>
      </w:r>
      <w:r>
        <w:rPr/>
        <w:t>, 87 FERC ¶ 61,206 (1999).</w:t>
      </w:r>
    </w:p>
  </w:footnote>
  <w:footnote w:id="4">
    <w:p>
      <w:pPr>
        <w:pStyle w:val="FootnoteText"/>
        <w:rPr/>
      </w:pPr>
      <w:r>
        <w:rPr>
          <w:rStyle w:val="FootnoteCharacters"/>
        </w:rPr>
        <w:footnoteRef/>
      </w:r>
      <w:r>
        <w:rPr/>
        <w:t xml:space="preserve"> </w:t>
      </w:r>
      <w:r>
        <w:rPr/>
        <w:t>89 FERC at 61,099.</w:t>
      </w:r>
    </w:p>
  </w:footnote>
  <w:footnote w:id="5">
    <w:p>
      <w:pPr>
        <w:pStyle w:val="FootnoteText"/>
        <w:rPr/>
      </w:pPr>
      <w:r>
        <w:rPr>
          <w:rStyle w:val="FootnoteCharacters"/>
        </w:rPr>
        <w:footnoteRef/>
      </w:r>
      <w:r>
        <w:rPr/>
        <w:t xml:space="preserve"> </w:t>
      </w:r>
      <w:r>
        <w:rPr>
          <w:u w:val="single"/>
        </w:rPr>
        <w:t>Id.</w:t>
      </w:r>
      <w:r>
        <w:rPr/>
        <w:t xml:space="preserve"> at 61,100.</w:t>
      </w:r>
    </w:p>
  </w:footnote>
  <w:footnote w:id="6">
    <w:p>
      <w:pPr>
        <w:pStyle w:val="FootnoteText"/>
        <w:rPr/>
      </w:pPr>
      <w:r>
        <w:rPr>
          <w:rStyle w:val="FootnoteCharacters"/>
        </w:rPr>
        <w:footnoteRef/>
      </w:r>
      <w:r>
        <w:rPr/>
        <w:t xml:space="preserve"> </w:t>
      </w:r>
      <w:r>
        <w:rPr/>
        <w:t>87 FERC at 61,789.</w:t>
      </w:r>
    </w:p>
  </w:footnote>
  <w:footnote w:id="7">
    <w:p>
      <w:pPr>
        <w:pStyle w:val="FootnoteText"/>
        <w:rPr/>
      </w:pPr>
      <w:r>
        <w:rPr>
          <w:rStyle w:val="FootnoteCharacters"/>
        </w:rPr>
        <w:footnoteRef/>
      </w:r>
      <w:r>
        <w:rPr/>
        <w:t xml:space="preserve"> </w:t>
      </w:r>
      <w:r>
        <w:rPr>
          <w:u w:val="single"/>
        </w:rPr>
        <w:t>Id.</w:t>
      </w:r>
    </w:p>
  </w:footnote>
  <w:footnote w:id="8">
    <w:p>
      <w:pPr>
        <w:pStyle w:val="FootnoteText"/>
        <w:jc w:val="both"/>
        <w:rPr/>
      </w:pPr>
      <w:r>
        <w:rPr>
          <w:rStyle w:val="FootnoteCharacters"/>
        </w:rPr>
        <w:footnoteRef/>
      </w:r>
      <w:r>
        <w:rPr/>
        <w:t xml:space="preserve"> </w:t>
      </w:r>
      <w:r>
        <w:rPr>
          <w:u w:val="single"/>
        </w:rPr>
        <w:t>See</w:t>
      </w:r>
      <w:r>
        <w:rPr/>
        <w:t xml:space="preserve"> </w:t>
      </w:r>
      <w:r>
        <w:rPr>
          <w:u w:val="single"/>
        </w:rPr>
        <w:t>Northern Natural Gas</w:t>
      </w:r>
      <w:r>
        <w:rPr/>
        <w:t xml:space="preserve">, 49 FERC ¶ 61,107, </w:t>
      </w:r>
      <w:r>
        <w:rPr>
          <w:i/>
        </w:rPr>
        <w:t>reh'g granted in part</w:t>
      </w:r>
      <w:r>
        <w:rPr/>
        <w:t xml:space="preserve">, 52 FERC ¶ 61,047 (1990).  The Commission required Northern to specify that firm contracts become effective no later than 90 days from the execution date, reasoning that Northern's tariff allowed too much time before the billing of reservation fees.  The policy against reserving capacity does not apply in the context of contracting for expansion capacity.  </w:t>
      </w:r>
      <w:r>
        <w:rPr>
          <w:u w:val="single"/>
        </w:rPr>
        <w:t>See</w:t>
      </w:r>
      <w:r>
        <w:rPr/>
        <w:t xml:space="preserve">, </w:t>
      </w:r>
      <w:r>
        <w:rPr>
          <w:u w:val="single"/>
        </w:rPr>
        <w:t>e.g.</w:t>
      </w:r>
      <w:r>
        <w:rPr/>
        <w:t xml:space="preserve">, </w:t>
      </w:r>
      <w:r>
        <w:rPr>
          <w:u w:val="single"/>
        </w:rPr>
        <w:t>Tennessee Gas Pipeline Company</w:t>
      </w:r>
      <w:r>
        <w:rPr/>
        <w:t>, 82 FERC ¶ 61,288 (1998).</w:t>
      </w:r>
    </w:p>
  </w:footnote>
  <w:footnote w:id="9">
    <w:p>
      <w:pPr>
        <w:pStyle w:val="FootnoteText"/>
        <w:rPr/>
      </w:pPr>
      <w:r>
        <w:rPr>
          <w:rStyle w:val="FootnoteCharacters"/>
        </w:rPr>
        <w:footnoteRef/>
      </w:r>
      <w:r>
        <w:rPr/>
        <w:t xml:space="preserve"> </w:t>
      </w:r>
      <w:r>
        <w:rPr>
          <w:u w:val="single"/>
        </w:rPr>
        <w:t>Northern Natural Gas</w:t>
      </w:r>
      <w:r>
        <w:rPr/>
        <w:t>, 48 FERC ¶ 61,244 (1989) at 61,855.</w:t>
      </w:r>
    </w:p>
  </w:footnote>
  <w:footnote w:id="10">
    <w:p>
      <w:pPr>
        <w:pStyle w:val="FootnoteText"/>
        <w:jc w:val="both"/>
        <w:rPr/>
      </w:pPr>
      <w:r>
        <w:rPr>
          <w:rStyle w:val="FootnoteCharacters"/>
        </w:rPr>
        <w:footnoteRef/>
      </w:r>
      <w:r>
        <w:rPr/>
        <w:t xml:space="preserve"> </w:t>
      </w:r>
      <w:r>
        <w:rPr>
          <w:u w:val="single"/>
        </w:rPr>
        <w:t>North American Energy Conservation, Inc. v. CNG Transmission Corporation</w:t>
      </w:r>
      <w:r>
        <w:rPr/>
        <w:t>, 88 FERC 61,255 (1999).  The Commission's discussion of option provisions was incidental to the central dispute which involved the shipper's right of first refusal.</w:t>
      </w:r>
    </w:p>
  </w:footnote>
  <w:footnote w:id="11">
    <w:p>
      <w:pPr>
        <w:pStyle w:val="FootnoteText"/>
        <w:jc w:val="both"/>
        <w:rPr/>
      </w:pPr>
      <w:r>
        <w:rPr>
          <w:rStyle w:val="FootnoteCharacters"/>
        </w:rPr>
        <w:footnoteRef/>
      </w:r>
      <w:r>
        <w:rPr/>
        <w:t xml:space="preserve"> </w:t>
      </w:r>
      <w:r>
        <w:rPr>
          <w:u w:val="single"/>
        </w:rPr>
        <w:t>Id.</w:t>
      </w:r>
      <w:r>
        <w:rPr/>
        <w:t xml:space="preserve"> at 61,810. </w:t>
      </w:r>
    </w:p>
  </w:footnote>
  <w:footnote w:id="12">
    <w:p>
      <w:pPr>
        <w:pStyle w:val="FootnoteText"/>
        <w:rPr/>
      </w:pPr>
      <w:r>
        <w:rPr>
          <w:rStyle w:val="FootnoteCharacters"/>
        </w:rPr>
        <w:footnoteRef/>
      </w:r>
      <w:r>
        <w:rPr/>
        <w:t xml:space="preserve"> </w:t>
      </w:r>
      <w:r>
        <w:rPr>
          <w:u w:val="single"/>
        </w:rPr>
        <w:t>North American Energy Conservation, Inc. v. CNG Transmission Corporation</w:t>
      </w:r>
      <w:r>
        <w:rPr/>
        <w:t>, 91 FERC ¶ 61,115 (2000).  The violations have been referred to the Enforcement Section, Office of the General Counsel, to initiate an investigation into CNG's contracting practices and to explore available remedies under the NGA.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i/>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
    <w:name w:val="Body Text Indent"/>
    <w:basedOn w:val="Normal"/>
    <w:pPr>
      <w:ind w:hanging="0" w:start="360" w:end="0"/>
      <w:jc w:val="both"/>
    </w:pPr>
    <w:rPr>
      <w:sz w:val="24"/>
    </w:rPr>
  </w:style>
  <w:style w:type="paragraph" w:styleId="BodyTextIndent2">
    <w:name w:val="Body Text Indent 2"/>
    <w:basedOn w:val="Normal"/>
    <w:qFormat/>
    <w:pPr>
      <w:ind w:hanging="1440" w:start="1440" w:end="0"/>
    </w:pPr>
    <w:rPr>
      <w:sz w:val="24"/>
    </w:rPr>
  </w:style>
  <w:style w:type="paragraph" w:styleId="BodyText2">
    <w:name w:val="Body Text 2"/>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2000-05-12T13:02:00Z</dcterms:created>
  <dc:creator>jeffery c. fawcett</dc:creator>
  <dc:description/>
  <dc:language>en-CA</dc:language>
  <cp:lastModifiedBy>Susan Scott</cp:lastModifiedBy>
  <cp:lastPrinted>2000-05-17T11:10:00Z</cp:lastPrinted>
  <dcterms:modified xsi:type="dcterms:W3CDTF">2000-05-17T13:45:00Z</dcterms:modified>
  <cp:revision>8</cp:revision>
  <dc:subject/>
  <dc:title>The following categories of options are for purposes of grouping the regulatory authorizations required under the OSP or that can be provided currently pursuant to the FTS-1 Firm Tariff:</dc:title>
</cp:coreProperties>
</file>