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jc w:val="center"/>
        <w:outlineLvl w:val="0"/>
        <w:rPr/>
      </w:pPr>
      <w:r>
        <w:rPr/>
        <w:t>Reservation OPTION Agreement</w:t>
      </w:r>
    </w:p>
    <w:p>
      <w:pPr>
        <w:pStyle w:val="BodyTextFirstIndent"/>
        <w:jc w:val="start"/>
        <w:rPr/>
      </w:pPr>
      <w:r>
        <w:rPr/>
        <w:t>This Reservation Option Agreement (this “</w:t>
      </w:r>
      <w:r>
        <w:rPr>
          <w:u w:val="single"/>
        </w:rPr>
        <w:t>Agreement</w:t>
      </w:r>
      <w:r>
        <w:rPr/>
        <w:t>”) is signed this [___] day of July, 2000 between Siemens Westinghouse Power Corporation, a Siemens Company (“</w:t>
      </w:r>
      <w:r>
        <w:rPr>
          <w:u w:val="single"/>
        </w:rPr>
        <w:t>Seller</w:t>
      </w:r>
      <w:r>
        <w:rPr/>
        <w:t>”), and Enron Engineering &amp; Construction Company (“</w:t>
      </w:r>
      <w:r>
        <w:rPr>
          <w:u w:val="single"/>
        </w:rPr>
        <w:t>EE&amp;CC</w:t>
      </w:r>
      <w:r>
        <w:rPr/>
        <w:t>”; together with its successors and assigns, the “</w:t>
      </w:r>
      <w:r>
        <w:rPr>
          <w:u w:val="single"/>
        </w:rPr>
        <w:t>Purchaser</w:t>
      </w:r>
      <w:r>
        <w:rPr/>
        <w:t>”) and sets out the understanding of the Parties for the possible sale by Seller and purchase by Purchaser (which if Purchaser assigns any of its rights or obligations hereunder, shall be effected before or at the time of the exercise by Purchaser of its Reservation right provided hereunder)</w:t>
      </w:r>
      <w:r>
        <w:rPr>
          <w:b/>
        </w:rPr>
        <w:t xml:space="preserve"> </w:t>
      </w:r>
      <w:r>
        <w:rPr/>
        <w:t>of the Equipment (as defined below).</w:t>
      </w:r>
    </w:p>
    <w:p>
      <w:pPr>
        <w:pStyle w:val="BodyTextFirstIndent"/>
        <w:jc w:val="start"/>
        <w:rPr/>
      </w:pPr>
      <w:r>
        <w:rPr/>
        <w:t xml:space="preserve">WHEREAS, Purchaser desires to purchase one W501D5A Econopac Combustion Turbine Generator and related ancillary equipment (the “Equipment”) for an amount of Twenty-Two Million, Eight Hundred, Eighty-Two Thousand Six Hundred Fifty Dollars ($22,882,650) </w:t>
      </w:r>
      <w:r>
        <w:rPr>
          <w:vanish/>
        </w:rPr>
        <w:t xml:space="preserve"> </w:t>
      </w:r>
      <w:r>
        <w:rPr/>
        <w:t>free and clear of any liens or encumbrances;</w:t>
      </w:r>
    </w:p>
    <w:p>
      <w:pPr>
        <w:pStyle w:val="BodyTextFirstIndent"/>
        <w:jc w:val="start"/>
        <w:rPr/>
      </w:pPr>
      <w:r>
        <w:rPr/>
        <w:t>THEREFORE, the Parties agree as follows:</w:t>
      </w:r>
    </w:p>
    <w:p>
      <w:pPr>
        <w:pStyle w:val="ListNumber3"/>
        <w:numPr>
          <w:ilvl w:val="0"/>
          <w:numId w:val="4"/>
        </w:numPr>
        <w:ind w:hanging="360" w:start="0" w:end="0"/>
        <w:rPr/>
      </w:pPr>
      <w:r>
        <w:rPr/>
        <w:t>Exhibits hereto form an integral and essential part of this Agreement; a “business day”, as used herein, shall mean any day other than Saturday, Sunday and any day on which banks are required or authorized to close in Houston, Texas; and Seller and the Purchaser are referred to herein collectively as the “</w:t>
      </w:r>
      <w:r>
        <w:rPr>
          <w:u w:val="single"/>
        </w:rPr>
        <w:t>Parties</w:t>
      </w:r>
      <w:r>
        <w:rPr/>
        <w:t>”.</w:t>
      </w:r>
    </w:p>
    <w:p>
      <w:pPr>
        <w:pStyle w:val="ListNumber3"/>
        <w:numPr>
          <w:ilvl w:val="0"/>
          <w:numId w:val="4"/>
        </w:numPr>
        <w:ind w:hanging="360" w:start="0" w:end="0"/>
        <w:rPr/>
      </w:pPr>
      <w:r>
        <w:rPr/>
        <w:t>Purchaser shall wire U.S.$1,204,350 (the “</w:t>
      </w:r>
      <w:r>
        <w:rPr>
          <w:u w:val="single"/>
        </w:rPr>
        <w:t>Reservation Payment</w:t>
      </w:r>
      <w:r>
        <w:rPr/>
        <w:t>”) to the Seller account specified in the wire transfer instructions attached hereto as Exhibit A.  The Reservation Payment shall not be credited against the purchase price of the Equipment.</w:t>
      </w:r>
    </w:p>
    <w:p>
      <w:pPr>
        <w:pStyle w:val="ListNumber3"/>
        <w:numPr>
          <w:ilvl w:val="0"/>
          <w:numId w:val="4"/>
        </w:numPr>
        <w:ind w:hanging="360" w:start="0" w:end="0"/>
        <w:rPr/>
      </w:pPr>
      <w:r>
        <w:rPr/>
        <w:t>This Agreement shall come into force upon receipt of confirmation from Seller’s bankers that the Reservation Payment has been received (the “</w:t>
      </w:r>
      <w:r>
        <w:rPr>
          <w:u w:val="single"/>
        </w:rPr>
        <w:t>Effective Date</w:t>
      </w:r>
      <w:r>
        <w:rPr/>
        <w:t>”);</w:t>
      </w:r>
    </w:p>
    <w:p>
      <w:pPr>
        <w:pStyle w:val="ListNumber3"/>
        <w:numPr>
          <w:ilvl w:val="0"/>
          <w:numId w:val="4"/>
        </w:numPr>
        <w:ind w:hanging="360" w:start="0" w:end="0"/>
        <w:rPr/>
      </w:pPr>
      <w:r>
        <w:rPr/>
        <w:t>Starting from the Effective Date, Seller shall be deemed to have granted to Purchaser an option (the “Reservation”), to be exercised by Purchaser giving written notice to Seller no later than 5:00 P.M. Central Time on August 5, 2000 (the “</w:t>
      </w:r>
      <w:r>
        <w:rPr>
          <w:u w:val="single"/>
        </w:rPr>
        <w:t>Notice</w:t>
      </w:r>
      <w:r>
        <w:rPr/>
        <w:t>”), to acquire the Equipment pursuant to a supply agreement governing the purchase of such Equipment.  The  agreement shall be based on the terms and conditions of the contract attached as Exhibit B as such terms and conditions will be modified to reflect mutually agreed changes (the “Definitive Contract”); provided, however, that the purchase price referred to above and set forth in the Definitive Contract is firm for the scope described in that contract. The Notice shall be given by fax at the following address:</w:t>
      </w:r>
    </w:p>
    <w:p>
      <w:pPr>
        <w:pStyle w:val="Index9"/>
        <w:rPr/>
      </w:pPr>
      <w:r>
        <w:rPr/>
        <w:t>Address:</w:t>
        <w:tab/>
        <w:tab/>
        <w:t xml:space="preserve">Siemens Westinghouse </w:t>
      </w:r>
    </w:p>
    <w:p>
      <w:pPr>
        <w:pStyle w:val="Index9"/>
        <w:rPr/>
      </w:pPr>
      <w:r>
        <w:rPr/>
        <w:t>Telephone:</w:t>
        <w:tab/>
        <w:t>713-735-2202</w:t>
      </w:r>
    </w:p>
    <w:p>
      <w:pPr>
        <w:pStyle w:val="Index9"/>
        <w:rPr/>
      </w:pPr>
      <w:r>
        <w:rPr/>
        <w:t>Fax:</w:t>
        <w:tab/>
        <w:tab/>
        <w:t>713-735-2241</w:t>
      </w:r>
    </w:p>
    <w:p>
      <w:pPr>
        <w:pStyle w:val="Index9"/>
        <w:rPr/>
      </w:pPr>
      <w:r>
        <w:rPr/>
        <w:t>Attention:</w:t>
        <w:tab/>
        <w:t>Mark Tartaglio</w:t>
      </w:r>
    </w:p>
    <w:p>
      <w:pPr>
        <w:pStyle w:val="Normal"/>
        <w:rPr/>
      </w:pPr>
      <w:r>
        <w:rPr/>
      </w:r>
    </w:p>
    <w:p>
      <w:pPr>
        <w:pStyle w:val="BodyText"/>
        <w:jc w:val="start"/>
        <w:rPr/>
      </w:pPr>
      <w:r>
        <w:rPr/>
        <w:t>The fax transmission report shall be deemed to give full evidence of the receipt and the date of the Notice. The fax shall be also confirmed by overnight domestic courier to the following address:</w:t>
      </w:r>
    </w:p>
    <w:p>
      <w:pPr>
        <w:pStyle w:val="Date"/>
        <w:rPr/>
      </w:pPr>
      <w:r>
        <w:rPr/>
        <w:tab/>
        <w:tab/>
        <w:tab/>
        <w:t>Siemens Westinghouse Power Corporation</w:t>
      </w:r>
    </w:p>
    <w:p>
      <w:pPr>
        <w:pStyle w:val="Date"/>
        <w:rPr/>
      </w:pPr>
      <w:r>
        <w:rPr/>
        <w:tab/>
        <w:tab/>
        <w:tab/>
        <w:t>4400 Alafaya Trail</w:t>
      </w:r>
    </w:p>
    <w:p>
      <w:pPr>
        <w:pStyle w:val="Normal"/>
        <w:rPr/>
      </w:pPr>
      <w:r>
        <w:rPr/>
        <w:tab/>
        <w:tab/>
        <w:tab/>
        <w:t>Orlando, Florida 32826</w:t>
      </w:r>
    </w:p>
    <w:p>
      <w:pPr>
        <w:pStyle w:val="Normal"/>
        <w:rPr/>
      </w:pPr>
      <w:r>
        <w:rPr/>
        <w:tab/>
        <w:tab/>
        <w:tab/>
        <w:t xml:space="preserve">Attention:  Donald R. Marcucci  </w:t>
      </w:r>
    </w:p>
    <w:p>
      <w:pPr>
        <w:pStyle w:val="Date"/>
        <w:rPr/>
      </w:pPr>
      <w:r>
        <w:rPr/>
        <w:t xml:space="preserve"> </w:t>
      </w:r>
    </w:p>
    <w:p>
      <w:pPr>
        <w:pStyle w:val="BodyText"/>
        <w:jc w:val="start"/>
        <w:rPr/>
      </w:pPr>
      <w:r>
        <w:rPr/>
        <w:t>Should Purchaser not exercise the Reservation within the above said date, Seller shall retain the Reservation Payment without Seller or Purchaser having any other claim and this Agreement shall become null and void.</w:t>
      </w:r>
    </w:p>
    <w:p>
      <w:pPr>
        <w:pStyle w:val="ListNumber3"/>
        <w:numPr>
          <w:ilvl w:val="0"/>
          <w:numId w:val="4"/>
        </w:numPr>
        <w:ind w:hanging="360" w:start="0" w:end="0"/>
        <w:rPr/>
      </w:pPr>
      <w:r>
        <w:rPr/>
        <w:t>Within two (2) business days after the date of receipt by Seller of the Notice by fax, Seller and Purchaser (or any entity or person to which the rights under this Reservation Agreement may be and has been assigned) shall execute and deliver a mutually agreeable Definitive Contract, unless extended by mutual agreement  (such agreement not to be unreasonably withheld).  The Parties agree to use all reasonable efforts to conclude the negotiations prior to August 7, 2000 of such Definitive Contract, and if a mutually agreed Definitive Contract is not achieved by such date, as it may be extended by mutual agreement, this Agreement shall terminate and Seller shall retain the Reservation Payment without Seller or Purchaser having any other claim.</w:t>
      </w:r>
    </w:p>
    <w:p>
      <w:pPr>
        <w:pStyle w:val="ListNumber3"/>
        <w:numPr>
          <w:ilvl w:val="0"/>
          <w:numId w:val="4"/>
        </w:numPr>
        <w:ind w:hanging="360" w:start="0" w:end="0"/>
        <w:rPr/>
      </w:pPr>
      <w:r>
        <w:rPr/>
        <w:t>Seller agrees to provide reasonable information and support to Purchaser in the execution of such additional documents as Purchaser may reasonably request in order to give effect to the transactions contemplated hereunder.</w:t>
      </w:r>
    </w:p>
    <w:p>
      <w:pPr>
        <w:pStyle w:val="ListNumber3"/>
        <w:numPr>
          <w:ilvl w:val="0"/>
          <w:numId w:val="4"/>
        </w:numPr>
        <w:ind w:hanging="360" w:start="0" w:end="0"/>
        <w:rPr/>
      </w:pPr>
      <w:r>
        <w:rPr/>
        <w:t>Without the prior consent of Purchaser, Seller shall not assign any portion of its rights and/or obligations under this Reservation Agreement.  Purchaser shall have the right to assign any or all of its rights under this Reservation Agreement and/or obligations hereunder to LJM2-Turbine LLC or any other lender selected by EE&amp;CC with a credit rating at least equivalent to the Enron Corp. rating of BBB+.</w:t>
      </w:r>
    </w:p>
    <w:p>
      <w:pPr>
        <w:pStyle w:val="ListNumber3"/>
        <w:numPr>
          <w:ilvl w:val="0"/>
          <w:numId w:val="4"/>
        </w:numPr>
        <w:ind w:hanging="360" w:start="0" w:end="0"/>
        <w:rPr/>
      </w:pPr>
      <w:r>
        <w:rPr/>
        <w:t xml:space="preserve">This Agreement represents the entire understanding of the Parties and supersedes any previously written oral or written communication or understandings. This Reservation Agreement shall expire upon the earlier of the execution of the Definitive Contract or August 1, 2000 unless such date is mutually extended by the Parties. </w:t>
      </w:r>
    </w:p>
    <w:p>
      <w:pPr>
        <w:pStyle w:val="ListNumber3"/>
        <w:numPr>
          <w:ilvl w:val="0"/>
          <w:numId w:val="4"/>
        </w:numPr>
        <w:ind w:hanging="360" w:start="0" w:end="0"/>
        <w:rPr/>
      </w:pPr>
      <w:r>
        <w:rPr/>
        <w:t>This Agreement may only be amended pursuant to a written amendment signed by each of the Parties.</w:t>
      </w:r>
    </w:p>
    <w:p>
      <w:pPr>
        <w:pStyle w:val="ListNumber3"/>
        <w:numPr>
          <w:ilvl w:val="0"/>
          <w:numId w:val="4"/>
        </w:numPr>
        <w:ind w:hanging="360" w:start="0" w:end="0"/>
        <w:rPr/>
      </w:pPr>
      <w:r>
        <w:rPr/>
        <w:t>This Agreement shall be interpreted and construed according to the laws of the State of New York, United States of America except its laws with respect to conflict of laws.</w:t>
      </w:r>
      <w:r>
        <w:br w:type="page"/>
      </w:r>
    </w:p>
    <w:p>
      <w:pPr>
        <w:pStyle w:val="BodyTextFirstIndent"/>
        <w:jc w:val="start"/>
        <w:rPr/>
      </w:pPr>
      <w:r>
        <w:rPr/>
        <w:t>The Parties have reviewed this Agreement, and agree to the transaction as outlined above.  Such Agreement is hereby executed by each of the Parties’ duly authorized officers.</w:t>
      </w:r>
    </w:p>
    <w:p>
      <w:pPr>
        <w:pStyle w:val="BodyTextFirstIndent"/>
        <w:jc w:val="start"/>
        <w:rPr/>
      </w:pPr>
      <w:r>
        <w:rPr/>
      </w:r>
    </w:p>
    <w:tbl>
      <w:tblPr>
        <w:tblW w:w="9576" w:type="dxa"/>
        <w:jc w:val="start"/>
        <w:tblInd w:w="0" w:type="dxa"/>
        <w:tblLayout w:type="fixed"/>
        <w:tblCellMar>
          <w:top w:w="0" w:type="dxa"/>
          <w:start w:w="108" w:type="dxa"/>
          <w:bottom w:w="0" w:type="dxa"/>
          <w:end w:w="108" w:type="dxa"/>
        </w:tblCellMar>
      </w:tblPr>
      <w:tblGrid>
        <w:gridCol w:w="4428"/>
        <w:gridCol w:w="5148"/>
      </w:tblGrid>
      <w:tr>
        <w:trPr/>
        <w:tc>
          <w:tcPr>
            <w:tcW w:w="4428" w:type="dxa"/>
            <w:tcBorders/>
          </w:tcPr>
          <w:p>
            <w:pPr>
              <w:pStyle w:val="BodyTextFirstIndent"/>
              <w:snapToGrid w:val="false"/>
              <w:spacing w:before="0" w:after="240"/>
              <w:ind w:hanging="0" w:end="0"/>
              <w:jc w:val="start"/>
              <w:rPr/>
            </w:pPr>
            <w:r>
              <w:rPr/>
            </w:r>
          </w:p>
        </w:tc>
        <w:tc>
          <w:tcPr>
            <w:tcW w:w="5148" w:type="dxa"/>
            <w:tcBorders/>
          </w:tcPr>
          <w:p>
            <w:pPr>
              <w:pStyle w:val="BodyTextFirstIndent"/>
              <w:ind w:hanging="0" w:end="0"/>
              <w:jc w:val="start"/>
              <w:rPr/>
            </w:pPr>
            <w:r>
              <w:rPr/>
              <w:t>Siemens Westinghouse, as Seller</w:t>
            </w:r>
          </w:p>
          <w:p>
            <w:pPr>
              <w:pStyle w:val="BodyTextFirstIndent"/>
              <w:ind w:hanging="0" w:end="0"/>
              <w:jc w:val="start"/>
              <w:rPr/>
            </w:pPr>
            <w:r>
              <w:rPr/>
            </w:r>
          </w:p>
          <w:p>
            <w:pPr>
              <w:pStyle w:val="BodyTextFirstIndent"/>
              <w:ind w:hanging="0" w:end="0"/>
              <w:jc w:val="start"/>
              <w:rPr/>
            </w:pPr>
            <w:r>
              <w:rPr/>
              <w:t>By:___________________________________</w:t>
              <w:br/>
              <w:t>Name:________________________________</w:t>
              <w:br/>
              <w:t>Title:_________________________________</w:t>
            </w:r>
          </w:p>
          <w:p>
            <w:pPr>
              <w:pStyle w:val="BodyTextFirstIndent"/>
              <w:spacing w:before="0" w:after="240"/>
              <w:ind w:hanging="0" w:end="0"/>
              <w:jc w:val="start"/>
              <w:rPr/>
            </w:pPr>
            <w:r>
              <w:rPr/>
            </w:r>
          </w:p>
        </w:tc>
      </w:tr>
      <w:tr>
        <w:trPr/>
        <w:tc>
          <w:tcPr>
            <w:tcW w:w="4428" w:type="dxa"/>
            <w:tcBorders/>
          </w:tcPr>
          <w:p>
            <w:pPr>
              <w:pStyle w:val="BodyTextFirstIndent"/>
              <w:snapToGrid w:val="false"/>
              <w:spacing w:before="0" w:after="240"/>
              <w:ind w:hanging="0" w:end="0"/>
              <w:jc w:val="start"/>
              <w:rPr/>
            </w:pPr>
            <w:r>
              <w:rPr/>
            </w:r>
          </w:p>
        </w:tc>
        <w:tc>
          <w:tcPr>
            <w:tcW w:w="5148" w:type="dxa"/>
            <w:tcBorders/>
          </w:tcPr>
          <w:p>
            <w:pPr>
              <w:pStyle w:val="BodyTextFirstIndent"/>
              <w:ind w:hanging="0" w:end="0"/>
              <w:jc w:val="start"/>
              <w:rPr/>
            </w:pPr>
            <w:r>
              <w:rPr/>
              <w:t>Enron Engineering &amp; Construction Company, as Purchaser</w:t>
            </w:r>
          </w:p>
          <w:p>
            <w:pPr>
              <w:pStyle w:val="BodyTextFirstIndent"/>
              <w:ind w:hanging="0" w:end="0"/>
              <w:jc w:val="start"/>
              <w:rPr/>
            </w:pPr>
            <w:r>
              <w:rPr/>
            </w:r>
          </w:p>
          <w:p>
            <w:pPr>
              <w:pStyle w:val="BodyTextFirstIndent"/>
              <w:spacing w:before="0" w:after="240"/>
              <w:ind w:hanging="0" w:end="0"/>
              <w:jc w:val="start"/>
              <w:rPr/>
            </w:pPr>
            <w:r>
              <w:rPr/>
              <w:t>By:___________________________________</w:t>
              <w:br/>
              <w:t>Name:________________________________</w:t>
              <w:br/>
              <w:t>Title:_________________________________</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BodyTextFirstIndent"/>
        <w:ind w:hanging="0" w:end="0"/>
        <w:jc w:val="start"/>
        <w:rPr/>
      </w:pPr>
      <w:r>
        <w:rPr/>
      </w:r>
    </w:p>
    <w:p>
      <w:pPr>
        <w:pStyle w:val="Heading"/>
        <w:numPr>
          <w:ilvl w:val="0"/>
          <w:numId w:val="0"/>
        </w:numPr>
        <w:jc w:val="center"/>
        <w:outlineLvl w:val="0"/>
        <w:rPr/>
      </w:pPr>
      <w:r>
        <w:rPr/>
        <w:t>EXHIBIT A  WIRE TRANSFER INSTRUCTIONS</w:t>
      </w:r>
    </w:p>
    <w:p>
      <w:pPr>
        <w:pStyle w:val="Normal"/>
        <w:spacing w:before="0" w:after="240"/>
        <w:rPr/>
      </w:pPr>
      <w:r>
        <w:rPr/>
        <w:t>Wire Transfer Funds To:</w:t>
      </w:r>
    </w:p>
    <w:p>
      <w:pPr>
        <w:pStyle w:val="Normal"/>
        <w:spacing w:before="0" w:after="240"/>
        <w:rPr/>
      </w:pPr>
      <w:r>
        <w:rPr/>
        <w:t>BANK:  Mellon Bank, N.A.</w:t>
      </w:r>
    </w:p>
    <w:p>
      <w:pPr>
        <w:pStyle w:val="Normal"/>
        <w:spacing w:before="0" w:after="240"/>
        <w:rPr/>
      </w:pPr>
      <w:r>
        <w:rPr/>
        <w:t>ABA#:  043000261</w:t>
      </w:r>
    </w:p>
    <w:p>
      <w:pPr>
        <w:pStyle w:val="Normal"/>
        <w:spacing w:before="0" w:after="240"/>
        <w:rPr/>
      </w:pPr>
      <w:r>
        <w:rPr/>
        <w:t>ACCT NAME:  Siemens Westinghouse Power Corp.</w:t>
      </w:r>
    </w:p>
    <w:p>
      <w:pPr>
        <w:pStyle w:val="Normal"/>
        <w:spacing w:before="0" w:after="240"/>
        <w:rPr/>
      </w:pPr>
      <w:r>
        <w:rPr/>
        <w:t>ACCOUNT#:  038-0269</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before="0" w:after="240"/>
        <w:rPr/>
      </w:pPr>
      <w:r>
        <w:rPr/>
      </w:r>
    </w:p>
    <w:p>
      <w:pPr>
        <w:pStyle w:val="Heading"/>
        <w:numPr>
          <w:ilvl w:val="0"/>
          <w:numId w:val="0"/>
        </w:numPr>
        <w:jc w:val="center"/>
        <w:outlineLvl w:val="0"/>
        <w:rPr/>
      </w:pPr>
      <w:r>
        <w:rPr/>
        <w:t>EXHIBIT B  definitive contract</w:t>
      </w:r>
    </w:p>
    <w:p>
      <w:pPr>
        <w:pStyle w:val="Normal"/>
        <w:rPr/>
      </w:pPr>
      <w:r>
        <w:rPr/>
      </w:r>
    </w:p>
    <w:p>
      <w:pPr>
        <w:pStyle w:val="Normal"/>
        <w:rPr/>
      </w:pPr>
      <w:r>
        <w:rPr/>
      </w:r>
    </w:p>
    <w:p>
      <w:pPr>
        <w:pStyle w:val="Normal"/>
        <w:rPr/>
      </w:pPr>
      <w:r>
        <w:rPr/>
        <w:t>Y2k(6)-2-98 Contract dated 17 March 1999 executed by Enron Equipment Procurement Company and Siemens Westinghouse as such agreement will be modified to reflect mutually agreed changes.</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Blue Girl Option Rev 4b.doc</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Blue Girl Option Rev 4b.doc</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Blue Girl Option Rev 4b.doc</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Blue Girl Option Rev 4b.doc</w:t>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Blue Girl Option Rev 4b.doc</w:t>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lang w:val="it-IT"/>
      </w:rPr>
    </w:pPr>
    <w:r>
      <w:rPr>
        <w:b/>
        <w:lang w:val="it-IT"/>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7/19/00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lang w:val="it-IT"/>
      </w:rPr>
    </w:pPr>
    <w:r>
      <w:rPr>
        <w:b/>
        <w:lang w:val="it-IT"/>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7/19/00</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lang w:val="it-IT"/>
      </w:rPr>
    </w:pPr>
    <w:r>
      <w:rPr>
        <w:b/>
        <w:lang w:val="it-IT"/>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lvl>
    <w:lvl w:ilvl="1">
      <w:start w:val="1"/>
      <w:pStyle w:val="Heading2"/>
      <w:isLgl/>
      <w:numFmt w:val="decimal"/>
      <w:lvlText w:val="%1.%2"/>
      <w:lvlJc w:val="start"/>
      <w:pPr>
        <w:tabs>
          <w:tab w:val="num" w:pos="1800"/>
        </w:tabs>
        <w:ind w:start="0" w:firstLine="1440"/>
      </w:pPr>
      <w:rPr/>
    </w:lvl>
    <w:lvl w:ilvl="2">
      <w:start w:val="1"/>
      <w:pStyle w:val="Heading3"/>
      <w:numFmt w:val="lowerLetter"/>
      <w:lvlText w:val="(%3)"/>
      <w:lvlJc w:val="start"/>
      <w:pPr>
        <w:tabs>
          <w:tab w:val="num" w:pos="1800"/>
        </w:tabs>
        <w:ind w:start="0" w:firstLine="1440"/>
      </w:pPr>
      <w:rPr>
        <w:u w:val="none"/>
      </w:rPr>
    </w:lvl>
    <w:lvl w:ilvl="3">
      <w:start w:val="1"/>
      <w:pStyle w:val="Heading4"/>
      <w:numFmt w:val="lowerRoman"/>
      <w:lvlText w:val="(%4)"/>
      <w:lvlJc w:val="start"/>
      <w:pPr>
        <w:tabs>
          <w:tab w:val="num" w:pos="2160"/>
        </w:tabs>
        <w:ind w:start="720" w:firstLine="720"/>
      </w:pPr>
      <w:rPr/>
    </w:lvl>
    <w:lvl w:ilvl="4">
      <w:start w:val="1"/>
      <w:pStyle w:val="Heading5"/>
      <w:numFmt w:val="upperLetter"/>
      <w:lvlText w:val="(%5)"/>
      <w:lvlJc w:val="start"/>
      <w:pPr>
        <w:tabs>
          <w:tab w:val="num" w:pos="2520"/>
        </w:tabs>
        <w:ind w:start="1440" w:firstLine="720"/>
      </w:pPr>
      <w:rPr/>
    </w:lvl>
    <w:lvl w:ilvl="5">
      <w:start w:val="1"/>
      <w:pStyle w:val="Heading6"/>
      <w:numFmt w:val="upperRoman"/>
      <w:lvlText w:val="(%6)"/>
      <w:lvlJc w:val="start"/>
      <w:pPr>
        <w:tabs>
          <w:tab w:val="num" w:pos="3600"/>
        </w:tabs>
        <w:ind w:start="2160" w:firstLine="720"/>
      </w:pPr>
      <w:rPr/>
    </w:lvl>
    <w:lvl w:ilvl="6">
      <w:start w:val="1"/>
      <w:pStyle w:val="Heading7"/>
      <w:numFmt w:val="lowerLetter"/>
      <w:lvlText w:val="%7."/>
      <w:lvlJc w:val="start"/>
      <w:pPr>
        <w:tabs>
          <w:tab w:val="num" w:pos="3960"/>
        </w:tabs>
        <w:ind w:start="2880" w:firstLine="720"/>
      </w:pPr>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8"/>
      <w:numFmt w:val="decimal"/>
      <w:lvlText w:val="%1."/>
      <w:lvlJc w:val="start"/>
      <w:pPr>
        <w:tabs>
          <w:tab w:val="num" w:pos="360"/>
        </w:tabs>
        <w:ind w:start="360" w:hanging="360"/>
      </w:pPr>
      <w:rPr/>
    </w:lvl>
    <w:lvl w:ilvl="1">
      <w:start w:val="7"/>
      <w:isLgl/>
      <w:numFmt w:val="decimal"/>
      <w:lvlText w:val="%1.%2."/>
      <w:lvlJc w:val="start"/>
      <w:pPr>
        <w:tabs>
          <w:tab w:val="num" w:pos="377"/>
        </w:tabs>
        <w:ind w:start="377" w:hanging="377"/>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12">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defaultTabStop w:val="706"/>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120" w:after="240"/>
      <w:jc w:val="center"/>
      <w:outlineLvl w:val="0"/>
    </w:pPr>
    <w:rPr>
      <w:b/>
      <w:u w:val="single"/>
    </w:rPr>
  </w:style>
  <w:style w:type="paragraph" w:styleId="Heading2">
    <w:name w:val="heading 2"/>
    <w:basedOn w:val="Normal"/>
    <w:next w:val="BodyTextFirstIndent"/>
    <w:qFormat/>
    <w:pPr>
      <w:numPr>
        <w:ilvl w:val="1"/>
        <w:numId w:val="1"/>
      </w:numPr>
      <w:tabs>
        <w:tab w:val="clear" w:pos="706"/>
      </w:tabs>
      <w:spacing w:before="0" w:after="240"/>
      <w:jc w:val="both"/>
      <w:outlineLvl w:val="1"/>
    </w:pPr>
    <w:rPr>
      <w:u w:val="single"/>
    </w:rPr>
  </w:style>
  <w:style w:type="paragraph" w:styleId="Heading3">
    <w:name w:val="heading 3"/>
    <w:basedOn w:val="Normal"/>
    <w:next w:val="BodyTextFirstIndent"/>
    <w:qFormat/>
    <w:pPr>
      <w:numPr>
        <w:ilvl w:val="2"/>
        <w:numId w:val="1"/>
      </w:numPr>
      <w:tabs>
        <w:tab w:val="clear" w:pos="706"/>
      </w:tabs>
      <w:spacing w:before="0" w:after="240"/>
      <w:jc w:val="both"/>
      <w:outlineLvl w:val="2"/>
    </w:pPr>
    <w:rPr>
      <w:u w:val="single"/>
    </w:rPr>
  </w:style>
  <w:style w:type="paragraph" w:styleId="Heading4">
    <w:name w:val="heading 4"/>
    <w:basedOn w:val="Normal"/>
    <w:next w:val="BodyText"/>
    <w:qFormat/>
    <w:pPr>
      <w:numPr>
        <w:ilvl w:val="3"/>
        <w:numId w:val="1"/>
      </w:numPr>
      <w:tabs>
        <w:tab w:val="clear" w:pos="706"/>
        <w:tab w:val="left" w:pos="2880" w:leader="none"/>
      </w:tabs>
      <w:spacing w:before="0" w:after="240"/>
      <w:jc w:val="both"/>
      <w:outlineLvl w:val="3"/>
    </w:pPr>
    <w:rPr/>
  </w:style>
  <w:style w:type="paragraph" w:styleId="Heading5">
    <w:name w:val="heading 5"/>
    <w:basedOn w:val="Normal"/>
    <w:next w:val="BodyText"/>
    <w:qFormat/>
    <w:pPr>
      <w:numPr>
        <w:ilvl w:val="4"/>
        <w:numId w:val="1"/>
      </w:numPr>
      <w:tabs>
        <w:tab w:val="clear" w:pos="706"/>
      </w:tabs>
      <w:spacing w:before="0" w:after="240"/>
      <w:jc w:val="both"/>
      <w:outlineLvl w:val="4"/>
    </w:pPr>
    <w:rPr/>
  </w:style>
  <w:style w:type="paragraph" w:styleId="Heading6">
    <w:name w:val="heading 6"/>
    <w:basedOn w:val="Normal"/>
    <w:next w:val="BodyText"/>
    <w:qFormat/>
    <w:pPr>
      <w:numPr>
        <w:ilvl w:val="5"/>
        <w:numId w:val="1"/>
      </w:numPr>
      <w:tabs>
        <w:tab w:val="clear" w:pos="706"/>
        <w:tab w:val="left" w:pos="4320" w:leader="none"/>
      </w:tabs>
      <w:spacing w:before="0" w:after="240"/>
      <w:jc w:val="both"/>
      <w:outlineLvl w:val="5"/>
    </w:pPr>
    <w:rPr/>
  </w:style>
  <w:style w:type="paragraph" w:styleId="Heading7">
    <w:name w:val="heading 7"/>
    <w:basedOn w:val="Normal"/>
    <w:next w:val="BodyText"/>
    <w:qFormat/>
    <w:pPr>
      <w:numPr>
        <w:ilvl w:val="6"/>
        <w:numId w:val="1"/>
      </w:numPr>
      <w:tabs>
        <w:tab w:val="clear" w:pos="706"/>
      </w:tabs>
      <w:spacing w:before="0" w:after="240"/>
      <w:jc w:val="both"/>
      <w:outlineLvl w:val="6"/>
    </w:pPr>
    <w:rPr/>
  </w:style>
  <w:style w:type="paragraph" w:styleId="Heading8">
    <w:name w:val="heading 8"/>
    <w:basedOn w:val="Normal"/>
    <w:next w:val="BodyText"/>
    <w:qFormat/>
    <w:pPr>
      <w:numPr>
        <w:ilvl w:val="7"/>
        <w:numId w:val="1"/>
      </w:numPr>
      <w:tabs>
        <w:tab w:val="clear" w:pos="706"/>
        <w:tab w:val="left" w:pos="5760" w:leader="none"/>
      </w:tabs>
      <w:spacing w:before="0" w:after="240"/>
      <w:jc w:val="both"/>
      <w:outlineLvl w:val="7"/>
    </w:pPr>
    <w:rPr/>
  </w:style>
  <w:style w:type="paragraph" w:styleId="Heading9">
    <w:name w:val="heading 9"/>
    <w:basedOn w:val="Normal"/>
    <w:next w:val="BodyText"/>
    <w:qFormat/>
    <w:pPr>
      <w:numPr>
        <w:ilvl w:val="8"/>
        <w:numId w:val="1"/>
      </w:numPr>
      <w:spacing w:before="0" w:after="24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1">
    <w:name w:val="WW8Num18z1"/>
    <w:qFormat/>
    <w:rPr/>
  </w:style>
  <w:style w:type="character" w:styleId="WW8Num20z0">
    <w:name w:val="WW8Num20z0"/>
    <w:qFormat/>
    <w:rPr/>
  </w:style>
  <w:style w:type="character" w:styleId="WW8Num20z2">
    <w:name w:val="WW8Num20z2"/>
    <w:qFormat/>
    <w:rPr>
      <w:u w:val="none"/>
    </w:rPr>
  </w:style>
  <w:style w:type="character" w:styleId="WW8Num20z8">
    <w:name w:val="WW8Num20z8"/>
    <w:qFormat/>
    <w:rPr>
      <w:rFonts w:ascii="Symbol" w:hAnsi="Symbol" w:cs="Symbol"/>
      <w:color w:val="000000"/>
      <w:sz w:val="28"/>
    </w:rPr>
  </w:style>
  <w:style w:type="character" w:styleId="WW8Num21z0">
    <w:name w:val="WW8Num21z0"/>
    <w:qFormat/>
    <w:rPr/>
  </w:style>
  <w:style w:type="character" w:styleId="WW8Num22z0">
    <w:name w:val="WW8Num22z0"/>
    <w:qFormat/>
    <w:rPr>
      <w:rFonts w:ascii="Times New Roman" w:hAnsi="Times New Roman" w:cs="Times New Roman"/>
      <w:b w:val="false"/>
      <w:i w:val="false"/>
      <w:sz w:val="22"/>
      <w:u w:val="none"/>
    </w:rPr>
  </w:style>
  <w:style w:type="character" w:styleId="WW8Num22z1">
    <w:name w:val="WW8Num22z1"/>
    <w:qFormat/>
    <w:rPr>
      <w:rFonts w:ascii="Times New Roman" w:hAnsi="Times New Roman" w:cs="Times New Roman"/>
      <w:b w:val="false"/>
      <w:i w:val="false"/>
      <w:sz w:val="24"/>
      <w:u w:val="none"/>
    </w:rPr>
  </w:style>
  <w:style w:type="character" w:styleId="WW8Num22z2">
    <w:name w:val="WW8Num22z2"/>
    <w:qFormat/>
    <w:rPr/>
  </w:style>
  <w:style w:type="character" w:styleId="WW8Num22z8">
    <w:name w:val="WW8Num22z8"/>
    <w:qFormat/>
    <w:rPr>
      <w:rFonts w:ascii="Symbol" w:hAnsi="Symbol" w:cs="Symbol"/>
      <w:color w:val="000000"/>
      <w:sz w:val="28"/>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BodyTextFirstIndent"/>
    <w:qFormat/>
    <w:pPr>
      <w:spacing w:before="0" w:after="240"/>
    </w:pPr>
    <w:rPr>
      <w:rFonts w:ascii="Times New Roman Bold;Times New Roman" w:hAnsi="Times New Roman Bold;Times New Roman" w:cs="Times New Roman Bold;Times New Roman"/>
      <w:b/>
      <w:caps/>
    </w:rPr>
  </w:style>
  <w:style w:type="paragraph" w:styleId="BodyText">
    <w:name w:val="Body Text"/>
    <w:basedOn w:val="Normal"/>
    <w:pPr>
      <w:spacing w:before="0" w:after="240"/>
      <w:jc w:val="both"/>
    </w:pPr>
    <w:rPr/>
  </w:style>
  <w:style w:type="paragraph" w:styleId="List">
    <w:name w:val="List"/>
    <w:basedOn w:val="Normal"/>
    <w:pPr>
      <w:numPr>
        <w:ilvl w:val="0"/>
        <w:numId w:val="12"/>
      </w:numPr>
      <w:tabs>
        <w:tab w:val="clear" w:pos="706"/>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BodyText2">
    <w:name w:val="Body Text 2"/>
    <w:basedOn w:val="Normal"/>
    <w:next w:val="WW-BodyText2"/>
    <w:qFormat/>
    <w:pPr>
      <w:spacing w:lineRule="auto" w:line="480" w:before="0" w:after="120"/>
    </w:pPr>
    <w:rPr/>
  </w:style>
  <w:style w:type="paragraph" w:styleId="HeaderandFooter">
    <w:name w:val="Header and Footer"/>
    <w:basedOn w:val="Normal"/>
    <w:qFormat/>
    <w:pPr>
      <w:suppressLineNumbers/>
      <w:tabs>
        <w:tab w:val="clear" w:pos="706"/>
        <w:tab w:val="center" w:pos="4986" w:leader="none"/>
        <w:tab w:val="right" w:pos="9972" w:leader="none"/>
      </w:tabs>
    </w:pPr>
    <w:rPr/>
  </w:style>
  <w:style w:type="paragraph" w:styleId="Footer">
    <w:name w:val="footer"/>
    <w:basedOn w:val="Normal"/>
    <w:pPr>
      <w:tabs>
        <w:tab w:val="clear" w:pos="706"/>
        <w:tab w:val="center" w:pos="4320" w:leader="none"/>
        <w:tab w:val="right" w:pos="8640" w:leader="none"/>
      </w:tabs>
    </w:pPr>
    <w:rPr/>
  </w:style>
  <w:style w:type="paragraph" w:styleId="Header">
    <w:name w:val="header"/>
    <w:basedOn w:val="Normal"/>
    <w:pPr>
      <w:tabs>
        <w:tab w:val="clear" w:pos="706"/>
        <w:tab w:val="center" w:pos="4320" w:leader="none"/>
        <w:tab w:val="right" w:pos="8640" w:leader="none"/>
      </w:tabs>
    </w:pPr>
    <w:rPr/>
  </w:style>
  <w:style w:type="paragraph" w:styleId="BodyTextIndent">
    <w:name w:val="Body Text Indent"/>
    <w:basedOn w:val="Normal"/>
    <w:pPr>
      <w:spacing w:before="0" w:after="120"/>
      <w:ind w:hanging="0" w:start="360" w:end="0"/>
    </w:pPr>
    <w:rPr/>
  </w:style>
  <w:style w:type="paragraph" w:styleId="BodyTextFirstIndent">
    <w:name w:val="Body Text First Indent"/>
    <w:basedOn w:val="Normal"/>
    <w:qFormat/>
    <w:pPr>
      <w:spacing w:before="0" w:after="240"/>
      <w:ind w:firstLine="720" w:start="0" w:end="0"/>
      <w:jc w:val="both"/>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1"/>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06"/>
      </w:tabs>
    </w:pPr>
    <w:rPr/>
  </w:style>
  <w:style w:type="paragraph" w:styleId="ListBullet21">
    <w:name w:val="List Bullet 21"/>
    <w:basedOn w:val="Normal"/>
    <w:qFormat/>
    <w:pPr>
      <w:numPr>
        <w:ilvl w:val="0"/>
        <w:numId w:val="9"/>
      </w:numPr>
      <w:tabs>
        <w:tab w:val="clear" w:pos="706"/>
      </w:tabs>
    </w:pPr>
    <w:rPr/>
  </w:style>
  <w:style w:type="paragraph" w:styleId="ListBullet31">
    <w:name w:val="List Bullet 31"/>
    <w:basedOn w:val="Normal"/>
    <w:qFormat/>
    <w:pPr>
      <w:numPr>
        <w:ilvl w:val="0"/>
        <w:numId w:val="8"/>
      </w:numPr>
      <w:tabs>
        <w:tab w:val="clear" w:pos="706"/>
      </w:tabs>
    </w:pPr>
    <w:rPr/>
  </w:style>
  <w:style w:type="paragraph" w:styleId="ListBullet41">
    <w:name w:val="List Bullet 41"/>
    <w:basedOn w:val="Normal"/>
    <w:qFormat/>
    <w:pPr>
      <w:numPr>
        <w:ilvl w:val="0"/>
        <w:numId w:val="7"/>
      </w:numPr>
      <w:tabs>
        <w:tab w:val="clear" w:pos="706"/>
      </w:tabs>
    </w:pPr>
    <w:rPr/>
  </w:style>
  <w:style w:type="paragraph" w:styleId="ListBullet51">
    <w:name w:val="List Bullet 51"/>
    <w:basedOn w:val="Normal"/>
    <w:qFormat/>
    <w:pPr>
      <w:numPr>
        <w:ilvl w:val="0"/>
        <w:numId w:val="6"/>
      </w:numPr>
      <w:tabs>
        <w:tab w:val="clear" w:pos="706"/>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06"/>
      </w:tabs>
      <w:spacing w:before="0" w:after="240"/>
      <w:ind w:hanging="0" w:start="0" w:end="0"/>
    </w:pPr>
    <w:rPr/>
  </w:style>
  <w:style w:type="paragraph" w:styleId="ListNumber2">
    <w:name w:val="List Number 2"/>
    <w:basedOn w:val="Normal"/>
    <w:qFormat/>
    <w:pPr>
      <w:numPr>
        <w:ilvl w:val="0"/>
        <w:numId w:val="5"/>
      </w:numPr>
      <w:tabs>
        <w:tab w:val="clear" w:pos="706"/>
      </w:tabs>
    </w:pPr>
    <w:rPr/>
  </w:style>
  <w:style w:type="paragraph" w:styleId="ListNumber3">
    <w:name w:val="List Number 3"/>
    <w:basedOn w:val="Normal"/>
    <w:qFormat/>
    <w:pPr>
      <w:numPr>
        <w:ilvl w:val="0"/>
        <w:numId w:val="4"/>
      </w:numPr>
      <w:tabs>
        <w:tab w:val="clear" w:pos="706"/>
      </w:tabs>
      <w:spacing w:before="0" w:after="240"/>
      <w:ind w:firstLine="720" w:start="720" w:end="0"/>
    </w:pPr>
    <w:rPr/>
  </w:style>
  <w:style w:type="paragraph" w:styleId="ListNumber4">
    <w:name w:val="List Number 4"/>
    <w:basedOn w:val="Normal"/>
    <w:qFormat/>
    <w:pPr>
      <w:numPr>
        <w:ilvl w:val="0"/>
        <w:numId w:val="3"/>
      </w:numPr>
      <w:tabs>
        <w:tab w:val="clear" w:pos="706"/>
      </w:tabs>
    </w:pPr>
    <w:rPr/>
  </w:style>
  <w:style w:type="paragraph" w:styleId="ListNumber5">
    <w:name w:val="List Number 5"/>
    <w:basedOn w:val="Normal"/>
    <w:qFormat/>
    <w:pPr>
      <w:numPr>
        <w:ilvl w:val="0"/>
        <w:numId w:val="2"/>
      </w:numPr>
      <w:tabs>
        <w:tab w:val="clear" w:pos="706"/>
      </w:tabs>
    </w:pPr>
    <w:rPr/>
  </w:style>
  <w:style w:type="paragraph" w:styleId="MacroText">
    <w:name w:val="Macro Text"/>
    <w:qFormat/>
    <w:pPr>
      <w:widowControl/>
      <w:tabs>
        <w:tab w:val="clear" w:pos="706"/>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WW-BodyText2">
    <w:name w:val="WW-Body Text 2"/>
    <w:basedOn w:val="Normal"/>
    <w:qFormat/>
    <w:pPr>
      <w:spacing w:lineRule="auto" w:line="480" w:before="0" w:after="1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2000-07-19T16:03:00Z</dcterms:created>
  <dc:creator>EW/LN/CB</dc:creator>
  <dc:description/>
  <cp:keywords>calvert</cp:keywords>
  <dc:language>en-CA</dc:language>
  <cp:lastModifiedBy>Enron Technology</cp:lastModifiedBy>
  <cp:lastPrinted>2000-07-19T13:35:00Z</cp:lastPrinted>
  <dcterms:modified xsi:type="dcterms:W3CDTF">2000-07-20T12:23:00Z</dcterms:modified>
  <cp:revision>5</cp:revision>
  <dc:subject/>
  <dc:title>calvert Frome</dc:title>
</cp:coreProperties>
</file>